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Access Means Reaching Opportunity Reliably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Measure mobility by reliable access to opportunities across time, cost, safety, disability, gender, geography, service variability, and uncertainty—not distance alone.</w:t>
            </w:r>
          </w:p>
        </w:tc>
      </w:tr>
    </w:tbl>
    <w:p>
      <w:pPr>
        <w:pStyle w:val="Heading1"/>
      </w:pPr>
      <w:r>
        <w:t>Why it matters</w:t>
      </w:r>
    </w:p>
    <w:p>
      <w:r>
        <w:t>Average travel time can hide unreliable service, inaccessible routes, unsafe transfers, and unequal opportunity.</w:t>
      </w:r>
    </w:p>
    <w:p>
      <w:pPr>
        <w:pStyle w:val="Heading1"/>
      </w:pPr>
      <w:r>
        <w:t>Illustrative application</w:t>
      </w:r>
    </w:p>
    <w:p>
      <w:r>
        <w:t>A city compares actual travel reliability and affordability to jobs, schools, health care, and markets across neighbourhoods.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V7_D_N07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