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Land Signals With Due Process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land and tenure signals only to support authorized review with provenance, confidence, competing claims, privacy, notice, appeal, and due process.</w:t>
            </w:r>
          </w:p>
        </w:tc>
      </w:tr>
    </w:tbl>
    <w:p>
      <w:pPr>
        <w:pStyle w:val="Heading1"/>
      </w:pPr>
      <w:r>
        <w:t>Why it matters</w:t>
      </w:r>
    </w:p>
    <w:p>
      <w:r>
        <w:t>Automated matching or imagery can create false certainty, expose claimants, and trigger dispossession without lawful review.</w:t>
      </w:r>
    </w:p>
    <w:p>
      <w:pPr>
        <w:pStyle w:val="Heading1"/>
      </w:pPr>
      <w:r>
        <w:t>Illustrative application</w:t>
      </w:r>
    </w:p>
    <w:p>
      <w:r>
        <w:t>A land agency reviews multiple records and claimant evidence before referring a disputed parcel for lawful adjudication.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V7_D_N08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