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Land Signals With Due Process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Use land and tenure signals only to support authorized review with provenance, confidence, competing claims, privacy, notice, appeal, and due process.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Automated matching or imagery can create false certainty, expose claimants, and trigger dispossession without lawful review.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land agency reviews multiple records and claimant evidence before referring a disputed parcel for lawful adjudication.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Protect claimant data.</w:t>
      </w:r>
    </w:p>
    <w:p>
      <w:pPr>
        <w:pStyle w:val="ListBullet"/>
      </w:pPr>
      <w:r>
        <w:t>2.</w:t>
      </w:r>
    </w:p>
    <w:p>
      <w:pPr>
        <w:pStyle w:val="ListBullet"/>
      </w:pPr>
      <w:r>
        <w:t>Explain administrative absence.</w:t>
      </w:r>
    </w:p>
    <w:p>
      <w:pPr>
        <w:pStyle w:val="ListBullet"/>
      </w:pPr>
      <w:r>
        <w:t>3.</w:t>
      </w:r>
    </w:p>
    <w:p>
      <w:pPr>
        <w:pStyle w:val="ListBullet"/>
      </w:pPr>
      <w:r>
        <w:t>Design dispute safeguards.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Minimize, encrypt, role-restrict, log access, separate public/private fields, and apply lawful retention.</w:t>
      </w:r>
    </w:p>
    <w:p>
      <w:pPr>
        <w:pStyle w:val="ListBullet"/>
      </w:pPr>
      <w:r>
        <w:t>2.</w:t>
      </w:r>
    </w:p>
    <w:p>
      <w:pPr>
        <w:pStyle w:val="ListBullet"/>
      </w:pPr>
      <w:r>
        <w:t>Customary, communal, informal, inherited, displaced, or unregistered rights may exist outside the register.</w:t>
      </w:r>
    </w:p>
    <w:p>
      <w:pPr>
        <w:pStyle w:val="ListBullet"/>
      </w:pPr>
      <w:r>
        <w:t>3.</w:t>
      </w:r>
    </w:p>
    <w:p>
      <w:pPr>
        <w:pStyle w:val="ListBullet"/>
      </w:pPr>
      <w:r>
        <w:t>Provide notice, access to records, human adjudication, representation, appeal, non-discrimination, and prohibition on automated disposition.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