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Measure Exposure, Do Not Blame Communities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Measure environmental exposure and service conditions without blaming communities, while preserving source attribution, uncertainty, equity, privacy, participation, and accountable remediation.</w:t>
            </w:r>
          </w:p>
        </w:tc>
      </w:tr>
    </w:tbl>
    <w:p>
      <w:pPr>
        <w:pStyle w:val="Heading1"/>
      </w:pPr>
      <w:r>
        <w:t>Why it matters</w:t>
      </w:r>
    </w:p>
    <w:p>
      <w:r>
        <w:t>Area-level exposure evidence can stigmatize residents or shift responsibility away from polluters and service authorities.</w:t>
      </w:r>
    </w:p>
    <w:p>
      <w:pPr>
        <w:pStyle w:val="Heading1"/>
      </w:pPr>
      <w:r>
        <w:t>Illustrative application</w:t>
      </w:r>
    </w:p>
    <w:p>
      <w:r>
        <w:t>A settlement exposure profile separates pollution sources, pathways, population vulnerability, and municipal service gaps.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V7_D_N09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