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Measure Exposure, Do Not Blame Communities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Measure environmental exposure and service conditions without blaming communities, while preserving source attribution, uncertainty, equity, privacy, participation, and accountable remediation.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Area-level exposure evidence can stigmatize residents or shift responsibility away from polluters and service authorities.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settlement exposure profile separates pollution sources, pathways, population vulnerability, and municipal service gaps.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calibration uncertainty.</w:t>
      </w:r>
    </w:p>
    <w:p>
      <w:pPr>
        <w:pStyle w:val="ListBullet"/>
      </w:pPr>
      <w:r>
        <w:t>2.</w:t>
      </w:r>
    </w:p>
    <w:p>
      <w:pPr>
        <w:pStyle w:val="ListBullet"/>
      </w:pPr>
      <w:r>
        <w:t>Separate hazard and vulnerability.</w:t>
      </w:r>
    </w:p>
    <w:p>
      <w:pPr>
        <w:pStyle w:val="ListBullet"/>
      </w:pPr>
      <w:r>
        <w:t>3.</w:t>
      </w:r>
    </w:p>
    <w:p>
      <w:pPr>
        <w:pStyle w:val="ListBullet"/>
      </w:pPr>
      <w:r>
        <w:t>Prevent stigmatization.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Propagate sensor/model error and compare calibrated/uncalibrated scenarios.</w:t>
      </w:r>
    </w:p>
    <w:p>
      <w:pPr>
        <w:pStyle w:val="ListBullet"/>
      </w:pPr>
      <w:r>
        <w:t>2.</w:t>
      </w:r>
    </w:p>
    <w:p>
      <w:pPr>
        <w:pStyle w:val="ListBullet"/>
      </w:pPr>
      <w:r>
        <w:t>Hazard is the physical event/exposure; vulnerability and coping capacity shape consequences.</w:t>
      </w:r>
    </w:p>
    <w:p>
      <w:pPr>
        <w:pStyle w:val="ListBullet"/>
      </w:pPr>
      <w:r>
        <w:t>3.</w:t>
      </w:r>
    </w:p>
    <w:p>
      <w:pPr>
        <w:pStyle w:val="ListBullet"/>
      </w:pPr>
      <w:r>
        <w:t>Use neutral area-level language, participation, disclosure protection, structural explanations, benefit-oriented interventions, and no punitive or displacement use.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