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Risk Triage Is Not a Building Certificate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building-risk triage to prioritize qualified inspection—not to certify safety—while preserving evidence, uncertainty, occupancy, vulnerability, escalation, and legal authority.</w:t>
            </w:r>
          </w:p>
        </w:tc>
      </w:tr>
    </w:tbl>
    <w:p>
      <w:pPr>
        <w:pStyle w:val="Heading1"/>
      </w:pPr>
      <w:r>
        <w:t>Why it matters</w:t>
      </w:r>
    </w:p>
    <w:p>
      <w:r>
        <w:t>A risk score can provide false reassurance or trigger evacuation and enforcement without qualified inspection and due process.</w:t>
      </w:r>
    </w:p>
    <w:p>
      <w:pPr>
        <w:pStyle w:val="Heading1"/>
      </w:pPr>
      <w:r>
        <w:t>Illustrative application</w:t>
      </w:r>
    </w:p>
    <w:p>
      <w:r>
        <w:t>A screening tool routes a potentially unsafe building to an authorized engineer and emergency pathway for inspection.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V7_D_N10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