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Coordinate Support Without Scoring Human Worth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Coordinate homelessness and housing support through needs, preferences, urgency, eligibility, service capacity, consent, privacy, referral, and accountable casework—never a score of human worth.</w:t>
            </w:r>
          </w:p>
        </w:tc>
      </w:tr>
    </w:tbl>
    <w:p>
      <w:pPr>
        <w:pStyle w:val="Heading1"/>
      </w:pPr>
      <w:r>
        <w:t>Why it matters</w:t>
      </w:r>
    </w:p>
    <w:p>
      <w:r>
        <w:t>Opaque prioritization can dehumanize people, encode discrimination, expose sensitive histories, and deny support without explanation or appeal.</w:t>
      </w:r>
    </w:p>
    <w:p>
      <w:pPr>
        <w:pStyle w:val="Heading1"/>
      </w:pPr>
      <w:r>
        <w:t>Illustrative application</w:t>
      </w:r>
    </w:p>
    <w:p>
      <w:r>
        <w:t>A multidisciplinary team uses a transparent needs review to offer options and track referrals without ranking people’s value.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