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EXECUTIVE BRIEF</w:t>
      </w:r>
    </w:p>
    <w:p>
      <w:pPr>
        <w:pStyle w:val="Title"/>
      </w:pPr>
      <w:r>
        <w:t>Census, Address, and Geospatial Frames</w:t>
      </w:r>
    </w:p>
    <w:p>
      <w:pPr>
        <w:spacing w:after="280"/>
      </w:pPr>
      <w:r>
        <w:rPr>
          <w:color w:val="5B6573"/>
          <w:sz w:val="26"/>
        </w:rPr>
        <w:t>What leaders should authorize, require, and refuse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PU-B07-C62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Decision status</w:t>
            </w:r>
          </w:p>
        </w:tc>
        <w:tc>
          <w:tcPr>
            <w:tcW w:type="dxa" w:w="6660"/>
          </w:tcPr>
          <w:p>
            <w:r>
              <w:t>Controlled learning asset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660"/>
          </w:tcPr>
          <w:p>
            <w:r>
              <w:t>Executives, programme owners, statisticians, technical leads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Data</w:t>
            </w:r>
          </w:p>
        </w:tc>
        <w:tc>
          <w:tcPr>
            <w:tcW w:type="dxa" w:w="6660"/>
          </w:tcPr>
          <w:p>
            <w:r>
              <w:t>Synthetic examples only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</w:tcPr>
          <w:p>
            <w:r>
              <w:rPr>
                <w:b/>
                <w:color w:val="0B2545"/>
              </w:rPr>
              <w:t xml:space="preserve">Executive takeaway: </w:t>
            </w:r>
            <w:r>
              <w:t>Build census, address, and geospatial frames with explicit coverage, currency, uniqueness, linkage quality, uncertainty, privacy, field verification, and controlled operational use.</w:t>
            </w:r>
          </w:p>
        </w:tc>
      </w:tr>
    </w:tbl>
    <w:p>
      <w:pPr>
        <w:pStyle w:val="Heading1"/>
      </w:pPr>
      <w:r>
        <w:t>Why it matters</w:t>
      </w:r>
    </w:p>
    <w:p>
      <w:r>
        <w:t>Incomplete or duplicated frames can omit populations, distort allocation, expose households, and create false confidence in geographic coverage.</w:t>
      </w:r>
    </w:p>
    <w:p>
      <w:pPr>
        <w:pStyle w:val="Heading1"/>
      </w:pPr>
      <w:r>
        <w:t>Illustrative application</w:t>
      </w:r>
    </w:p>
    <w:p>
      <w:r>
        <w:t>A statistical office reconciles address, building, imagery, and enumeration evidence before updating a census frame.</w:t>
      </w:r>
    </w:p>
    <w:p>
      <w:pPr>
        <w:pStyle w:val="Heading1"/>
      </w:pPr>
      <w:r>
        <w:t>Minimum approval conditions</w:t>
      </w:r>
    </w:p>
    <w:p>
      <w:pPr>
        <w:pStyle w:val="ListBullet"/>
      </w:pPr>
      <w:r>
        <w:t>Named accountable owner and lawful purpose</w:t>
      </w:r>
    </w:p>
    <w:p>
      <w:pPr>
        <w:pStyle w:val="ListBullet"/>
      </w:pPr>
      <w:r>
        <w:t>Defined evidence, provenance, reference period, population, and geography</w:t>
      </w:r>
    </w:p>
    <w:p>
      <w:pPr>
        <w:pStyle w:val="ListBullet"/>
      </w:pPr>
      <w:r>
        <w:t>Decision-relevant validation and visible uncertainty</w:t>
      </w:r>
    </w:p>
    <w:p>
      <w:pPr>
        <w:pStyle w:val="ListBullet"/>
      </w:pPr>
      <w:r>
        <w:t>Documented abstention, referral, override, and incident processes</w:t>
      </w:r>
    </w:p>
    <w:p>
      <w:pPr>
        <w:pStyle w:val="ListBullet"/>
      </w:pPr>
      <w:r>
        <w:t>Accessibility, equity, security, retention, and retirement review</w:t>
      </w:r>
    </w:p>
    <w:p>
      <w:pPr>
        <w:pStyle w:val="Heading1"/>
      </w:pPr>
      <w:r>
        <w:t>Non-negotiable boundary</w:t>
      </w:r>
    </w:p>
    <w:p>
      <w:r>
        <w:t>The analytical system may inform review. It may not independently authorize benefits, sanctions, enforcement, clinical treatment, school exclusion, displacement, or another consequential 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V7_D_N12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