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Census, Address, and Geospatial Frames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Diagnose duplicate addresses.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Separate building and dwelling.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a safe field-verification queue.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Normalize components but preserve originals; combine spatial, name, and occupancy evidence with human review.</w:t>
      </w:r>
    </w:p>
    <w:p>
      <w:pPr>
        <w:pStyle w:val="Heading2"/>
      </w:pPr>
      <w:r>
        <w:t>Solution 2</w:t>
      </w:r>
    </w:p>
    <w:p>
      <w:r>
        <w:t>One building can contain many dwellings and households; identifiers and counts must respect each level.</w:t>
      </w:r>
    </w:p>
    <w:p>
      <w:pPr>
        <w:pStyle w:val="Heading2"/>
      </w:pPr>
      <w:r>
        <w:t>Solution 3</w:t>
      </w:r>
    </w:p>
    <w:p>
      <w:r>
        <w:t>Minimize sensitive attributes, use reason codes and safe routes, log corrections, and prohibit enforcement reuse.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