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Urban Finance and Investment Scenarios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Compare urban-finance and investment scenarios using transparent assumptions, lifecycle costs, revenue, affordability, distributional effects, delivery capacity, uncertainty, and accountable public choices.</w:t>
            </w:r>
          </w:p>
        </w:tc>
      </w:tr>
    </w:tbl>
    <w:p>
      <w:pPr>
        <w:pStyle w:val="Heading1"/>
      </w:pPr>
      <w:r>
        <w:t>Why it matters</w:t>
      </w:r>
    </w:p>
    <w:p>
      <w:r>
        <w:t>Opaque financial models can privilege headline returns while hiding long-term liabilities, displacement, unequal burdens, and implementation limits.</w:t>
      </w:r>
    </w:p>
    <w:p>
      <w:pPr>
        <w:pStyle w:val="Heading1"/>
      </w:pPr>
      <w:r>
        <w:t>Illustrative application</w:t>
      </w:r>
    </w:p>
    <w:p>
      <w:r>
        <w:t>A city compares infrastructure investment scenarios across service benefits, debt, maintenance, affordability, and neighbourhood equity.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