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Urban Finance and Investment Scenarios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lifecycle cost.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Stress-test revenue collection.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Audit who benefits and who bears costs.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Include operations, maintenance, renewal, and decommissioning over the asset life.</w:t>
      </w:r>
    </w:p>
    <w:p>
      <w:pPr>
        <w:pStyle w:val="Heading2"/>
      </w:pPr>
      <w:r>
        <w:t>Solution 2</w:t>
      </w:r>
    </w:p>
    <w:p>
      <w:r>
        <w:t>Compare plausible collection and transfer shocks, not only the base case.</w:t>
      </w:r>
    </w:p>
    <w:p>
      <w:pPr>
        <w:pStyle w:val="Heading2"/>
      </w:pPr>
      <w:r>
        <w:t>Solution 3</w:t>
      </w:r>
    </w:p>
    <w:p>
      <w:r>
        <w:t>Map benefits, fees, land effects, accessibility, displacement risk, and participation by group and area.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V7_D_N13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