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Urban Finance and Investment Scenarios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PU-B07-C63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V7_D_N13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Compare urban-finance and investment scenarios using transparent assumptions, lifecycle costs, revenue, affordability, distributional effects, delivery capacity, uncertainty, and accountable public choices.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Opaque financial models can privilege headline returns while hiding long-term liabilities, displacement, unequal burdens, and implementation limits.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city compares infrastructure investment scenarios across service benefits, debt, maintenance, affordability, and neighbourhood equity.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lifecycle cost.</w:t>
      </w:r>
    </w:p>
    <w:p>
      <w:pPr>
        <w:pStyle w:val="ListBullet"/>
      </w:pPr>
      <w:r>
        <w:t>2.</w:t>
      </w:r>
    </w:p>
    <w:p>
      <w:pPr>
        <w:pStyle w:val="ListBullet"/>
      </w:pPr>
      <w:r>
        <w:t>Stress-test revenue collection.</w:t>
      </w:r>
    </w:p>
    <w:p>
      <w:pPr>
        <w:pStyle w:val="ListBullet"/>
      </w:pPr>
      <w:r>
        <w:t>3.</w:t>
      </w:r>
    </w:p>
    <w:p>
      <w:pPr>
        <w:pStyle w:val="ListBullet"/>
      </w:pPr>
      <w:r>
        <w:t>Audit who benefits and who bears costs.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Include operations, maintenance, renewal, and decommissioning over the asset life.</w:t>
      </w:r>
    </w:p>
    <w:p>
      <w:pPr>
        <w:pStyle w:val="ListBullet"/>
      </w:pPr>
      <w:r>
        <w:t>2.</w:t>
      </w:r>
    </w:p>
    <w:p>
      <w:pPr>
        <w:pStyle w:val="ListBullet"/>
      </w:pPr>
      <w:r>
        <w:t>Compare plausible collection and transfer shocks, not only the base case.</w:t>
      </w:r>
    </w:p>
    <w:p>
      <w:pPr>
        <w:pStyle w:val="ListBullet"/>
      </w:pPr>
      <w:r>
        <w:t>3.</w:t>
      </w:r>
    </w:p>
    <w:p>
      <w:pPr>
        <w:pStyle w:val="ListBullet"/>
      </w:pPr>
      <w:r>
        <w:t>Map benefits, fees, land effects, accessibility, displacement risk, and participation by group and area.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