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Evaluate Place-Based Programmes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Evaluate place-based programmes through theory, spatial and temporal counterfactuals, implementation, spillovers, displacement, equity, costs, uncertainty, and local context.</w:t>
            </w:r>
          </w:p>
        </w:tc>
      </w:tr>
    </w:tbl>
    <w:p>
      <w:pPr>
        <w:pStyle w:val="Heading1"/>
      </w:pPr>
      <w:r>
        <w:t>Why it matters</w:t>
      </w:r>
    </w:p>
    <w:p>
      <w:r>
        <w:t>Simple before-and-after area comparisons can mistake population change or spillovers for programme impact and conceal who lost.</w:t>
      </w:r>
    </w:p>
    <w:p>
      <w:pPr>
        <w:pStyle w:val="Heading1"/>
      </w:pPr>
      <w:r>
        <w:t>Illustrative application</w:t>
      </w:r>
    </w:p>
    <w:p>
      <w:r>
        <w:t>An evaluation tests whether neighbourhood improvement reflects programme contribution, wider trends, displacement, or changes in who lives there.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