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National Habitat Intelligence Capstone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PU-B07-C65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Integrate governed habitat evidence on housing, land, services, infrastructure, mobility, exposure, safety, finance, evaluation, uncertainty, and institutional authority into a national decision product.</w:t>
            </w:r>
          </w:p>
        </w:tc>
      </w:tr>
    </w:tbl>
    <w:p>
      <w:pPr>
        <w:pStyle w:val="Heading1"/>
      </w:pPr>
      <w:r>
        <w:t>Why it matters</w:t>
      </w:r>
    </w:p>
    <w:p>
      <w:r>
        <w:t>Integration without governance can centralize spatial error, expose vulnerable populations, erase local context, and amplify harmful land or housing decisions.</w:t>
      </w:r>
    </w:p>
    <w:p>
      <w:pPr>
        <w:pStyle w:val="Heading1"/>
      </w:pPr>
      <w:r>
        <w:t>Illustrative application</w:t>
      </w:r>
    </w:p>
    <w:p>
      <w:r>
        <w:t>A national brief connects geographic evidence, service gaps, risks, investment scenarios, responsible owners, safeguards, and review dates.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V7_D_N15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