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Eigenvalues, Eigenvectors,</w:t>
        <w:br/>
        <w:t>and Spectral Intuition</w:t>
      </w:r>
    </w:p>
    <w:p>
      <w:pPr/>
      <w:r>
        <w:t>Chapter 6 | Book 1: Mathematical Foundations | PU-B01-C06</w:t>
      </w:r>
    </w:p>
    <w:p>
      <w:pPr/>
      <w:r>
        <w:t>Mbaye Kebe | Statistics, Reasoning and Artificial Intelligence</w:t>
      </w:r>
    </w:p>
    <w:p>
      <w:pPr/>
      <w:r>
        <w:t>Controlled chapter candidate v0.1.0 | Review edition</w:t>
      </w:r>
    </w:p>
    <w:p>
      <w:pPr/>
      <w:r>
        <w:t>This chapter preserves the source’s eleven-part teaching sequence and its six native displayed equations, repairs damaged inline mathematics, and adds worked material aligned with the tested M1_N06 v0.1.0 notebook. The original master and notebook remain unchanged. A controlled candidate is versioned material for review, not public-release authorization.</w:t>
      </w:r>
    </w:p>
    <w:p>
      <w:pPr/>
      <w:r>
        <w:t>Prerequisites: matrix multiplication, vector spaces, bases, rank, orthogonality and norms from Lessons 4–5. All datasets and sector coefficients below are synthetic teaching examples, not empirical policy estimates. Real column vectors are used unless a complex example is explicitly introduced.</w:t>
      </w:r>
    </w:p>
    <w:p>
      <w:pPr>
        <w:pStyle w:val="Heading1"/>
      </w:pPr>
      <w:r>
        <w:t>6.1 Discovering the Dominant Directions of a System</w:t>
      </w:r>
    </w:p>
    <w:p>
      <w:pPr/>
      <w:r>
        <w:t>Canonical source: Chapter 6 in the Book 1 complete master. Controlled companion: M1_N06_eigenvalues_eigenvectors_spectral_intuition_v0.1.0.ipynb. Error-free VS Code and Colab execution has been reported by the user; independent mathematical review and chapter approval remain separate gates.</w:t>
      </w:r>
    </w:p>
    <w:p>
      <w:pPr/>
      <w:r>
        <w:t>Some nonzero directions are transformed into scalar multiples of themselves. Positive real eigenvalues preserve orientation, negative ones reverse it, and zero maps the vector to zero. These directions reveal the transformation’s hidden structure.</w:t>
      </w:r>
    </w:p>
    <w:p>
      <w:pPr/>
      <w:r>
        <w:t>Lesson 5 expressed vectors through coordinates in a basis. This lesson asks whether a basis can be chosen so that a transformation acts independently on its coordinates. A basis of eigenvectors does exactly that. Not every matrix has such a basis; understanding the limitation is part of the method.</w:t>
      </w:r>
    </w:p>
    <w:p>
      <w:pPr>
        <w:pStyle w:val="Heading1"/>
      </w:pPr>
      <w:r>
        <w:t>6.2 Learning Objectives</w:t>
      </w:r>
    </w:p>
    <w:p>
      <w:pPr>
        <w:pStyle w:val="FirstParagraph"/>
      </w:pPr>
      <w:r>
        <w:t xml:space="preserve">The reader will define and verify eigenpairs, interpret eigenvalues</w:t>
      </w:r>
      <w:r>
        <w:t xml:space="preserve"> </w:t>
      </w:r>
      <w:r>
        <w:t xml:space="preserve">geometrically, understand diagonalization and matrix powers, estimate</w:t>
      </w:r>
      <w:r>
        <w:t xml:space="preserve"> </w:t>
      </w:r>
      <w:r>
        <w:t xml:space="preserve">dominant eigenpairs, analyze spectral stability, and connect spectral</w:t>
      </w:r>
      <w:r>
        <w:t xml:space="preserve"> </w:t>
      </w:r>
      <w:r>
        <w:t xml:space="preserve">methods to covariance, networks and dynamic decision systems.</w:t>
      </w:r>
      <w:r>
        <w:fldChar w:fldCharType="begin" w:dirty="true"/>
      </w:r>
      <w:r>
        <w:instrText xml:space="preserve"> XE "Covariance" </w:instrText>
      </w:r>
      <w:r>
        <w:fldChar w:fldCharType="separate"/>
      </w:r>
      <w:r/>
      <w:r>
        <w:fldChar w:fldCharType="end"/>
      </w:r>
    </w:p>
    <w:p>
      <w:pPr/>
      <w:r>
        <w:t>Explain each central example in three ways: geometrically, algebraically and computationally. Reject zero eigenvectors, distinguish residual accuracy from dominance, and separate mathematical structure from a decision recommendation.</w:t>
      </w:r>
    </w:p>
    <w:p>
      <w:pPr>
        <w:pStyle w:val="Heading1"/>
      </w:pPr>
      <w:r>
        <w:t>6.3 Opening Story — A Shock Moving Through the Economy</w:t>
      </w:r>
    </w:p>
    <w:p>
      <w:pPr/>
      <w:r>
        <w:t>A fuel-price shock can affect transport, agriculture, food prices and household welfare. As an illustrative modeling choice, suppose an intersectoral matrix maps one period’s state into the next. This autonomous linear model is not, by itself, an empirically established causal description:</w:t>
      </w:r>
    </w:p>
    <w:p>
      <w:pPr>
        <w:pStyle w:val="BodyText"/>
        <w:keepLines/>
      </w:pPr>
      <m:oMathPara>
        <m:oMathParaPr>
          <m:jc m:val="center"/>
        </m:oMathParaPr>
        <m:oMath>
          <m:sSub>
            <m:e>
              <m:r>
                <m:rPr>
                  <m:sty m:val="b"/>
                </m:rPr>
                <m:t>x</m:t>
              </m:r>
            </m:e>
            <m:sub>
              <m:r>
                <m:t>t</m:t>
              </m:r>
              <m:r>
                <m:rPr>
                  <m:sty m:val="p"/>
                </m:rPr>
                <m:t>+</m:t>
              </m:r>
              <m:r>
                <m:t>1</m:t>
              </m:r>
            </m:sub>
          </m:sSub>
          <m:r>
            <m:rPr>
              <m:sty m:val="p"/>
            </m:rPr>
            <m:t>=</m:t>
          </m:r>
          <m:r>
            <m:t>A</m:t>
          </m:r>
          <m:sSub>
            <m:e>
              <m:r>
                <m:rPr>
                  <m:sty m:val="b"/>
                </m:rPr>
                <m:t>x</m:t>
              </m:r>
            </m:e>
            <m:sub>
              <m:r>
                <m:t>t</m:t>
              </m:r>
            </m:sub>
          </m:sSub>
          <m:r>
            <m:rPr>
              <m:sty m:val="p"/>
            </m:rPr>
            <m:t>.</m:t>
          </m:r>
        </m:oMath>
      </m:oMathPara>
    </w:p>
    <w:p>
      <w:pPr/>
      <w:r>
        <w:t>Repeated application gives xₜ₊ₖ = Aᵏxₜ for nonnegative integer k. Eigenvectors identify nonzero vectors whose images are scalar multiples of themselves:</w:t>
      </w:r>
    </w:p>
    <w:p>
      <w:pPr>
        <w:pStyle w:val="BodyText"/>
        <w:keepLines/>
      </w:pPr>
      <m:oMathPara>
        <m:oMathParaPr>
          <m:jc m:val="center"/>
        </m:oMathParaPr>
        <m:oMath>
          <m:r>
            <m:t>A</m:t>
          </m:r>
          <m:r>
            <m:rPr>
              <m:sty m:val="b"/>
            </m:rPr>
            <m:t>v</m:t>
          </m:r>
          <m:r>
            <m:rPr>
              <m:sty m:val="p"/>
            </m:rPr>
            <m:t>=</m:t>
          </m:r>
          <m:r>
            <m:t>λ</m:t>
          </m:r>
          <m:r>
            <m:rPr>
              <m:sty m:val="b"/>
            </m:rPr>
            <m:t>v</m:t>
          </m:r>
          <m:r>
            <m:rPr>
              <m:sty m:val="p"/>
            </m:rPr>
            <m:t>.</m:t>
          </m:r>
        </m:oMath>
      </m:oMathPara>
    </w:p>
    <w:p>
      <w:pPr/>
      <w:r>
        <w:t>Here A is square, v is nonzero, and λ is a scalar. The vector v is an eigenvector and λ its eigenvalue. For real eigenpairs the scalar records expansion, contraction, reversal or collapse along that direction.</w:t>
      </w:r>
    </w:p>
    <w:bookmarkStart w:id="21" w:name="X3456d21dddd65a4dd83a48b5024e253877a841d"/>
    <w:p>
      <w:pPr>
        <w:pStyle w:val="Heading2"/>
      </w:pPr>
      <w:r>
        <w:t xml:space="preserve">Worked development: Eigenpairs: directions transformed into multiples of themselves</w:t>
      </w:r>
    </w:p>
    <w:p>
      <w:pPr>
        <w:pStyle w:val="Normal"/>
      </w:pPr>
      <w:r>
        <w:t xml:space="preserve">For a square matrix</w:t>
      </w:r>
      <w:r>
        <w:t xml:space="preserve"> </w:t>
      </w:r>
      <m:oMath>
        <m:r>
          <m:t>A</m:t>
        </m:r>
      </m:oMath>
      <w:r>
        <w:t xml:space="preserve">, an eigenpair consists of a scalar</w:t>
      </w:r>
      <w:r>
        <w:t xml:space="preserve"> </w:t>
      </w:r>
      <m:oMath>
        <m:r>
          <m:t>λ</m:t>
        </m:r>
      </m:oMath>
      <w:r>
        <w:t xml:space="preserve"> </w:t>
      </w:r>
      <w:r>
        <w:t xml:space="preserve">and a vector</w:t>
      </w:r>
      <w:r>
        <w:t xml:space="preserve"> </w:t>
      </w:r>
      <m:oMath>
        <m:r>
          <m:t>v</m:t>
        </m:r>
        <m:r>
          <m:rPr>
            <m:sty m:val="p"/>
          </m:rPr>
          <m:t>≠</m:t>
        </m:r>
        <m:r>
          <m:t>0</m:t>
        </m:r>
      </m:oMath>
      <w:r>
        <w:t xml:space="preserve"> </w:t>
      </w:r>
      <w:r>
        <w:t xml:space="preserve">satisfying</w:t>
      </w:r>
    </w:p>
    <w:p>
      <w:pPr>
        <w:pStyle w:val="Normal"/>
      </w:pPr>
      <m:oMathPara>
        <m:oMathParaPr>
          <m:jc m:val="center"/>
        </m:oMathParaPr>
        <m:oMath>
          <m:r>
            <m:t>A</m:t>
          </m:r>
          <m:r>
            <m:t>v</m:t>
          </m:r>
          <m:r>
            <m:rPr>
              <m:sty m:val="p"/>
            </m:rPr>
            <m:t>=</m:t>
          </m:r>
          <m:r>
            <m:t>λ</m:t>
          </m:r>
          <m:r>
            <m:t>v</m:t>
          </m:r>
          <m:r>
            <m:rPr>
              <m:sty m:val="p"/>
            </m:rPr>
            <m:t>.</m:t>
          </m:r>
        </m:oMath>
      </m:oMathPara>
    </w:p>
    <w:p>
      <w:pPr>
        <w:pStyle w:val="Normal"/>
      </w:pPr>
      <w:r>
        <w:t xml:space="preserve">For real eigenpairs, a positive eigenvalue preserves orientation, a negative one reverses it, and a zero eigenvalue sends the vector to zero. Thus</w:t>
      </w:r>
      <w:r>
        <w:t xml:space="preserve"> </w:t>
      </w:r>
      <w:r>
        <w:t xml:space="preserve">“</w:t>
      </w:r>
      <w:r>
        <w:t xml:space="preserve">keeps its direction</w:t>
      </w:r>
      <w:r>
        <w:t xml:space="preserve">”</w:t>
      </w:r>
      <w:r>
        <w:t xml:space="preserve"> </w:t>
      </w:r>
      <w:r>
        <w:t xml:space="preserve">needs qualification. Multiplying an eigenvector by any nonzero scalar gives another eigenvector for the same eigenvalue.</w:t>
      </w:r>
    </w:p>
    <w:p>
      <w:pPr>
        <w:pStyle w:val="Normal"/>
      </w:pPr>
      <w:r>
        <w:t xml:space="preserve">For</w:t>
      </w:r>
      <w:r>
        <w:t xml:space="preserve"> </w:t>
      </w:r>
      <m:oMath>
        <m:r>
          <m:t>A</m:t>
        </m:r>
        <m:r>
          <m:rPr>
            <m:sty m:val="p"/>
          </m:rPr>
          <m:t>=</m:t>
        </m:r>
        <m:r>
          <m:rPr>
            <m:sty m:val="p"/>
          </m:rPr>
          <m:t>diag</m:t>
        </m:r>
        <m:d>
          <m:dPr>
            <m:begChr m:val="("/>
            <m:endChr m:val=")"/>
            <m:sepChr m:val=""/>
            <m:grow/>
          </m:dPr>
          <m:e>
            <m:r>
              <m:t>3</m:t>
            </m:r>
            <m:r>
              <m:rPr>
                <m:sty m:val="p"/>
              </m:rPr>
              <m:t>,</m:t>
            </m:r>
            <m:r>
              <m:t>1</m:t>
            </m:r>
          </m:e>
        </m:d>
      </m:oMath>
      <w:r>
        <w:t xml:space="preserve">, the coordinate axes are eigendirections. The vector</w:t>
      </w:r>
      <w:r>
        <w:t xml:space="preserve"> </w:t>
      </w:r>
      <m:oMath>
        <m:sSup>
          <m:e>
            <m:d>
              <m:dPr>
                <m:begChr m:val="("/>
                <m:endChr m:val=")"/>
                <m:sepChr m:val=""/>
                <m:grow/>
              </m:dPr>
              <m:e>
                <m:r>
                  <m:t>1</m:t>
                </m:r>
                <m:r>
                  <m:rPr>
                    <m:sty m:val="p"/>
                  </m:rPr>
                  <m:t>,</m:t>
                </m:r>
                <m:r>
                  <m:t>1</m:t>
                </m:r>
              </m:e>
            </m:d>
          </m:e>
          <m:sup>
            <m:r>
              <m:t>T</m:t>
            </m:r>
          </m:sup>
        </m:sSup>
      </m:oMath>
      <w:r>
        <w:t xml:space="preserve"> </w:t>
      </w:r>
      <w:r>
        <w:t xml:space="preserve">is</w:t>
      </w:r>
      <w:r>
        <w:t xml:space="preserve"> </w:t>
      </w:r>
      <w:r>
        <w:rPr>
          <w:bCs/>
          <w:b/>
        </w:rPr>
        <w:t xml:space="preserve">not</w:t>
      </w:r>
      <w:r>
        <w:t xml:space="preserve"> </w:t>
      </w:r>
      <w:r>
        <w:t xml:space="preserve">an eigenvector: its image</w:t>
      </w:r>
      <w:r>
        <w:t xml:space="preserve"> </w:t>
      </w:r>
      <m:oMath>
        <m:sSup>
          <m:e>
            <m:d>
              <m:dPr>
                <m:begChr m:val="("/>
                <m:endChr m:val=")"/>
                <m:sepChr m:val=""/>
                <m:grow/>
              </m:dPr>
              <m:e>
                <m:r>
                  <m:t>3</m:t>
                </m:r>
                <m:r>
                  <m:rPr>
                    <m:sty m:val="p"/>
                  </m:rPr>
                  <m:t>,</m:t>
                </m:r>
                <m:r>
                  <m:t>1</m:t>
                </m:r>
              </m:e>
            </m:d>
          </m:e>
          <m:sup>
            <m:r>
              <m:t>T</m:t>
            </m:r>
          </m:sup>
        </m:sSup>
      </m:oMath>
      <w:r>
        <w:t xml:space="preserve"> </w:t>
      </w:r>
      <w:r>
        <w:t xml:space="preserve">is not a scalar multiple of it.</w:t>
      </w:r>
    </w:p>
    <w:bookmarkStart w:id="20" w:name="numerical-acceptance"/>
    <w:p>
      <w:pPr>
        <w:pStyle w:val="Heading2"/>
      </w:pPr>
      <w:r>
        <w:t xml:space="preserve">Numerical acceptance</w:t>
      </w:r>
    </w:p>
    <w:p>
      <w:pPr>
        <w:pStyle w:val="Normal"/>
      </w:pPr>
      <w:r>
        <w:t xml:space="preserve">Floating-point equality needs a tolerance. We reject zero vectors, normalize the candidate vector, and use the scaled residual</w:t>
      </w:r>
    </w:p>
    <w:p>
      <w:pPr>
        <w:pStyle w:val="Normal"/>
      </w:pPr>
      <m:oMathPara>
        <m:oMathParaPr>
          <m:jc m:val="center"/>
        </m:oMathParaPr>
        <m:oMath>
          <m:r>
            <m:t>r</m:t>
          </m:r>
          <m:r>
            <m:rPr>
              <m:sty m:val="p"/>
            </m:rPr>
            <m:t>=</m:t>
          </m:r>
          <m:f>
            <m:fPr>
              <m:type m:val="bar"/>
            </m:fPr>
            <m:num>
              <m:r>
                <m:rPr>
                  <m:sty m:val="p"/>
                </m:rPr>
                <m:t>∥</m:t>
              </m:r>
              <m:r>
                <m:t>A</m:t>
              </m:r>
              <m:r>
                <m:t>u</m:t>
              </m:r>
              <m:r>
                <m:rPr>
                  <m:sty m:val="p"/>
                </m:rPr>
                <m:t>−</m:t>
              </m:r>
              <m:r>
                <m:t>λ</m:t>
              </m:r>
              <m:r>
                <m:t>u</m:t>
              </m:r>
              <m:sSub>
                <m:e>
                  <m:r>
                    <m:rPr>
                      <m:sty m:val="p"/>
                    </m:rPr>
                    <m:t>∥</m:t>
                  </m:r>
                </m:e>
                <m:sub>
                  <m:r>
                    <m:t>2</m:t>
                  </m:r>
                </m:sub>
              </m:sSub>
            </m:num>
            <m:den>
              <m:r>
                <m:rPr>
                  <m:sty m:val="p"/>
                </m:rPr>
                <m:t>∥</m:t>
              </m:r>
              <m:r>
                <m:t>A</m:t>
              </m:r>
              <m:sSub>
                <m:e>
                  <m:r>
                    <m:rPr>
                      <m:sty m:val="p"/>
                    </m:rPr>
                    <m:t>∥</m:t>
                  </m:r>
                </m:e>
                <m:sub>
                  <m:r>
                    <m:t>2</m:t>
                  </m:r>
                </m:sub>
              </m:sSub>
              <m:r>
                <m:rPr>
                  <m:sty m:val="p"/>
                </m:rPr>
                <m:t>+</m:t>
              </m:r>
              <m:d>
                <m:dPr>
                  <m:begChr m:val="|"/>
                  <m:endChr m:val="|"/>
                  <m:sepChr m:val=""/>
                  <m:grow/>
                </m:dPr>
                <m:e>
                  <m:r>
                    <m:t>λ</m:t>
                  </m:r>
                </m:e>
              </m:d>
            </m:den>
          </m:f>
          <m:r>
            <m:rPr>
              <m:sty m:val="p"/>
            </m:rPr>
            <m:t>,</m:t>
          </m:r>
          <m:r>
            <m:t>  </m:t>
          </m:r>
          <m:r>
            <m:t>u</m:t>
          </m:r>
          <m:r>
            <m:rPr>
              <m:sty m:val="p"/>
            </m:rPr>
            <m:t>=</m:t>
          </m:r>
          <m:f>
            <m:fPr>
              <m:type m:val="bar"/>
            </m:fPr>
            <m:num>
              <m:r>
                <m:t>v</m:t>
              </m:r>
            </m:num>
            <m:den>
              <m:r>
                <m:rPr>
                  <m:sty m:val="p"/>
                </m:rPr>
                <m:t>∥</m:t>
              </m:r>
              <m:r>
                <m:t>v</m:t>
              </m:r>
              <m:sSub>
                <m:e>
                  <m:r>
                    <m:rPr>
                      <m:sty m:val="p"/>
                    </m:rPr>
                    <m:t>∥</m:t>
                  </m:r>
                </m:e>
                <m:sub>
                  <m:r>
                    <m:t>2</m:t>
                  </m:r>
                </m:sub>
              </m:sSub>
            </m:den>
          </m:f>
          <m:r>
            <m:rPr>
              <m:sty m:val="p"/>
            </m:rPr>
            <m:t>.</m:t>
          </m:r>
        </m:oMath>
      </m:oMathPara>
    </w:p>
    <w:p>
      <w:pPr>
        <w:pStyle w:val="Normal"/>
      </w:pPr>
      <w:r>
        <w:t xml:space="preserve">When the denominator is zero, the residual numerator is used directly. A small residual verifies an approximate eigenpair,</w:t>
      </w:r>
      <w:r>
        <w:t xml:space="preserve"> </w:t>
      </w:r>
      <w:r>
        <w:rPr>
          <w:bCs/>
          <w:b/>
        </w:rPr>
        <w:t xml:space="preserve">not</w:t>
      </w:r>
      <w:r>
        <w:t xml:space="preserve"> </w:t>
      </w:r>
      <w:r>
        <w:t xml:space="preserve">that its eigenvalue is dominant. Near repeated eigenvalues, compare eigenspaces rather than signed columns.</w:t>
      </w:r>
    </w:p>
    <w:bookmarkEnd w:id="20"/>
    <w:bookmarkEnd w:id="21"/>
    <w:p>
      <w:pPr>
        <w:keepNext/>
      </w:pPr>
      <w:r>
        <w:drawing>
          <wp:inline>
            <wp:extent cx="5943600" cy="1981200"/>
            <wp:docPr id="1" name="Picture 1" descr="Figure 6.1. Blue original vectors and orange transformed vectors for diag(3, 1). The axes are eigendirections; the diagonal vector is not. Axis overlap is expected."/>
            <wp:cNvGraphicFramePr>
              <a:graphicFrameLocks noChangeAspect="1"/>
            </wp:cNvGraphicFramePr>
            <a:graphic>
              <a:graphicData uri="http://schemas.openxmlformats.org/drawingml/2006/picture">
                <pic:pic>
                  <pic:nvPicPr>
                    <pic:cNvPr id="0" name="figure-1.png"/>
                    <pic:cNvPicPr/>
                  </pic:nvPicPr>
                  <pic:blipFill>
                    <a:blip r:embed="rId11"/>
                    <a:stretch>
                      <a:fillRect/>
                    </a:stretch>
                  </pic:blipFill>
                  <pic:spPr>
                    <a:xfrm>
                      <a:off x="0" y="0"/>
                      <a:ext cx="5943600" cy="1981200"/>
                    </a:xfrm>
                    <a:prstGeom prst="rect"/>
                  </pic:spPr>
                </pic:pic>
              </a:graphicData>
            </a:graphic>
          </wp:inline>
        </w:drawing>
      </w:r>
    </w:p>
    <w:p>
      <w:pPr/>
      <w:r>
        <w:rPr>
          <w:i/>
          <w:sz w:val="18"/>
        </w:rPr>
        <w:t>Figure 6.1. Blue original vectors and orange transformed vectors for diag(3, 1). The axes are eigendirections; the diagonal vector is not. Axis overlap is expected.</w:t>
      </w:r>
    </w:p>
    <w:p>
      <w:pPr>
        <w:pStyle w:val="Heading1"/>
      </w:pPr>
      <w:r>
        <w:t>6.4 Spectral Structure</w:t>
      </w:r>
    </w:p>
    <w:p>
      <w:pPr>
        <w:pStyle w:val="FirstParagraph"/>
      </w:pPr>
      <w:r>
        <w:t xml:space="preserve">If a matrix has a complete eigenvector basis,</w:t>
      </w:r>
    </w:p>
    <w:p>
      <w:pPr>
        <w:pStyle w:val="BodyText"/>
        <w:keepLines/>
      </w:pPr>
      <m:oMathPara>
        <m:oMathParaPr>
          <m:jc m:val="center"/>
        </m:oMathParaPr>
        <m:oMath>
          <m:r>
            <m:t>A</m:t>
          </m:r>
          <m:r>
            <m:rPr>
              <m:sty m:val="p"/>
            </m:rPr>
            <m:t>=</m:t>
          </m:r>
          <m:r>
            <m:t>P</m:t>
          </m:r>
          <m:r>
            <m:t>D</m:t>
          </m:r>
          <m:sSup>
            <m:e>
              <m:r>
                <m:t>P</m:t>
              </m:r>
            </m:e>
            <m:sup>
              <m:r>
                <m:rPr>
                  <m:sty m:val="p"/>
                </m:rPr>
                <m:t>−</m:t>
              </m:r>
              <m:r>
                <m:t>1</m:t>
              </m:r>
            </m:sup>
          </m:sSup>
          <m:r>
            <m:rPr>
              <m:sty m:val="p"/>
            </m:rPr>
            <m:t>,</m:t>
          </m:r>
        </m:oMath>
      </m:oMathPara>
    </w:p>
    <w:p>
      <w:pPr>
        <w:pStyle w:val="FirstParagraph"/>
      </w:pPr>
      <w:r>
        <w:t xml:space="preserve">where (D) contains eigenvalues. Then</w:t>
      </w:r>
    </w:p>
    <w:p>
      <w:pPr>
        <w:pStyle w:val="BodyText"/>
        <w:keepLines/>
      </w:pPr>
      <m:oMathPara>
        <m:oMathParaPr>
          <m:jc m:val="center"/>
        </m:oMathParaPr>
        <m:oMath>
          <m:sSup>
            <m:e>
              <m:r>
                <m:t>A</m:t>
              </m:r>
            </m:e>
            <m:sup>
              <m:r>
                <m:t>k</m:t>
              </m:r>
            </m:sup>
          </m:sSup>
          <m:r>
            <m:rPr>
              <m:sty m:val="p"/>
            </m:rPr>
            <m:t>=</m:t>
          </m:r>
          <m:r>
            <m:t>P</m:t>
          </m:r>
          <m:sSup>
            <m:e>
              <m:r>
                <m:t>D</m:t>
              </m:r>
            </m:e>
            <m:sup>
              <m:r>
                <m:t>k</m:t>
              </m:r>
            </m:sup>
          </m:sSup>
          <m:sSup>
            <m:e>
              <m:r>
                <m:t>P</m:t>
              </m:r>
            </m:e>
            <m:sup>
              <m:r>
                <m:rPr>
                  <m:sty m:val="p"/>
                </m:rPr>
                <m:t>−</m:t>
              </m:r>
              <m:r>
                <m:t>1</m:t>
              </m:r>
            </m:sup>
          </m:sSup>
          <m:r>
            <m:rPr>
              <m:sty m:val="p"/>
            </m:rPr>
            <m:t>.</m:t>
          </m:r>
        </m:oMath>
      </m:oMathPara>
    </w:p>
    <w:p>
      <w:pPr/>
      <w:r>
        <w:t>When a unique eigenvalue has greatest modulus and the initial vector has a suitable component in its mode, that component can dominate relative to the others. Equal dominant moduli, special starts and defective structure require additional care.</w:t>
      </w:r>
    </w:p>
    <w:p>
      <w:pPr>
        <w:pStyle w:val="BodyText"/>
      </w:pPr>
      <w:r>
        <w:t xml:space="preserve">For a real symmetric matrix, eigenvalues are real and eigenvectors can</w:t>
      </w:r>
      <w:r>
        <w:t xml:space="preserve"> </w:t>
      </w:r>
      <w:r>
        <w:t xml:space="preserve">be chosen orthonormally. Covariance matrices have this structure, which</w:t>
      </w:r>
      <w:r>
        <w:t xml:space="preserve"> </w:t>
      </w:r>
      <w:r>
        <w:t xml:space="preserve">is why their eigenvectors define principal directions of variation.</w:t>
      </w:r>
      <w:r>
        <w:fldChar w:fldCharType="begin" w:dirty="true"/>
      </w:r>
      <w:r>
        <w:instrText xml:space="preserve"> XE "Covariance" </w:instrText>
      </w:r>
      <w:r>
        <w:fldChar w:fldCharType="separate"/>
      </w:r>
      <w:r/>
      <w:r>
        <w:fldChar w:fldCharType="end"/>
      </w:r>
    </w:p>
    <w:p>
      <w:pPr>
        <w:pStyle w:val="BodyText"/>
      </w:pPr>
      <w:r>
        <w:t xml:space="preserve">The spectral radius is</w:t>
      </w:r>
    </w:p>
    <w:p>
      <w:pPr>
        <w:pStyle w:val="BodyText"/>
        <w:keepLines/>
      </w:pPr>
      <m:oMathPara>
        <m:oMathParaPr>
          <m:jc m:val="center"/>
        </m:oMathParaPr>
        <m:oMath>
          <m:r>
            <m:t>ρ</m:t>
          </m:r>
          <m:d>
            <m:dPr>
              <m:begChr m:val="("/>
              <m:endChr m:val=")"/>
              <m:sepChr m:val=""/>
              <m:grow/>
            </m:dPr>
            <m:e>
              <m:r>
                <m:t>A</m:t>
              </m:r>
            </m:e>
          </m:d>
          <m:r>
            <m:rPr>
              <m:sty m:val="p"/>
            </m:rPr>
            <m:t>=</m:t>
          </m:r>
          <m:limLow>
            <m:e>
              <m:r>
                <m:rPr>
                  <m:sty m:val="p"/>
                </m:rPr>
                <m:t>max</m:t>
              </m:r>
            </m:e>
            <m:lim>
              <m:r>
                <m:t>i</m:t>
              </m:r>
            </m:lim>
          </m:limLow>
          <m:d>
            <m:dPr>
              <m:begChr m:val="|"/>
              <m:endChr m:val="|"/>
              <m:sepChr m:val=""/>
              <m:grow/>
            </m:dPr>
            <m:e>
              <m:sSub>
                <m:e>
                  <m:r>
                    <m:t>λ</m:t>
                  </m:r>
                </m:e>
                <m:sub>
                  <m:r>
                    <m:t>i</m:t>
                  </m:r>
                </m:sub>
              </m:sSub>
            </m:e>
          </m:d>
          <m:r>
            <m:rPr>
              <m:sty m:val="p"/>
            </m:rPr>
            <m:t>.</m:t>
          </m:r>
        </m:oMath>
      </m:oMathPara>
    </w:p>
    <w:p>
      <w:pPr/>
      <w:r>
        <w:t>For the finite-dimensional autonomous discrete-time system xₜ₊₁ = Axₜ, every initial state tends to zero if and only if ρ(A) &lt; 1. At ρ(A) = 1, Jordan structure matters. Nonlinear, time-varying or forced systems require additional analysis; continuous-time stability uses a different criterion.</w:t>
      </w:r>
    </w:p>
    <w:bookmarkStart w:id="20" w:name="X44a8bff17cf93150e47a65220e3680f45c28ee6"/>
    <w:p>
      <w:pPr>
        <w:pStyle w:val="Heading2"/>
      </w:pPr>
      <w:r>
        <w:t xml:space="preserve">Worked development: Symmetry gives an orthonormal eigenbasis</w:t>
      </w:r>
    </w:p>
    <w:p>
      <w:pPr>
        <w:pStyle w:val="Normal"/>
      </w:pPr>
      <w:r>
        <w:t xml:space="preserve">Take</w:t>
      </w:r>
    </w:p>
    <w:p>
      <w:pPr>
        <w:pStyle w:val="Normal"/>
      </w:pPr>
      <m:oMathPara>
        <m:oMathParaPr>
          <m:jc m:val="center"/>
        </m:oMathParaPr>
        <m:oMath>
          <m:r>
            <m:t>S</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Normal"/>
      </w:pPr>
      <w:r>
        <w:t xml:space="preserve">The characteristic polynomial is</w:t>
      </w:r>
      <w:r>
        <w:t xml:space="preserve"> </w:t>
      </w:r>
      <m:oMath>
        <m:sSup>
          <m:e>
            <m:d>
              <m:dPr>
                <m:begChr m:val="("/>
                <m:endChr m:val=")"/>
                <m:sepChr m:val=""/>
                <m:grow/>
              </m:dPr>
              <m:e>
                <m:r>
                  <m:t>2</m:t>
                </m:r>
                <m:r>
                  <m:rPr>
                    <m:sty m:val="p"/>
                  </m:rPr>
                  <m:t>−</m:t>
                </m:r>
                <m:r>
                  <m:t>λ</m:t>
                </m:r>
              </m:e>
            </m:d>
          </m:e>
          <m:sup>
            <m:r>
              <m:t>2</m:t>
            </m:r>
          </m:sup>
        </m:sSup>
        <m:r>
          <m:rPr>
            <m:sty m:val="p"/>
          </m:rPr>
          <m:t>−</m:t>
        </m:r>
        <m:r>
          <m:t>1</m:t>
        </m:r>
        <m:r>
          <m:rPr>
            <m:sty m:val="p"/>
          </m:rPr>
          <m:t>=</m:t>
        </m:r>
        <m:sSup>
          <m:e>
            <m:r>
              <m:t>λ</m:t>
            </m:r>
          </m:e>
          <m:sup>
            <m:r>
              <m:t>2</m:t>
            </m:r>
          </m:sup>
        </m:sSup>
        <m:r>
          <m:rPr>
            <m:sty m:val="p"/>
          </m:rPr>
          <m:t>−</m:t>
        </m:r>
        <m:r>
          <m:t>4</m:t>
        </m:r>
        <m:r>
          <m:t>λ</m:t>
        </m:r>
        <m:r>
          <m:rPr>
            <m:sty m:val="p"/>
          </m:rPr>
          <m:t>+</m:t>
        </m:r>
        <m:r>
          <m:t>3</m:t>
        </m:r>
      </m:oMath>
      <w:r>
        <w:t xml:space="preserve">, so the eigenvalues are</w:t>
      </w:r>
      <w:r>
        <w:t xml:space="preserve"> </w:t>
      </w:r>
      <m:oMath>
        <m:r>
          <m:t>3</m:t>
        </m:r>
      </m:oMath>
      <w:r>
        <w:t xml:space="preserve"> </w:t>
      </w:r>
      <w:r>
        <w:t xml:space="preserve">and</w:t>
      </w:r>
      <w:r>
        <w:t xml:space="preserve"> </w:t>
      </w:r>
      <m:oMath>
        <m:r>
          <m:t>1</m:t>
        </m:r>
      </m:oMath>
      <w:r>
        <w:t xml:space="preserve">. Corresponding unit eigenvectors are</w:t>
      </w:r>
      <w:r>
        <w:t xml:space="preserve"> </w:t>
      </w:r>
      <m:oMath>
        <m:sSup>
          <m:e>
            <m:d>
              <m:dPr>
                <m:begChr m:val="("/>
                <m:endChr m:val=")"/>
                <m:sepChr m:val=""/>
                <m:grow/>
              </m:dPr>
              <m:e>
                <m:r>
                  <m:t>1</m:t>
                </m:r>
                <m:r>
                  <m:rPr>
                    <m:sty m:val="p"/>
                  </m:rPr>
                  <m:t>,</m:t>
                </m:r>
                <m:r>
                  <m:t>1</m:t>
                </m:r>
              </m:e>
            </m:d>
          </m:e>
          <m:sup>
            <m:r>
              <m:t>T</m:t>
            </m:r>
          </m:sup>
        </m:sSup>
        <m:r>
          <m:rPr>
            <m:sty m:val="p"/>
          </m:rPr>
          <m:t>/</m:t>
        </m:r>
        <m:rad>
          <m:radPr>
            <m:degHide m:val="on"/>
          </m:radPr>
          <m:deg/>
          <m:e>
            <m:r>
              <m:t>2</m:t>
            </m:r>
          </m:e>
        </m:rad>
      </m:oMath>
      <w:r>
        <w:t xml:space="preserve"> </w:t>
      </w:r>
      <w:r>
        <w:t xml:space="preserve">and</w:t>
      </w:r>
      <w:r>
        <w:t xml:space="preserve"> </w:t>
      </w:r>
      <m:oMath>
        <m:sSup>
          <m:e>
            <m:d>
              <m:dPr>
                <m:begChr m:val="("/>
                <m:endChr m:val=")"/>
                <m:sepChr m:val=""/>
                <m:grow/>
              </m:dPr>
              <m:e>
                <m:r>
                  <m:t>1</m:t>
                </m:r>
                <m:r>
                  <m:rPr>
                    <m:sty m:val="p"/>
                  </m:rPr>
                  <m:t>,</m:t>
                </m:r>
                <m:r>
                  <m:rPr>
                    <m:sty m:val="p"/>
                  </m:rPr>
                  <m:t>−</m:t>
                </m:r>
                <m:r>
                  <m:t>1</m:t>
                </m:r>
              </m:e>
            </m:d>
          </m:e>
          <m:sup>
            <m:r>
              <m:t>T</m:t>
            </m:r>
          </m:sup>
        </m:sSup>
        <m:r>
          <m:rPr>
            <m:sty m:val="p"/>
          </m:rPr>
          <m:t>/</m:t>
        </m:r>
        <m:rad>
          <m:radPr>
            <m:degHide m:val="on"/>
          </m:radPr>
          <m:deg/>
          <m:e>
            <m:r>
              <m:t>2</m:t>
            </m:r>
          </m:e>
        </m:rad>
      </m:oMath>
      <w:r>
        <w:t xml:space="preserve">. Numerical libraries can reverse either sign.</w:t>
      </w:r>
    </w:p>
    <w:p>
      <w:pPr>
        <w:pStyle w:val="Normal"/>
      </w:pPr>
      <w:r>
        <w:t xml:space="preserve">For a</w:t>
      </w:r>
      <w:r>
        <w:t xml:space="preserve"> </w:t>
      </w:r>
      <w:r>
        <w:rPr>
          <w:bCs/>
          <w:b/>
        </w:rPr>
        <w:t xml:space="preserve">real symmetric</w:t>
      </w:r>
      <w:r>
        <w:t xml:space="preserve"> </w:t>
      </w:r>
      <w:r>
        <w:t xml:space="preserve">matrix, the spectral theorem gives</w:t>
      </w:r>
      <w:r>
        <w:t xml:space="preserve"> </w:t>
      </w:r>
      <m:oMath>
        <m:r>
          <m:t>S</m:t>
        </m:r>
        <m:r>
          <m:rPr>
            <m:sty m:val="p"/>
          </m:rPr>
          <m:t>=</m:t>
        </m:r>
        <m:r>
          <m:t>Q</m:t>
        </m:r>
        <m:r>
          <m:t>D</m:t>
        </m:r>
        <m:sSup>
          <m:e>
            <m:r>
              <m:t>Q</m:t>
            </m:r>
          </m:e>
          <m:sup>
            <m:r>
              <m:t>T</m:t>
            </m:r>
          </m:sup>
        </m:sSup>
      </m:oMath>
      <w:r>
        <w:t xml:space="preserve"> </w:t>
      </w:r>
      <w:r>
        <w:t xml:space="preserve">with</w:t>
      </w:r>
      <w:r>
        <w:t xml:space="preserve"> </w:t>
      </w:r>
      <m:oMath>
        <m:sSup>
          <m:e>
            <m:r>
              <m:t>Q</m:t>
            </m:r>
          </m:e>
          <m:sup>
            <m:r>
              <m:t>T</m:t>
            </m:r>
          </m:sup>
        </m:sSup>
        <m:r>
          <m:t>Q</m:t>
        </m:r>
        <m:r>
          <m:rPr>
            <m:sty m:val="p"/>
          </m:rPr>
          <m:t>=</m:t>
        </m:r>
        <m:r>
          <m:t>I</m:t>
        </m:r>
      </m:oMath>
      <w:r>
        <w:t xml:space="preserve">. With repeated eigenvalues, the eigenbasis within a repeated eigenspace is not unique. This theorem does not apply to arbitrary nonsymmetric real matrices.</w:t>
      </w:r>
    </w:p>
    <w:bookmarkEnd w:id="20"/>
    <w:p>
      <w:pPr>
        <w:pStyle w:val="Normal"/>
      </w:pPr>
      <w:r>
        <w:t xml:space="preserve">For</w:t>
      </w:r>
      <w:r>
        <w:t xml:space="preserve"> </w:t>
      </w:r>
      <m:oMath>
        <m:r>
          <m:t>λ</m:t>
        </m:r>
        <m:r>
          <m:rPr>
            <m:sty m:val="p"/>
          </m:rPr>
          <m:t>=</m:t>
        </m:r>
        <m:r>
          <m:t>3</m:t>
        </m:r>
      </m:oMath>
      <w:r>
        <w:t xml:space="preserve">, solving</w:t>
      </w:r>
      <w:r>
        <w:t xml:space="preserve"> </w:t>
      </w:r>
      <m:oMath>
        <m:d>
          <m:dPr>
            <m:begChr m:val="("/>
            <m:endChr m:val=")"/>
            <m:sepChr m:val=""/>
            <m:grow/>
          </m:dPr>
          <m:e>
            <m:r>
              <m:t>S</m:t>
            </m:r>
            <m:r>
              <m:rPr>
                <m:sty m:val="p"/>
              </m:rPr>
              <m:t>−</m:t>
            </m:r>
            <m:r>
              <m:t>3</m:t>
            </m:r>
            <m:r>
              <m:t>I</m:t>
            </m:r>
          </m:e>
        </m:d>
        <m:r>
          <m:t>v</m:t>
        </m:r>
        <m:r>
          <m:rPr>
            <m:sty m:val="p"/>
          </m:rPr>
          <m:t>=</m:t>
        </m:r>
        <m:r>
          <m:t>0</m:t>
        </m:r>
      </m:oMath>
      <w:r>
        <w:t xml:space="preserve"> </w:t>
      </w:r>
      <w:r>
        <w:t xml:space="preserve">gives</w:t>
      </w:r>
      <w:r>
        <w:t xml:space="preserve"> </w:t>
      </w:r>
      <m:oMath>
        <m:sSub>
          <m:e>
            <m:r>
              <m:t>v</m:t>
            </m:r>
          </m:e>
          <m:sub>
            <m:r>
              <m:t>2</m:t>
            </m:r>
          </m:sub>
        </m:sSub>
        <m:r>
          <m:rPr>
            <m:sty m:val="p"/>
          </m:rPr>
          <m:t>=</m:t>
        </m:r>
        <m:sSub>
          <m:e>
            <m:r>
              <m:t>v</m:t>
            </m:r>
          </m:e>
          <m:sub>
            <m:r>
              <m:t>1</m:t>
            </m:r>
          </m:sub>
        </m:sSub>
      </m:oMath>
      <w:r>
        <w:t xml:space="preserve">; for</w:t>
      </w:r>
      <w:r>
        <w:t xml:space="preserve"> </w:t>
      </w:r>
      <m:oMath>
        <m:r>
          <m:t>λ</m:t>
        </m:r>
        <m:r>
          <m:rPr>
            <m:sty m:val="p"/>
          </m:rPr>
          <m:t>=</m:t>
        </m:r>
        <m:r>
          <m:t>1</m:t>
        </m:r>
      </m:oMath>
      <w:r>
        <w:t xml:space="preserve">,</w:t>
      </w:r>
      <w:r>
        <w:t xml:space="preserve"> </w:t>
      </w:r>
      <m:oMath>
        <m:d>
          <m:dPr>
            <m:begChr m:val="("/>
            <m:endChr m:val=")"/>
            <m:sepChr m:val=""/>
            <m:grow/>
          </m:dPr>
          <m:e>
            <m:r>
              <m:t>S</m:t>
            </m:r>
            <m:r>
              <m:rPr>
                <m:sty m:val="p"/>
              </m:rPr>
              <m:t>−</m:t>
            </m:r>
            <m:r>
              <m:t>I</m:t>
            </m:r>
          </m:e>
        </m:d>
        <m:r>
          <m:t>v</m:t>
        </m:r>
        <m:r>
          <m:rPr>
            <m:sty m:val="p"/>
          </m:rPr>
          <m:t>=</m:t>
        </m:r>
        <m:r>
          <m:t>0</m:t>
        </m:r>
      </m:oMath>
      <w:r>
        <w:t xml:space="preserve"> </w:t>
      </w:r>
      <w:r>
        <w:t xml:space="preserve">gives</w:t>
      </w:r>
      <w:r>
        <w:t xml:space="preserve"> </w:t>
      </w:r>
      <m:oMath>
        <m:sSub>
          <m:e>
            <m:r>
              <m:t>v</m:t>
            </m:r>
          </m:e>
          <m:sub>
            <m:r>
              <m:t>2</m:t>
            </m:r>
          </m:sub>
        </m:sSub>
        <m:r>
          <m:rPr>
            <m:sty m:val="p"/>
          </m:rPr>
          <m:t>=</m:t>
        </m:r>
        <m:r>
          <m:rPr>
            <m:sty m:val="p"/>
          </m:rPr>
          <m:t>−</m:t>
        </m:r>
        <m:sSub>
          <m:e>
            <m:r>
              <m:t>v</m:t>
            </m:r>
          </m:e>
          <m:sub>
            <m:r>
              <m:t>1</m:t>
            </m:r>
          </m:sub>
        </m:sSub>
      </m:oMath>
      <w:r>
        <w:t xml:space="preserve">. Normalizing provides</w:t>
      </w:r>
    </w:p>
    <w:p>
      <w:pPr>
        <w:pStyle w:val="Normal"/>
      </w:pPr>
      <m:oMathPara>
        <m:oMathParaPr>
          <m:jc m:val="center"/>
        </m:oMathParaPr>
        <m:oMath>
          <m:r>
            <m:t>Q</m:t>
          </m:r>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rPr>
              <m:sty m:val="p"/>
            </m:rPr>
            <m:t>,</m:t>
          </m:r>
          <m:r>
            <m:t>  </m:t>
          </m:r>
          <m:r>
            <m:t>D</m:t>
          </m:r>
          <m:r>
            <m:rPr>
              <m:sty m:val="p"/>
            </m:rPr>
            <m:t>=</m:t>
          </m:r>
          <m:d>
            <m:dPr>
              <m:begChr m:val="("/>
              <m:endChr m:val=")"/>
              <m:sep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oMath>
      </m:oMathPara>
    </w:p>
    <w:p>
      <w:pPr>
        <w:pStyle w:val="Normal"/>
      </w:pPr>
      <w:r>
        <w:t xml:space="preserve">The columns are orthonormal, so</w:t>
      </w:r>
      <w:r>
        <w:t xml:space="preserve"> </w:t>
      </w:r>
      <m:oMath>
        <m:sSup>
          <m:e>
            <m:r>
              <m:t>Q</m:t>
            </m:r>
          </m:e>
          <m:sup>
            <m:r>
              <m:rPr>
                <m:sty m:val="p"/>
              </m:rPr>
              <m:t>−</m:t>
            </m:r>
            <m:r>
              <m:t>1</m:t>
            </m:r>
          </m:sup>
        </m:sSup>
        <m:r>
          <m:rPr>
            <m:sty m:val="p"/>
          </m:rPr>
          <m:t>=</m:t>
        </m:r>
        <m:sSup>
          <m:e>
            <m:r>
              <m:t>Q</m:t>
            </m:r>
          </m:e>
          <m:sup>
            <m:r>
              <m:t>T</m:t>
            </m:r>
          </m:sup>
        </m:sSup>
      </m:oMath>
      <w:r>
        <w:t xml:space="preserve">. Verify both</w:t>
      </w:r>
      <w:r>
        <w:t xml:space="preserve"> </w:t>
      </w:r>
      <m:oMath>
        <m:sSup>
          <m:e>
            <m:r>
              <m:t>Q</m:t>
            </m:r>
          </m:e>
          <m:sup>
            <m:r>
              <m:t>T</m:t>
            </m:r>
          </m:sup>
        </m:sSup>
        <m:r>
          <m:t>Q</m:t>
        </m:r>
        <m:r>
          <m:rPr>
            <m:sty m:val="p"/>
          </m:rPr>
          <m:t>=</m:t>
        </m:r>
        <m:r>
          <m:t>I</m:t>
        </m:r>
      </m:oMath>
      <w:r>
        <w:t xml:space="preserve"> </w:t>
      </w:r>
      <w:r>
        <w:t xml:space="preserve">and</w:t>
      </w:r>
      <w:r>
        <w:t xml:space="preserve"> </w:t>
      </w:r>
      <m:oMath>
        <m:r>
          <m:t>Q</m:t>
        </m:r>
        <m:r>
          <m:t>D</m:t>
        </m:r>
        <m:sSup>
          <m:e>
            <m:r>
              <m:t>Q</m:t>
            </m:r>
          </m:e>
          <m:sup>
            <m:r>
              <m:t>T</m:t>
            </m:r>
          </m:sup>
        </m:sSup>
        <m:r>
          <m:rPr>
            <m:sty m:val="p"/>
          </m:rPr>
          <m:t>=</m:t>
        </m:r>
        <m:r>
          <m:t>S</m:t>
        </m:r>
      </m:oMath>
      <w:r>
        <w:t xml:space="preserve">. Sign changes do not alter the eigenspaces. The notebook sorts eigenvalues together with their eigenvector columns; sorting one without the other would destroy the pairing.</w:t>
      </w:r>
    </w:p>
    <w:bookmarkStart w:id="20" w:name="X511791af52300bbbdd534a038f682ff988301ee"/>
    <w:p>
      <w:pPr>
        <w:pStyle w:val="Heading2"/>
      </w:pPr>
      <w:r>
        <w:t xml:space="preserve">Worked development: Diagonalization, powers, and a counterexample</w:t>
      </w:r>
    </w:p>
    <w:p>
      <w:pPr>
        <w:pStyle w:val="Normal"/>
      </w:pPr>
      <w:r>
        <w:t xml:space="preserve">If a square matrix has a complete eigenvector basis over the chosen field, then</w:t>
      </w:r>
    </w:p>
    <w:p>
      <w:pPr>
        <w:pStyle w:val="Normal"/>
      </w:pPr>
      <m:oMathPara>
        <m:oMathParaPr>
          <m:jc m:val="center"/>
        </m:oMathParaPr>
        <m:oMath>
          <m:r>
            <m:t>A</m:t>
          </m:r>
          <m:r>
            <m:rPr>
              <m:sty m:val="p"/>
            </m:rPr>
            <m:t>=</m:t>
          </m:r>
          <m:r>
            <m:t>P</m:t>
          </m:r>
          <m:r>
            <m:t>D</m:t>
          </m:r>
          <m:sSup>
            <m:e>
              <m:r>
                <m:t>P</m:t>
              </m:r>
            </m:e>
            <m:sup>
              <m:r>
                <m:rPr>
                  <m:sty m:val="p"/>
                </m:rPr>
                <m:t>−</m:t>
              </m:r>
              <m:r>
                <m:t>1</m:t>
              </m:r>
            </m:sup>
          </m:sSup>
          <m:r>
            <m:rPr>
              <m:sty m:val="p"/>
            </m:rPr>
            <m:t>,</m:t>
          </m:r>
          <m:r>
            <m:t>  </m:t>
          </m:r>
          <m:sSup>
            <m:e>
              <m:r>
                <m:t>A</m:t>
              </m:r>
            </m:e>
            <m:sup>
              <m:r>
                <m:t>k</m:t>
              </m:r>
            </m:sup>
          </m:sSup>
          <m:r>
            <m:rPr>
              <m:sty m:val="p"/>
            </m:rPr>
            <m:t>=</m:t>
          </m:r>
          <m:r>
            <m:t>P</m:t>
          </m:r>
          <m:sSup>
            <m:e>
              <m:r>
                <m:t>D</m:t>
              </m:r>
            </m:e>
            <m:sup>
              <m:r>
                <m:t>k</m:t>
              </m:r>
            </m:sup>
          </m:sSup>
          <m:sSup>
            <m:e>
              <m:r>
                <m:t>P</m:t>
              </m:r>
            </m:e>
            <m:sup>
              <m:r>
                <m:rPr>
                  <m:sty m:val="p"/>
                </m:rPr>
                <m:t>−</m:t>
              </m:r>
              <m:r>
                <m:t>1</m:t>
              </m:r>
            </m:sup>
          </m:sSup>
          <m:r>
            <m:rPr>
              <m:sty m:val="p"/>
            </m:rPr>
            <m:t>.</m:t>
          </m:r>
        </m:oMath>
      </m:oMathPara>
    </w:p>
    <w:p>
      <w:pPr>
        <w:pStyle w:val="Normal"/>
      </w:pPr>
      <w:r>
        <w:t xml:space="preserve">For our symmetric example,</w:t>
      </w:r>
    </w:p>
    <w:p>
      <w:pPr>
        <w:pStyle w:val="Normal"/>
      </w:pPr>
      <m:oMathPara>
        <m:oMathParaPr>
          <m:jc m:val="center"/>
        </m:oMathParaPr>
        <m:oMath>
          <m:sSup>
            <m:e>
              <m:r>
                <m:t>S</m:t>
              </m:r>
            </m:e>
            <m:sup>
              <m:r>
                <m:t>k</m:t>
              </m:r>
            </m:sup>
          </m:sSup>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oMath>
      </m:oMathPara>
    </w:p>
    <w:p>
      <w:pPr>
        <w:pStyle w:val="Normal"/>
      </w:pPr>
      <w:r>
        <w:t xml:space="preserve">This holds also for</w:t>
      </w:r>
      <w:r>
        <w:t xml:space="preserve"> </w:t>
      </w:r>
      <m:oMath>
        <m:r>
          <m:t>k</m:t>
        </m:r>
        <m:r>
          <m:rPr>
            <m:sty m:val="p"/>
          </m:rPr>
          <m:t>=</m:t>
        </m:r>
        <m:r>
          <m:t>0</m:t>
        </m:r>
      </m:oMath>
      <w:r>
        <w:t xml:space="preserve">. Determinants are useful for small hand derivations; numerical eigensolvers are preferable to forming a large characteristic polynomial.</w:t>
      </w:r>
    </w:p>
    <w:p>
      <w:pPr>
        <w:pStyle w:val="Normal"/>
      </w:pPr>
      <w:r>
        <w:t xml:space="preserve">Not every matrix is diagonalizable. The Jordan matrix</w:t>
      </w:r>
      <w:r>
        <w:t xml:space="preserve"> </w:t>
      </w:r>
      <m:oMath>
        <m:r>
          <m:t>J</m:t>
        </m:r>
      </m:oMath>
      <w:r>
        <w:t xml:space="preserve"> </w:t>
      </w:r>
      <w:r>
        <w:t xml:space="preserve">below has eigenvalue</w:t>
      </w:r>
      <w:r>
        <w:t xml:space="preserve"> </w:t>
      </w:r>
      <m:oMath>
        <m:r>
          <m:t>1</m:t>
        </m:r>
      </m:oMath>
      <w:r>
        <w:t xml:space="preserve"> </w:t>
      </w:r>
      <w:r>
        <w:t xml:space="preserve">twice but only one independent eigenvector. Its powers contain a growing off-diagonal entry. Near-defective matrices can also yield ill-conditioned eigenvector matrices even when diagonalization is theoretically possible.</w:t>
      </w:r>
    </w:p>
    <w:bookmarkEnd w:id="20"/>
    <w:p>
      <w:pPr>
        <w:pStyle w:val="Normal"/>
      </w:pPr>
      <w:r>
        <w:t xml:space="preserve">At</w:t>
      </w:r>
      <w:r>
        <w:t xml:space="preserve"> </w:t>
      </w:r>
      <m:oMath>
        <m:r>
          <m:t>k</m:t>
        </m:r>
        <m:r>
          <m:rPr>
            <m:sty m:val="p"/>
          </m:rPr>
          <m:t>=</m:t>
        </m:r>
        <m:r>
          <m:t>10</m:t>
        </m:r>
      </m:oMath>
      <w:r>
        <w:t xml:space="preserve">,</w:t>
      </w:r>
      <w:r>
        <w:t xml:space="preserve"> </w:t>
      </w:r>
      <m:oMath>
        <m:sSup>
          <m:e>
            <m:r>
              <m:t>3</m:t>
            </m:r>
          </m:e>
          <m:sup>
            <m:r>
              <m:t>10</m:t>
            </m:r>
          </m:sup>
        </m:sSup>
        <m:r>
          <m:rPr>
            <m:sty m:val="p"/>
          </m:rPr>
          <m:t>=</m:t>
        </m:r>
        <m:r>
          <m:t>59049</m:t>
        </m:r>
      </m:oMath>
      <w:r>
        <w:t xml:space="preserve">, so</w:t>
      </w:r>
    </w:p>
    <w:p>
      <w:pPr>
        <w:pStyle w:val="Normal"/>
      </w:pPr>
      <m:oMathPara>
        <m:oMathParaPr>
          <m:jc m:val="center"/>
        </m:oMathParaPr>
        <m:oMath>
          <m:sSup>
            <m:e>
              <m:r>
                <m:t>S</m:t>
              </m:r>
            </m:e>
            <m:sup>
              <m:r>
                <m:t>10</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29525</m:t>
                    </m:r>
                  </m:e>
                  <m:e>
                    <m:r>
                      <m:t>29524</m:t>
                    </m:r>
                  </m:e>
                </m:mr>
                <m:mr>
                  <m:e>
                    <m:r>
                      <m:t>29524</m:t>
                    </m:r>
                  </m:e>
                  <m:e>
                    <m:r>
                      <m:t>29525</m:t>
                    </m:r>
                  </m:e>
                </m:mr>
              </m:m>
            </m:e>
          </m:d>
          <m:r>
            <m:rPr>
              <m:sty m:val="p"/>
            </m:rPr>
            <m:t>.</m:t>
          </m:r>
        </m:oMath>
      </m:oMathPara>
    </w:p>
    <w:p>
      <w:pPr>
        <w:pStyle w:val="Normal"/>
      </w:pPr>
      <w:r>
        <w:t xml:space="preserve">The notebook checks the same result through direct powers and</w:t>
      </w:r>
      <w:r>
        <w:t xml:space="preserve"> </w:t>
      </w:r>
      <w:r>
        <w:rPr>
          <w:rStyle w:val="VerbatimChar"/>
        </w:rPr>
        <w:t xml:space="preserve">srai_math</w:t>
      </w:r>
      <w:r>
        <w:t xml:space="preserve"> </w:t>
      </w:r>
      <w:r>
        <w:t xml:space="preserve">spectral powers for</w:t>
      </w:r>
      <w:r>
        <w:t xml:space="preserve"> </w:t>
      </w:r>
      <m:oMath>
        <m:r>
          <m:t>k</m:t>
        </m:r>
        <m:r>
          <m:rPr>
            <m:sty m:val="p"/>
          </m:rPr>
          <m:t>=</m:t>
        </m:r>
        <m:r>
          <m:t>0</m:t>
        </m:r>
        <m:r>
          <m:rPr>
            <m:sty m:val="p"/>
          </m:rPr>
          <m:t>,</m:t>
        </m:r>
        <m:r>
          <m:t>1</m:t>
        </m:r>
        <m:r>
          <m:rPr>
            <m:sty m:val="p"/>
          </m:rPr>
          <m:t>,</m:t>
        </m:r>
        <m:r>
          <m:t>2</m:t>
        </m:r>
        <m:r>
          <m:rPr>
            <m:sty m:val="p"/>
          </m:rPr>
          <m:t>,</m:t>
        </m:r>
        <m:r>
          <m:t>10</m:t>
        </m:r>
      </m:oMath>
      <w:r>
        <w:t xml:space="preserve">. The case</w:t>
      </w:r>
      <w:r>
        <w:t xml:space="preserve"> </w:t>
      </w:r>
      <m:oMath>
        <m:r>
          <m:t>k</m:t>
        </m:r>
        <m:r>
          <m:rPr>
            <m:sty m:val="p"/>
          </m:rPr>
          <m:t>=</m:t>
        </m:r>
        <m:r>
          <m:t>0</m:t>
        </m:r>
      </m:oMath>
      <w:r>
        <w:t xml:space="preserve"> </w:t>
      </w:r>
      <w:r>
        <w:t xml:space="preserve">must yield the identity.</w:t>
      </w:r>
    </w:p>
    <w:p>
      <w:pPr>
        <w:pStyle w:val="Normal"/>
      </w:pPr>
      <w:r>
        <w:t xml:space="preserve">For the defective counterexample,</w:t>
      </w:r>
    </w:p>
    <w:p>
      <w:pPr>
        <w:pStyle w:val="Normal"/>
      </w:pPr>
      <m:oMathPara>
        <m:oMathParaPr>
          <m:jc m:val="center"/>
        </m:oMathParaP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0</m:t>
                    </m:r>
                  </m:e>
                  <m:e>
                    <m:r>
                      <m:t>1</m:t>
                    </m:r>
                  </m:e>
                </m:mr>
              </m:m>
            </m:e>
          </m:d>
          <m:r>
            <m:rPr>
              <m:sty m:val="p"/>
            </m:rPr>
            <m:t>,</m:t>
          </m:r>
          <m:r>
            <m:t>  </m:t>
          </m:r>
          <m:sSup>
            <m:e>
              <m:r>
                <m:t>J</m:t>
              </m:r>
            </m:e>
            <m:sup>
              <m:r>
                <m:t>k</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k</m:t>
                    </m:r>
                  </m:e>
                </m:mr>
                <m:mr>
                  <m:e>
                    <m:r>
                      <m:t>0</m:t>
                    </m:r>
                  </m:e>
                  <m:e>
                    <m:r>
                      <m:t>1</m:t>
                    </m:r>
                  </m:e>
                </m:mr>
              </m:m>
            </m:e>
          </m:d>
          <m:r>
            <m:rPr>
              <m:sty m:val="p"/>
            </m:rPr>
            <m:t>.</m:t>
          </m:r>
        </m:oMath>
      </m:oMathPara>
    </w:p>
    <w:p>
      <w:pPr>
        <w:pStyle w:val="Normal"/>
      </w:pPr>
      <w:r>
        <w:t xml:space="preserve">Writing</w:t>
      </w:r>
      <w:r>
        <w:t xml:space="preserve"> </w:t>
      </w:r>
      <m:oMath>
        <m:r>
          <m:t>J</m:t>
        </m:r>
        <m:r>
          <m:rPr>
            <m:sty m:val="p"/>
          </m:rPr>
          <m:t>=</m:t>
        </m:r>
        <m:r>
          <m:t>I</m:t>
        </m:r>
        <m:r>
          <m:rPr>
            <m:sty m:val="p"/>
          </m:rPr>
          <m:t>+</m:t>
        </m:r>
        <m:r>
          <m:t>N</m:t>
        </m:r>
      </m:oMath>
      <w:r>
        <w:t xml:space="preserve"> </w:t>
      </w:r>
      <w:r>
        <w:t xml:space="preserve">gives</w:t>
      </w:r>
      <w:r>
        <w:t xml:space="preserve"> </w:t>
      </w:r>
      <m:oMath>
        <m:sSup>
          <m:e>
            <m:r>
              <m:t>N</m:t>
            </m:r>
          </m:e>
          <m:sup>
            <m:r>
              <m:t>2</m:t>
            </m:r>
          </m:sup>
        </m:sSup>
        <m:r>
          <m:rPr>
            <m:sty m:val="p"/>
          </m:rPr>
          <m:t>=</m:t>
        </m:r>
        <m:r>
          <m:t>0</m:t>
        </m:r>
      </m:oMath>
      <w:r>
        <w:t xml:space="preserve">, hence</w:t>
      </w:r>
      <w:r>
        <w:t xml:space="preserve"> </w:t>
      </w:r>
      <m:oMath>
        <m:sSup>
          <m:e>
            <m:r>
              <m:t>J</m:t>
            </m:r>
          </m:e>
          <m:sup>
            <m:r>
              <m:t>k</m:t>
            </m:r>
          </m:sup>
        </m:sSup>
        <m:r>
          <m:rPr>
            <m:sty m:val="p"/>
          </m:rPr>
          <m:t>=</m:t>
        </m:r>
        <m:r>
          <m:t>I</m:t>
        </m:r>
        <m:r>
          <m:rPr>
            <m:sty m:val="p"/>
          </m:rPr>
          <m:t>+</m:t>
        </m:r>
        <m:r>
          <m:t>k</m:t>
        </m:r>
        <m:r>
          <m:t>N</m:t>
        </m:r>
      </m:oMath>
      <w:r>
        <w:t xml:space="preserve">. The equation</w:t>
      </w:r>
      <w:r>
        <w:t xml:space="preserve"> </w:t>
      </w:r>
      <m:oMath>
        <m:d>
          <m:dPr>
            <m:begChr m:val="("/>
            <m:endChr m:val=")"/>
            <m:sepChr m:val=""/>
            <m:grow/>
          </m:dPr>
          <m:e>
            <m:r>
              <m:t>J</m:t>
            </m:r>
            <m:r>
              <m:rPr>
                <m:sty m:val="p"/>
              </m:rPr>
              <m:t>−</m:t>
            </m:r>
            <m:r>
              <m:t>I</m:t>
            </m:r>
          </m:e>
        </m:d>
        <m:r>
          <m:t>v</m:t>
        </m:r>
        <m:r>
          <m:rPr>
            <m:sty m:val="p"/>
          </m:rPr>
          <m:t>=</m:t>
        </m:r>
        <m:r>
          <m:t>0</m:t>
        </m:r>
      </m:oMath>
      <w:r>
        <w:t xml:space="preserve"> </w:t>
      </w:r>
      <w:r>
        <w:t xml:space="preserve">forces</w:t>
      </w:r>
      <w:r>
        <w:t xml:space="preserve"> </w:t>
      </w:r>
      <m:oMath>
        <m:sSub>
          <m:e>
            <m:r>
              <m:t>v</m:t>
            </m:r>
          </m:e>
          <m:sub>
            <m:r>
              <m:t>2</m:t>
            </m:r>
          </m:sub>
        </m:sSub>
        <m:r>
          <m:rPr>
            <m:sty m:val="p"/>
          </m:rPr>
          <m:t>=</m:t>
        </m:r>
        <m:r>
          <m:t>0</m:t>
        </m:r>
      </m:oMath>
      <w:r>
        <w:t xml:space="preserve">. Its one-dimensional eigenspace cannot provide a two-vector basis.</w:t>
      </w:r>
    </w:p>
    <w:p>
      <w:pPr>
        <w:pStyle w:val="Normal"/>
      </w:pPr>
      <w:r>
        <w:t xml:space="preserve">A real matrix may need complex eigenpairs: the rotation</w:t>
      </w:r>
    </w:p>
    <w:p>
      <w:pPr>
        <w:pStyle w:val="Normal"/>
      </w:pPr>
      <m:oMathPara>
        <m:oMathParaPr>
          <m:jc m:val="center"/>
        </m:oMathParaPr>
        <m:oMath>
          <m:r>
            <m:t>R</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m:oMathPara>
    </w:p>
    <w:p>
      <w:pPr>
        <w:pStyle w:val="Normal"/>
      </w:pPr>
      <w:r>
        <w:t xml:space="preserve">has eigenvalues</w:t>
      </w:r>
      <w:r>
        <w:t xml:space="preserve"> </w:t>
      </w:r>
      <m:oMath>
        <m:r>
          <m:t>i</m:t>
        </m:r>
      </m:oMath>
      <w:r>
        <w:t xml:space="preserve"> </w:t>
      </w:r>
      <w:r>
        <w:t xml:space="preserve">and</w:t>
      </w:r>
      <w:r>
        <w:t xml:space="preserve"> </w:t>
      </w:r>
      <m:oMath>
        <m:r>
          <m:rPr>
            <m:sty m:val="p"/>
          </m:rPr>
          <m:t>−</m:t>
        </m:r>
        <m:r>
          <m:t>i</m:t>
        </m:r>
      </m:oMath>
      <w:r>
        <w:t xml:space="preserve">. For example,</w:t>
      </w:r>
      <w:r>
        <w:t xml:space="preserve"> </w:t>
      </w:r>
      <m:oMath>
        <m:sSup>
          <m:e>
            <m:d>
              <m:dPr>
                <m:begChr m:val="("/>
                <m:endChr m:val=")"/>
                <m:sepChr m:val=""/>
                <m:grow/>
              </m:dPr>
              <m:e>
                <m:r>
                  <m:t>1</m:t>
                </m:r>
                <m:r>
                  <m:rPr>
                    <m:sty m:val="p"/>
                  </m:rPr>
                  <m:t>,</m:t>
                </m:r>
                <m:r>
                  <m:rPr>
                    <m:sty m:val="p"/>
                  </m:rPr>
                  <m:t>−</m:t>
                </m:r>
                <m:r>
                  <m:t>i</m:t>
                </m:r>
              </m:e>
            </m:d>
          </m:e>
          <m:sup>
            <m:r>
              <m:t>T</m:t>
            </m:r>
          </m:sup>
        </m:sSup>
      </m:oMath>
      <w:r>
        <w:t xml:space="preserve"> </w:t>
      </w:r>
      <w:r>
        <w:t xml:space="preserve">is an eigenvector for</w:t>
      </w:r>
      <w:r>
        <w:t xml:space="preserve"> </w:t>
      </w:r>
      <m:oMath>
        <m:r>
          <m:t>i</m:t>
        </m:r>
      </m:oMath>
      <w:r>
        <w:t xml:space="preserve">. No real line is preserved by this 90-degree rotation.</w:t>
      </w:r>
    </w:p>
    <w:bookmarkStart w:id="20" w:name="X37860fd456a951cb703cfe05111697c21d54e40"/>
    <w:p>
      <w:pPr>
        <w:pStyle w:val="Heading2"/>
      </w:pPr>
      <w:r>
        <w:t xml:space="preserve">Worked development: Spectral radius and discrete-time stability</w:t>
      </w:r>
    </w:p>
    <w:p>
      <w:pPr>
        <w:pStyle w:val="Normal"/>
      </w:pPr>
      <w:r>
        <w:t xml:space="preserve">The spectral radius is</w:t>
      </w:r>
    </w:p>
    <w:p>
      <w:pPr>
        <w:pStyle w:val="Normal"/>
      </w:pPr>
      <m:oMathPara>
        <m:oMathParaPr>
          <m:jc m:val="center"/>
        </m:oMathParaPr>
        <m:oMath>
          <m:r>
            <m:t>ρ</m:t>
          </m:r>
          <m:d>
            <m:dPr>
              <m:begChr m:val="("/>
              <m:endChr m:val=")"/>
              <m:sepChr m:val=""/>
              <m:grow/>
            </m:dPr>
            <m:e>
              <m:r>
                <m:t>A</m:t>
              </m:r>
            </m:e>
          </m:d>
          <m:r>
            <m:rPr>
              <m:sty m:val="p"/>
            </m:rPr>
            <m:t>=</m:t>
          </m:r>
          <m:limLow>
            <m:e>
              <m:r>
                <m:rPr>
                  <m:sty m:val="p"/>
                </m:rPr>
                <m:t>max</m:t>
              </m:r>
            </m:e>
            <m:lim>
              <m:r>
                <m:t>i</m:t>
              </m:r>
            </m:lim>
          </m:limLow>
          <m:d>
            <m:dPr>
              <m:begChr m:val="|"/>
              <m:endChr m:val="|"/>
              <m:sepChr m:val=""/>
              <m:grow/>
            </m:dPr>
            <m:e>
              <m:sSub>
                <m:e>
                  <m:r>
                    <m:t>λ</m:t>
                  </m:r>
                </m:e>
                <m:sub>
                  <m:r>
                    <m:t>i</m:t>
                  </m:r>
                </m:sub>
              </m:sSub>
            </m:e>
          </m:d>
          <m:r>
            <m:rPr>
              <m:sty m:val="p"/>
            </m:rPr>
            <m:t>.</m:t>
          </m:r>
        </m:oMath>
      </m:oMathPara>
    </w:p>
    <w:p>
      <w:pPr>
        <w:pStyle w:val="Normal"/>
      </w:pPr>
      <w:r>
        <w:t xml:space="preserve">For a finite-dimensional</w:t>
      </w:r>
      <w:r>
        <w:t xml:space="preserve"> </w:t>
      </w:r>
      <w:r>
        <w:rPr>
          <w:bCs/>
          <w:b/>
        </w:rPr>
        <w:t xml:space="preserve">autonomous discrete-time linear system</w:t>
      </w:r>
      <w:r>
        <w:t xml:space="preserve"> </w:t>
      </w:r>
      <m:oMath>
        <m:sSub>
          <m:e>
            <m:r>
              <m:t>x</m:t>
            </m:r>
          </m:e>
          <m:sub>
            <m:r>
              <m:t>t</m:t>
            </m:r>
            <m:r>
              <m:rPr>
                <m:sty m:val="p"/>
              </m:rPr>
              <m:t>+</m:t>
            </m:r>
            <m:r>
              <m:t>1</m:t>
            </m:r>
          </m:sub>
        </m:sSub>
        <m:r>
          <m:rPr>
            <m:sty m:val="p"/>
          </m:rPr>
          <m:t>=</m:t>
        </m:r>
        <m:r>
          <m:t>A</m:t>
        </m:r>
        <m:sSub>
          <m:e>
            <m:r>
              <m:t>x</m:t>
            </m:r>
          </m:e>
          <m:sub>
            <m:r>
              <m:t>t</m:t>
            </m:r>
          </m:sub>
        </m:sSub>
      </m:oMath>
      <w:r>
        <w:t xml:space="preserve">, every initial state tends to zero exactly when</w:t>
      </w:r>
      <w:r>
        <w:t xml:space="preserve"> </w:t>
      </w:r>
      <m:oMath>
        <m:r>
          <m:t>ρ</m:t>
        </m:r>
        <m:d>
          <m:dPr>
            <m:begChr m:val="("/>
            <m:endChr m:val=")"/>
            <m:sepChr m:val=""/>
            <m:grow/>
          </m:dPr>
          <m:e>
            <m:r>
              <m:t>A</m:t>
            </m:r>
          </m:e>
        </m:d>
        <m:r>
          <m:rPr>
            <m:sty m:val="p"/>
          </m:rPr>
          <m:t>&lt;</m:t>
        </m:r>
        <m:r>
          <m:t>1</m:t>
        </m:r>
      </m:oMath>
      <w:r>
        <w:t xml:space="preserve">. This is not the same criterion as for continuous-time dynamics. Inputs, time-varying coefficients and nonlinearities require other analysis.</w:t>
      </w:r>
    </w:p>
    <w:p>
      <w:pPr>
        <w:pStyle w:val="Normal"/>
      </w:pPr>
      <w:r>
        <w:t xml:space="preserve">At radius one, the identity keeps states constant while a nontrivial Jordan block can cause growth. Even below one, a nonnormal matrix may show substantial transient amplification before eventual decay. A single decaying trajectory cannot establish stability for all initial states.</w:t>
      </w:r>
    </w:p>
    <w:bookmarkEnd w:id="20"/>
    <w:p>
      <w:pPr>
        <w:pStyle w:val="Normal"/>
      </w:pPr>
      <w:r>
        <w:t xml:space="preserve">Compare</w:t>
      </w:r>
    </w:p>
    <w:p>
      <w:pPr>
        <w:pStyle w:val="Normal"/>
      </w:pPr>
      <m:oMathPara>
        <m:oMathParaPr>
          <m:jc m:val="center"/>
        </m:oMathParaPr>
        <m:oMath>
          <m:r>
            <m:t>B</m:t>
          </m:r>
          <m:r>
            <m:rPr>
              <m:sty m:val="p"/>
            </m:rPr>
            <m:t>=</m:t>
          </m:r>
          <m:d>
            <m:dPr>
              <m:begChr m:val="("/>
              <m:endChr m:val=")"/>
              <m:sepChr m:val=""/>
              <m:grow/>
            </m:dPr>
            <m:e>
              <m:m>
                <m:mPr>
                  <m:baseJc m:val="center"/>
                  <m:plcHide m:val="on"/>
                  <m:mcs>
                    <m:mc>
                      <m:mcPr>
                        <m:mcJc m:val="center"/>
                        <m:count m:val="1"/>
                      </m:mcPr>
                    </m:mc>
                    <m:mc>
                      <m:mcPr>
                        <m:mcJc m:val="center"/>
                        <m:count m:val="1"/>
                      </m:mcPr>
                    </m:mc>
                  </m:mcs>
                </m:mPr>
                <m:mr>
                  <m:e>
                    <m:r>
                      <m:t>0.7</m:t>
                    </m:r>
                  </m:e>
                  <m:e>
                    <m:r>
                      <m:t>0.1</m:t>
                    </m:r>
                  </m:e>
                </m:mr>
                <m:mr>
                  <m:e>
                    <m:r>
                      <m:t>0</m:t>
                    </m:r>
                  </m:e>
                  <m:e>
                    <m:r>
                      <m:t>0.8</m:t>
                    </m:r>
                  </m:e>
                </m:mr>
              </m:m>
            </m:e>
          </m:d>
          <m:r>
            <m:rPr>
              <m:sty m:val="p"/>
            </m:rPr>
            <m:t>,</m:t>
          </m:r>
          <m:r>
            <m:t> </m:t>
          </m:r>
          <m:r>
            <m:t>U</m:t>
          </m:r>
          <m:r>
            <m:rPr>
              <m:sty m:val="p"/>
            </m:rPr>
            <m:t>=</m:t>
          </m:r>
          <m:d>
            <m:dPr>
              <m:begChr m:val="("/>
              <m:endChr m:val=")"/>
              <m:sepChr m:val=""/>
              <m:grow/>
            </m:dPr>
            <m:e>
              <m:m>
                <m:mPr>
                  <m:baseJc m:val="center"/>
                  <m:plcHide m:val="on"/>
                  <m:mcs>
                    <m:mc>
                      <m:mcPr>
                        <m:mcJc m:val="center"/>
                        <m:count m:val="1"/>
                      </m:mcPr>
                    </m:mc>
                    <m:mc>
                      <m:mcPr>
                        <m:mcJc m:val="center"/>
                        <m:count m:val="1"/>
                      </m:mcPr>
                    </m:mc>
                  </m:mcs>
                </m:mPr>
                <m:mr>
                  <m:e>
                    <m:r>
                      <m:t>1.1</m:t>
                    </m:r>
                  </m:e>
                  <m:e>
                    <m:r>
                      <m:t>0</m:t>
                    </m:r>
                  </m:e>
                </m:mr>
                <m:mr>
                  <m:e>
                    <m:r>
                      <m:t>0</m:t>
                    </m:r>
                  </m:e>
                  <m:e>
                    <m:r>
                      <m:t>0.9</m:t>
                    </m:r>
                  </m:e>
                </m:mr>
              </m:m>
            </m:e>
          </m:d>
          <m:r>
            <m:rPr>
              <m:sty m:val="p"/>
            </m:rPr>
            <m:t>.</m:t>
          </m:r>
        </m:oMath>
      </m:oMathPara>
    </w:p>
    <w:p>
      <w:pPr>
        <w:pStyle w:val="Normal"/>
      </w:pPr>
      <w:r>
        <w:t xml:space="preserve">The radii are</w:t>
      </w:r>
      <w:r>
        <w:t xml:space="preserve"> </w:t>
      </w:r>
      <m:oMath>
        <m:r>
          <m:t>0.8</m:t>
        </m:r>
      </m:oMath>
      <w:r>
        <w:t xml:space="preserve"> </w:t>
      </w:r>
      <w:r>
        <w:t xml:space="preserve">and</w:t>
      </w:r>
      <w:r>
        <w:t xml:space="preserve"> </w:t>
      </w:r>
      <m:oMath>
        <m:r>
          <m:t>1.1</m:t>
        </m:r>
      </m:oMath>
      <w:r>
        <w:t xml:space="preserve">. For</w:t>
      </w:r>
      <w:r>
        <w:t xml:space="preserve"> </w:t>
      </w:r>
      <m:oMath>
        <m:r>
          <m:t>B</m:t>
        </m:r>
      </m:oMath>
      <w:r>
        <w:t xml:space="preserve">, starting at</w:t>
      </w:r>
      <w:r>
        <w:t xml:space="preserve"> </w:t>
      </w:r>
      <m:oMath>
        <m:sSup>
          <m:e>
            <m:d>
              <m:dPr>
                <m:begChr m:val="("/>
                <m:endChr m:val=")"/>
                <m:sepChr m:val=""/>
                <m:grow/>
              </m:dPr>
              <m:e>
                <m:r>
                  <m:t>1</m:t>
                </m:r>
                <m:r>
                  <m:rPr>
                    <m:sty m:val="p"/>
                  </m:rPr>
                  <m:t>,</m:t>
                </m:r>
                <m:r>
                  <m:t>1</m:t>
                </m:r>
              </m:e>
            </m:d>
          </m:e>
          <m:sup>
            <m:r>
              <m:t>T</m:t>
            </m:r>
          </m:sup>
        </m:sSup>
      </m:oMath>
      <w:r>
        <w:t xml:space="preserve"> </w:t>
      </w:r>
      <w:r>
        <w:t xml:space="preserve">gives</w:t>
      </w:r>
      <w:r>
        <w:t xml:space="preserve"> </w:t>
      </w:r>
      <m:oMath>
        <m:sSup>
          <m:e>
            <m:r>
              <m:t>0.8</m:t>
            </m:r>
          </m:e>
          <m:sup>
            <m:r>
              <m:t>t</m:t>
            </m:r>
          </m:sup>
        </m:sSup>
        <m:sSup>
          <m:e>
            <m:d>
              <m:dPr>
                <m:begChr m:val="("/>
                <m:endChr m:val=")"/>
                <m:sepChr m:val=""/>
                <m:grow/>
              </m:dPr>
              <m:e>
                <m:r>
                  <m:t>1</m:t>
                </m:r>
                <m:r>
                  <m:rPr>
                    <m:sty m:val="p"/>
                  </m:rPr>
                  <m:t>,</m:t>
                </m:r>
                <m:r>
                  <m:t>1</m:t>
                </m:r>
              </m:e>
            </m:d>
          </m:e>
          <m:sup>
            <m:r>
              <m:t>T</m:t>
            </m:r>
          </m:sup>
        </m:sSup>
      </m:oMath>
      <w:r>
        <w:t xml:space="preserve">. For</w:t>
      </w:r>
      <w:r>
        <w:t xml:space="preserve"> </w:t>
      </w:r>
      <m:oMath>
        <m:r>
          <m:t>U</m:t>
        </m:r>
      </m:oMath>
      <w:r>
        <w:t xml:space="preserve">, the special start</w:t>
      </w:r>
      <w:r>
        <w:t xml:space="preserve"> </w:t>
      </w:r>
      <m:oMath>
        <m:sSup>
          <m:e>
            <m:d>
              <m:dPr>
                <m:begChr m:val="("/>
                <m:endChr m:val=")"/>
                <m:sepChr m:val=""/>
                <m:grow/>
              </m:dPr>
              <m:e>
                <m:r>
                  <m:t>0</m:t>
                </m:r>
                <m:r>
                  <m:rPr>
                    <m:sty m:val="p"/>
                  </m:rPr>
                  <m:t>,</m:t>
                </m:r>
                <m:r>
                  <m:t>1</m:t>
                </m:r>
              </m:e>
            </m:d>
          </m:e>
          <m:sup>
            <m:r>
              <m:t>T</m:t>
            </m:r>
          </m:sup>
        </m:sSup>
      </m:oMath>
      <w:r>
        <w:t xml:space="preserve"> </w:t>
      </w:r>
      <w:r>
        <w:t xml:space="preserve">decays despite the unstable first mode. Testing only that start could falsely suggest system-wide stability.</w:t>
      </w:r>
    </w:p>
    <w:p>
      <w:pPr>
        <w:pStyle w:val="Normal"/>
      </w:pPr>
      <w:r>
        <w:t xml:space="preserve">For a diagonalizable stable matrix the powers of each eigenvalue decay. Jordan powers may contain polynomial factors, but exponential decay with modulus below one eventually dominates them. At modulus one, those polynomial factors need not decay. Thus the identity has constant trajectories while</w:t>
      </w:r>
      <w:r>
        <w:t xml:space="preserve"> </w:t>
      </w:r>
      <m:oMath>
        <m:r>
          <m:t>J</m:t>
        </m:r>
      </m:oMath>
      <w:r>
        <w:t xml:space="preserve"> </w:t>
      </w:r>
      <w:r>
        <w:t xml:space="preserve">can grow linearly.</w:t>
      </w:r>
    </w:p>
    <w:p>
      <w:pPr>
        <w:pStyle w:val="Normal"/>
      </w:pPr>
      <w:r>
        <w:t xml:space="preserve">The nonnormal matrix</w:t>
      </w:r>
    </w:p>
    <w:p>
      <w:pPr>
        <w:pStyle w:val="Normal"/>
      </w:pPr>
      <m:oMathPara>
        <m:oMathParaPr>
          <m:jc m:val="center"/>
        </m:oMathParaPr>
        <m:oMath>
          <m:r>
            <m:t>T</m:t>
          </m:r>
          <m:r>
            <m:rPr>
              <m:sty m:val="p"/>
            </m:rPr>
            <m:t>=</m:t>
          </m:r>
          <m:d>
            <m:dPr>
              <m:begChr m:val="("/>
              <m:endChr m:val=")"/>
              <m:sepChr m:val=""/>
              <m:grow/>
            </m:dPr>
            <m:e>
              <m:m>
                <m:mPr>
                  <m:baseJc m:val="center"/>
                  <m:plcHide m:val="on"/>
                  <m:mcs>
                    <m:mc>
                      <m:mcPr>
                        <m:mcJc m:val="center"/>
                        <m:count m:val="1"/>
                      </m:mcPr>
                    </m:mc>
                    <m:mc>
                      <m:mcPr>
                        <m:mcJc m:val="center"/>
                        <m:count m:val="1"/>
                      </m:mcPr>
                    </m:mc>
                  </m:mcs>
                </m:mPr>
                <m:mr>
                  <m:e>
                    <m:r>
                      <m:t>0.8</m:t>
                    </m:r>
                  </m:e>
                  <m:e>
                    <m:r>
                      <m:t>4</m:t>
                    </m:r>
                  </m:e>
                </m:mr>
                <m:mr>
                  <m:e>
                    <m:r>
                      <m:t>0</m:t>
                    </m:r>
                  </m:e>
                  <m:e>
                    <m:r>
                      <m:t>0.8</m:t>
                    </m:r>
                  </m:e>
                </m:mr>
              </m:m>
            </m:e>
          </m:d>
        </m:oMath>
      </m:oMathPara>
    </w:p>
    <w:p>
      <w:pPr>
        <w:pStyle w:val="Normal"/>
      </w:pPr>
      <w:r>
        <w:t xml:space="preserve">has radius</w:t>
      </w:r>
      <w:r>
        <w:t xml:space="preserve"> </w:t>
      </w:r>
      <m:oMath>
        <m:r>
          <m:t>0.8</m:t>
        </m:r>
      </m:oMath>
      <w:r>
        <w:t xml:space="preserve">, but the off-diagonal entry of</w:t>
      </w:r>
      <w:r>
        <w:t xml:space="preserve"> </w:t>
      </w:r>
      <m:oMath>
        <m:sSup>
          <m:e>
            <m:r>
              <m:t>T</m:t>
            </m:r>
          </m:e>
          <m:sup>
            <m:r>
              <m:t>k</m:t>
            </m:r>
          </m:sup>
        </m:sSup>
      </m:oMath>
      <w:r>
        <w:t xml:space="preserve"> </w:t>
      </w:r>
      <w:r>
        <w:t xml:space="preserve">is</w:t>
      </w:r>
      <w:r>
        <w:t xml:space="preserve"> </w:t>
      </w:r>
      <m:oMath>
        <m:r>
          <m:t>4</m:t>
        </m:r>
        <m:r>
          <m:t>k</m:t>
        </m:r>
        <m:sSup>
          <m:e>
            <m:d>
              <m:dPr>
                <m:begChr m:val="("/>
                <m:endChr m:val=")"/>
                <m:sepChr m:val=""/>
                <m:grow/>
              </m:dPr>
              <m:e>
                <m:r>
                  <m:t>0.8</m:t>
                </m:r>
              </m:e>
            </m:d>
          </m:e>
          <m:sup>
            <m:r>
              <m:t>k</m:t>
            </m:r>
            <m:r>
              <m:rPr>
                <m:sty m:val="p"/>
              </m:rPr>
              <m:t>−</m:t>
            </m:r>
            <m:r>
              <m:t>1</m:t>
            </m:r>
          </m:sup>
        </m:sSup>
      </m:oMath>
      <w:r>
        <w:t xml:space="preserve"> </w:t>
      </w:r>
      <w:r>
        <w:t xml:space="preserve">for</w:t>
      </w:r>
      <w:r>
        <w:t xml:space="preserve"> </w:t>
      </w:r>
      <m:oMath>
        <m:r>
          <m:t>k</m:t>
        </m:r>
        <m:r>
          <m:rPr>
            <m:sty m:val="p"/>
          </m:rPr>
          <m:t>≥</m:t>
        </m:r>
        <m:r>
          <m:t>1</m:t>
        </m:r>
      </m:oMath>
      <w:r>
        <w:t xml:space="preserve">. A start at</w:t>
      </w:r>
      <w:r>
        <w:t xml:space="preserve"> </w:t>
      </w:r>
      <m:oMath>
        <m:sSup>
          <m:e>
            <m:d>
              <m:dPr>
                <m:begChr m:val="("/>
                <m:endChr m:val=")"/>
                <m:sepChr m:val=""/>
                <m:grow/>
              </m:dPr>
              <m:e>
                <m:r>
                  <m:t>0</m:t>
                </m:r>
                <m:r>
                  <m:rPr>
                    <m:sty m:val="p"/>
                  </m:rPr>
                  <m:t>,</m:t>
                </m:r>
                <m:r>
                  <m:t>1</m:t>
                </m:r>
              </m:e>
            </m:d>
          </m:e>
          <m:sup>
            <m:r>
              <m:t>T</m:t>
            </m:r>
          </m:sup>
        </m:sSup>
      </m:oMath>
      <w:r>
        <w:t xml:space="preserve"> </w:t>
      </w:r>
      <w:r>
        <w:t xml:space="preserve">initially amplifies before decaying. Long-run stability does not guarantee acceptable short-run exposure.</w:t>
      </w:r>
    </w:p>
    <w:p>
      <w:pPr>
        <w:keepNext/>
      </w:pPr>
      <w:r>
        <w:drawing>
          <wp:inline>
            <wp:extent cx="5943600" cy="1981200"/>
            <wp:docPr id="2" name="Picture 2" descr="Figure 6.2. Left: stable and unstable trajectories on a log-norm scale. Right: identity, Jordan growth and transient amplification. These are synthetic autonomous linear systems."/>
            <wp:cNvGraphicFramePr>
              <a:graphicFrameLocks noChangeAspect="1"/>
            </wp:cNvGraphicFramePr>
            <a:graphic>
              <a:graphicData uri="http://schemas.openxmlformats.org/drawingml/2006/picture">
                <pic:pic>
                  <pic:nvPicPr>
                    <pic:cNvPr id="0" name="figure-2.png"/>
                    <pic:cNvPicPr/>
                  </pic:nvPicPr>
                  <pic:blipFill>
                    <a:blip r:embed="rId12"/>
                    <a:stretch>
                      <a:fillRect/>
                    </a:stretch>
                  </pic:blipFill>
                  <pic:spPr>
                    <a:xfrm>
                      <a:off x="0" y="0"/>
                      <a:ext cx="5943600" cy="1981200"/>
                    </a:xfrm>
                    <a:prstGeom prst="rect"/>
                  </pic:spPr>
                </pic:pic>
              </a:graphicData>
            </a:graphic>
          </wp:inline>
        </w:drawing>
      </w:r>
    </w:p>
    <w:p>
      <w:pPr/>
      <w:r>
        <w:rPr>
          <w:i/>
          <w:sz w:val="18"/>
        </w:rPr>
        <w:t>Figure 6.2. Left: stable and unstable trajectories on a log-norm scale. Right: identity, Jordan growth and transient amplification. These are synthetic autonomous linear systems.</w:t>
      </w:r>
    </w:p>
    <w:p>
      <w:pPr>
        <w:pStyle w:val="Heading1"/>
      </w:pPr>
      <w:r>
        <w:t>6.5 Power Iteration</w:t>
      </w:r>
    </w:p>
    <w:p>
      <w:pPr/>
      <w:r>
        <w:t>Starting with a nonzero x₀, provided Axₖ is nonzero at each step, normalized power iteration takes the form:</w:t>
      </w:r>
    </w:p>
    <w:p>
      <w:pPr>
        <w:pStyle w:val="BodyText"/>
        <w:keepLines/>
      </w:pPr>
      <m:oMathPara>
        <m:oMathParaPr>
          <m:jc m:val="center"/>
        </m:oMathParaPr>
        <m:oMath>
          <m:sSub>
            <m:e>
              <m:r>
                <m:rPr>
                  <m:sty m:val="b"/>
                </m:rPr>
                <m:t>x</m:t>
              </m:r>
            </m:e>
            <m:sub>
              <m:r>
                <m:t>k</m:t>
              </m:r>
              <m:r>
                <m:rPr>
                  <m:sty m:val="p"/>
                </m:rPr>
                <m:t>+</m:t>
              </m:r>
              <m:r>
                <m:t>1</m:t>
              </m:r>
            </m:sub>
          </m:sSub>
          <m:r>
            <m:rPr>
              <m:sty m:val="p"/>
            </m:rPr>
            <m:t>=</m:t>
          </m:r>
          <m:f>
            <m:fPr>
              <m:type m:val="bar"/>
            </m:fPr>
            <m:num>
              <m:r>
                <m:t>A</m:t>
              </m:r>
              <m:sSub>
                <m:e>
                  <m:r>
                    <m:rPr>
                      <m:sty m:val="b"/>
                    </m:rPr>
                    <m:t>x</m:t>
                  </m:r>
                </m:e>
                <m:sub>
                  <m:r>
                    <m:t>k</m:t>
                  </m:r>
                </m:sub>
              </m:sSub>
            </m:num>
            <m:den>
              <m:r>
                <m:rPr>
                  <m:sty m:val="p"/>
                </m:rPr>
                <m:t>∥</m:t>
              </m:r>
              <m:r>
                <m:t>A</m:t>
              </m:r>
              <m:sSub>
                <m:e>
                  <m:r>
                    <m:rPr>
                      <m:sty m:val="b"/>
                    </m:rPr>
                    <m:t>x</m:t>
                  </m:r>
                </m:e>
                <m:sub>
                  <m:r>
                    <m:t>k</m:t>
                  </m:r>
                </m:sub>
              </m:sSub>
              <m:r>
                <m:rPr>
                  <m:sty m:val="p"/>
                </m:rPr>
                <m:t>∥</m:t>
              </m:r>
            </m:den>
          </m:f>
          <m:r>
            <m:rPr>
              <m:sty m:val="p"/>
            </m:rPr>
            <m:t>,</m:t>
          </m:r>
        </m:oMath>
      </m:oMathPara>
    </w:p>
    <w:p>
      <w:pPr>
        <w:pStyle w:val="FirstParagraph"/>
      </w:pPr>
      <w:r>
        <w:t xml:space="preserve">often converges toward a dominant eigenvector. It is useful for large</w:t>
      </w:r>
      <w:r>
        <w:t xml:space="preserve"> </w:t>
      </w:r>
      <w:r>
        <w:t xml:space="preserve">systems, but it normally finds only one mode and can struggle when</w:t>
      </w:r>
      <w:r>
        <w:t xml:space="preserve"> </w:t>
      </w:r>
      <w:r>
        <w:t xml:space="preserve">dominant magnitudes are tied.</w:t>
      </w:r>
    </w:p>
    <w:bookmarkStart w:id="20" w:name="X688f78762cccfc6888155ff07d866ba385ee01a"/>
    <w:p>
      <w:pPr>
        <w:pStyle w:val="Heading2"/>
      </w:pPr>
      <w:r>
        <w:t xml:space="preserve">Worked development: Power iteration: verify the residual, not just a stable scalar</w:t>
      </w:r>
    </w:p>
    <w:p>
      <w:pPr>
        <w:pStyle w:val="Normal"/>
      </w:pPr>
      <w:r>
        <w:t xml:space="preserve">Repeated multiplication and normalization often select a dominant eigendirection. Standard convergence needs a unique eigenvalue of largest modulus and a suitable initial component, with additional care for nonsymmetric/defective problems. A negative dominant eigenvalue can make vector signs alternate; a residual-based test handles that.</w:t>
      </w:r>
    </w:p>
    <w:p>
      <w:pPr>
        <w:pStyle w:val="Normal"/>
      </w:pPr>
      <w:r>
        <w:t xml:space="preserve">The bundled runtime’s legacy</w:t>
      </w:r>
      <w:r>
        <w:t xml:space="preserve"> </w:t>
      </w:r>
      <w:r>
        <w:rPr>
          <w:rStyle w:val="VerbatimChar"/>
        </w:rPr>
        <w:t xml:space="preserve">power_iteration</w:t>
      </w:r>
      <w:r>
        <w:t xml:space="preserve"> </w:t>
      </w:r>
      <w:r>
        <w:t xml:space="preserve">stops on changes in the Rayleigh quotient and its</w:t>
      </w:r>
      <w:r>
        <w:t xml:space="preserve"> </w:t>
      </w:r>
      <w:r>
        <w:rPr>
          <w:rStyle w:val="VerbatimChar"/>
        </w:rPr>
        <w:t xml:space="preserve">verify_eigenpair</w:t>
      </w:r>
      <w:r>
        <w:t xml:space="preserve"> </w:t>
      </w:r>
      <w:r>
        <w:t xml:space="preserve">does not reject zero vectors.</w:t>
      </w:r>
      <w:r>
        <w:t xml:space="preserve"> </w:t>
      </w:r>
      <w:r>
        <w:rPr>
          <w:bCs/>
          <w:b/>
        </w:rPr>
        <w:t xml:space="preserve">This lesson therefore uses the explicit reference functions above for acceptance</w:t>
      </w:r>
      <w:r>
        <w:t xml:space="preserve">, without changing or relabelling the package. These are small dense teaching routines, not production sparse solvers.</w:t>
      </w:r>
    </w:p>
    <w:p>
      <w:pPr>
        <w:pStyle w:val="Normal"/>
      </w:pPr>
      <w:r>
        <w:t xml:space="preserve">For</w:t>
      </w:r>
      <w:r>
        <w:t xml:space="preserve"> </w:t>
      </w:r>
      <m:oMath>
        <m:r>
          <m:rPr>
            <m:sty m:val="p"/>
          </m:rPr>
          <m:t>diag</m:t>
        </m:r>
        <m:d>
          <m:dPr>
            <m:begChr m:val="("/>
            <m:endChr m:val=")"/>
            <m:sepChr m:val=""/>
            <m:grow/>
          </m:dPr>
          <m:e>
            <m:r>
              <m:t>1</m:t>
            </m:r>
            <m:r>
              <m:rPr>
                <m:sty m:val="p"/>
              </m:rPr>
              <m:t>,</m:t>
            </m:r>
            <m:r>
              <m:rPr>
                <m:sty m:val="p"/>
              </m:rPr>
              <m:t>−</m:t>
            </m:r>
            <m:r>
              <m:t>1</m:t>
            </m:r>
          </m:e>
        </m:d>
      </m:oMath>
      <w:r>
        <w:t xml:space="preserve"> </w:t>
      </w:r>
      <w:r>
        <w:t xml:space="preserve">and initial vector</w:t>
      </w:r>
      <w:r>
        <w:t xml:space="preserve"> </w:t>
      </w:r>
      <m:oMath>
        <m:d>
          <m:dPr>
            <m:begChr m:val="("/>
            <m:endChr m:val=")"/>
            <m:sepChr m:val=""/>
            <m:grow/>
          </m:dPr>
          <m:e>
            <m:r>
              <m:t>1</m:t>
            </m:r>
            <m:r>
              <m:rPr>
                <m:sty m:val="p"/>
              </m:rPr>
              <m:t>,</m:t>
            </m:r>
            <m:r>
              <m:t>1</m:t>
            </m:r>
          </m:e>
        </m:d>
      </m:oMath>
      <w:r>
        <w:t xml:space="preserve">, the Rayleigh quotient remains zero while the vector is not an eigenvector. Conversely, starting on a nondominant eigenvector gives residual zero immediately: residual convergence alone cannot establish dominance.</w:t>
      </w:r>
    </w:p>
    <w:bookmarkEnd w:id="20"/>
    <w:p>
      <w:pPr/>
      <w:r>
        <w:t>The explicit reference iteration normalizes every step, checks a scaled residual against 10⁻¹⁰ and raises an error if its iteration limit is reached. This is a documented tolerance for these examples, not a universal numerical standard. The routine accepts dense real matrices; the residual checker separately supports complex eigenpairs.</w:t>
      </w:r>
    </w:p>
    <w:p>
      <w:pPr/>
      <w:r>
        <w:t>For nonsymmetric matrices, a suitable initial component involves the left/right eigenstructure, not merely an informal Euclidean alignment with one right eigenvector. Spectral separation and conditioning affect convergence. The notebook tests a negative dominant eigenvalue, tied-modulus oscillation and a nondominant initial eigenvector.</w:t>
      </w:r>
    </w:p>
    <w:p>
      <w:pPr/>
      <w:r>
        <w:t>The unmodified srai_math 1.1.1rc1 package remains the identifiable prerelease runtime. Its spectral decomposition and matrix-power functions are used directly; the two visible lesson-level safeguards do not redefine the shared package or certify every library function.</w:t>
      </w:r>
    </w:p>
    <w:p>
      <w:pPr>
        <w:pStyle w:val="Heading1"/>
      </w:pPr>
      <w:r>
        <w:t>6.6 Statistics, AI and Networks</w:t>
      </w:r>
    </w:p>
    <w:p>
      <w:pPr>
        <w:pStyle w:val="FirstParagraph"/>
      </w:pPr>
      <w:r>
        <w:t xml:space="preserve">Spectral methods support principal-component analysis, spectral</w:t>
      </w:r>
      <w:r>
        <w:t xml:space="preserve"> </w:t>
      </w:r>
      <w:r>
        <w:t xml:space="preserve">clustering, PageRank, graph diffusion, recurrent-system stability and</w:t>
      </w:r>
      <w:r>
        <w:t xml:space="preserve"> </w:t>
      </w:r>
      <w:r>
        <w:t xml:space="preserve">graph neural networks. Eigenvalues summarize directional strength, but</w:t>
      </w:r>
      <w:r>
        <w:t xml:space="preserve"> </w:t>
      </w:r>
      <w:r>
        <w:t xml:space="preserve">eigenvectors are defined only up to scale and sign; their interpretation</w:t>
      </w:r>
      <w:r>
        <w:t xml:space="preserve"> </w:t>
      </w:r>
      <w:r>
        <w:t xml:space="preserve">must not depend on an arbitrary orientation.</w:t>
      </w:r>
    </w:p>
    <w:bookmarkStart w:id="20" w:name="Xc89af46e70ba38628764ed6c7a6263979367bbe"/>
    <w:p>
      <w:pPr>
        <w:pStyle w:val="Heading2"/>
      </w:pPr>
      <w:r>
        <w:t xml:space="preserve">Worked development: Statistics: covariance eigenvectors and principal components</w:t>
      </w:r>
    </w:p>
    <w:p>
      <w:pPr>
        <w:pStyle w:val="Normal"/>
      </w:pPr>
      <w:r>
        <w:t xml:space="preserve">Center each column before forming sample covariance, using divisor</w:t>
      </w:r>
      <w:r>
        <w:t xml:space="preserve"> </w:t>
      </w:r>
      <m:oMath>
        <m:r>
          <m:t>n</m:t>
        </m:r>
        <m:r>
          <m:rPr>
            <m:sty m:val="p"/>
          </m:rPr>
          <m:t>−</m:t>
        </m:r>
        <m:r>
          <m:t>1</m:t>
        </m:r>
      </m:oMath>
      <w:r>
        <w:t xml:space="preserve">. For a unit vector</w:t>
      </w:r>
      <w:r>
        <w:t xml:space="preserve"> </w:t>
      </w:r>
      <m:oMath>
        <m:r>
          <m:t>q</m:t>
        </m:r>
      </m:oMath>
      <w:r>
        <w:t xml:space="preserve">, the sample variance of centered scores</w:t>
      </w:r>
      <w:r>
        <w:t xml:space="preserve"> </w:t>
      </w:r>
      <m:oMath>
        <m:sSub>
          <m:e>
            <m:r>
              <m:t>X</m:t>
            </m:r>
          </m:e>
          <m:sub>
            <m:r>
              <m:t>c</m:t>
            </m:r>
          </m:sub>
        </m:sSub>
        <m:r>
          <m:t>q</m:t>
        </m:r>
      </m:oMath>
      <w:r>
        <w:t xml:space="preserve"> </w:t>
      </w:r>
      <w:r>
        <w:t xml:space="preserve">equals</w:t>
      </w:r>
      <w:r>
        <w:t xml:space="preserve"> </w:t>
      </w:r>
      <m:oMath>
        <m:sSup>
          <m:e>
            <m:r>
              <m:t>q</m:t>
            </m:r>
          </m:e>
          <m:sup>
            <m:r>
              <m:t>T</m:t>
            </m:r>
          </m:sup>
        </m:sSup>
        <m:r>
          <m:t>C</m:t>
        </m:r>
        <m:r>
          <m:t>q</m:t>
        </m:r>
      </m:oMath>
      <w:r>
        <w:t xml:space="preserve">. Covariance eigenvectors identify orthogonal directions of variation, and eigenvalues quantify their variances.</w:t>
      </w:r>
    </w:p>
    <w:p>
      <w:pPr>
        <w:pStyle w:val="Normal"/>
      </w:pPr>
      <w:r>
        <w:t xml:space="preserve">The following four observations illustrate arithmetic only. Scaling a measured variable changes covariance PCA; correlation/standardized PCA answers a different question. High explained variance does not prove prediction accuracy, representativeness, causality or decision usefulness.</w:t>
      </w:r>
    </w:p>
    <w:bookmarkEnd w:id="20"/>
    <w:p>
      <w:pPr>
        <w:pStyle w:val="Normal"/>
      </w:pPr>
      <w:r>
        <w:t xml:space="preserve">With observations in rows, use</w:t>
      </w:r>
    </w:p>
    <w:p>
      <w:pPr>
        <w:pStyle w:val="Normal"/>
      </w:pPr>
      <m:oMathPara>
        <m:oMathParaPr>
          <m:jc m:val="center"/>
        </m:oMathParaPr>
        <m:oMath>
          <m:r>
            <m:t>X</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3</m:t>
                    </m:r>
                  </m:e>
                  <m:e>
                    <m:r>
                      <m:t>2</m:t>
                    </m:r>
                  </m:e>
                </m:mr>
                <m:mr>
                  <m:e>
                    <m:r>
                      <m:t>4</m:t>
                    </m:r>
                  </m:e>
                  <m:e>
                    <m:r>
                      <m:t>2.5</m:t>
                    </m:r>
                  </m:e>
                </m:mr>
                <m:mr>
                  <m:e>
                    <m:r>
                      <m:t>5</m:t>
                    </m:r>
                  </m:e>
                  <m:e>
                    <m:r>
                      <m:t>4</m:t>
                    </m:r>
                  </m:e>
                </m:mr>
              </m:m>
            </m:e>
          </m:d>
          <m:r>
            <m:rPr>
              <m:sty m:val="p"/>
            </m:rPr>
            <m:t>,</m:t>
          </m:r>
          <m:r>
            <m:t>  </m:t>
          </m:r>
          <m:acc>
            <m:accPr>
              <m:chr m:val="‾"/>
            </m:accPr>
            <m:e>
              <m:r>
                <m:t>x</m:t>
              </m:r>
            </m:e>
          </m:acc>
          <m:r>
            <m:rPr>
              <m:sty m:val="p"/>
            </m:rPr>
            <m:t>=</m:t>
          </m:r>
          <m:d>
            <m:dPr>
              <m:begChr m:val="("/>
              <m:endChr m:val=")"/>
              <m:sepChr m:val=""/>
              <m:grow/>
            </m:dPr>
            <m:e>
              <m:r>
                <m:t>3.5</m:t>
              </m:r>
              <m:r>
                <m:rPr>
                  <m:sty m:val="p"/>
                </m:rPr>
                <m:t>,</m:t>
              </m:r>
              <m:r>
                <m:t>2.375</m:t>
              </m:r>
            </m:e>
          </m:d>
          <m:r>
            <m:rPr>
              <m:sty m:val="p"/>
            </m:rPr>
            <m:t>.</m:t>
          </m:r>
        </m:oMath>
      </m:oMathPara>
    </w:p>
    <w:p>
      <w:pPr>
        <w:pStyle w:val="Normal"/>
      </w:pPr>
      <w:r>
        <w:t xml:space="preserve">Subtract the column means to form</w:t>
      </w:r>
      <w:r>
        <w:t xml:space="preserve"> </w:t>
      </w:r>
      <m:oMath>
        <m:sSub>
          <m:e>
            <m:r>
              <m:t>X</m:t>
            </m:r>
          </m:e>
          <m:sub>
            <m:r>
              <m:t>c</m:t>
            </m:r>
          </m:sub>
        </m:sSub>
      </m:oMath>
      <w:r>
        <w:t xml:space="preserve">, then compute</w:t>
      </w:r>
    </w:p>
    <w:p>
      <w:pPr>
        <w:pStyle w:val="Normal"/>
      </w:pPr>
      <m:oMathPara>
        <m:oMathParaPr>
          <m:jc m:val="center"/>
        </m:oMathParaPr>
        <m:oMath>
          <m:r>
            <m:t>C</m:t>
          </m:r>
          <m:r>
            <m:rPr>
              <m:sty m:val="p"/>
            </m:rPr>
            <m:t>=</m:t>
          </m:r>
          <m:f>
            <m:fPr>
              <m:type m:val="bar"/>
            </m:fPr>
            <m:num>
              <m:sSubSup>
                <m:e>
                  <m:r>
                    <m:t>X</m:t>
                  </m:r>
                </m:e>
                <m:sub>
                  <m:r>
                    <m:t>c</m:t>
                  </m:r>
                </m:sub>
                <m:sup>
                  <m:r>
                    <m:t>T</m:t>
                  </m:r>
                </m:sup>
              </m:sSubSup>
              <m:sSub>
                <m:e>
                  <m:r>
                    <m:t>X</m:t>
                  </m:r>
                </m:e>
                <m:sub>
                  <m:r>
                    <m:t>c</m:t>
                  </m:r>
                </m:sub>
              </m:sSub>
            </m:num>
            <m:den>
              <m:r>
                <m:t>n</m:t>
              </m:r>
              <m:r>
                <m:rPr>
                  <m:sty m:val="p"/>
                </m:rPr>
                <m:t>−</m:t>
              </m:r>
              <m:r>
                <m:t>1</m:t>
              </m:r>
            </m:den>
          </m:f>
          <m:r>
            <m:rPr>
              <m:sty m:val="p"/>
            </m:rPr>
            <m:t>=</m:t>
          </m:r>
          <m:d>
            <m:dPr>
              <m:begChr m:val="("/>
              <m:endChr m:val=")"/>
              <m:sepChr m:val=""/>
              <m:grow/>
            </m:dPr>
            <m:e>
              <m:m>
                <m:mPr>
                  <m:baseJc m:val="center"/>
                  <m:plcHide m:val="on"/>
                  <m:mcs>
                    <m:mc>
                      <m:mcPr>
                        <m:mcJc m:val="center"/>
                        <m:count m:val="1"/>
                      </m:mcPr>
                    </m:mc>
                    <m:mc>
                      <m:mcPr>
                        <m:mcJc m:val="center"/>
                        <m:count m:val="1"/>
                      </m:mcPr>
                    </m:mc>
                  </m:mcs>
                </m:mPr>
                <m:mr>
                  <m:e>
                    <m:r>
                      <m:t>5</m:t>
                    </m:r>
                    <m:r>
                      <m:rPr>
                        <m:sty m:val="p"/>
                      </m:rPr>
                      <m:t>/</m:t>
                    </m:r>
                    <m:r>
                      <m:t>3</m:t>
                    </m:r>
                  </m:e>
                  <m:e>
                    <m:r>
                      <m:t>19</m:t>
                    </m:r>
                    <m:r>
                      <m:rPr>
                        <m:sty m:val="p"/>
                      </m:rPr>
                      <m:t>/</m:t>
                    </m:r>
                    <m:r>
                      <m:t>12</m:t>
                    </m:r>
                  </m:e>
                </m:mr>
                <m:mr>
                  <m:e>
                    <m:r>
                      <m:t>19</m:t>
                    </m:r>
                    <m:r>
                      <m:rPr>
                        <m:sty m:val="p"/>
                      </m:rPr>
                      <m:t>/</m:t>
                    </m:r>
                    <m:r>
                      <m:t>12</m:t>
                    </m:r>
                  </m:e>
                  <m:e>
                    <m:r>
                      <m:t>25</m:t>
                    </m:r>
                    <m:r>
                      <m:rPr>
                        <m:sty m:val="p"/>
                      </m:rPr>
                      <m:t>/</m:t>
                    </m:r>
                    <m:r>
                      <m:t>16</m:t>
                    </m:r>
                  </m:e>
                </m:mr>
              </m:m>
            </m:e>
          </m:d>
          <m:r>
            <m:rPr>
              <m:sty m:val="p"/>
            </m:rPr>
            <m:t>.</m:t>
          </m:r>
        </m:oMath>
      </m:oMathPara>
    </w:p>
    <w:p>
      <w:pPr>
        <w:pStyle w:val="Normal"/>
      </w:pPr>
      <w:r>
        <w:t xml:space="preserve">The descending eigenvalues are approximately</w:t>
      </w:r>
      <w:r>
        <w:t xml:space="preserve"> </w:t>
      </w:r>
      <m:oMath>
        <m:r>
          <m:t>3.19877307</m:t>
        </m:r>
      </m:oMath>
      <w:r>
        <w:t xml:space="preserve"> </w:t>
      </w:r>
      <w:r>
        <w:t xml:space="preserve">and</w:t>
      </w:r>
      <w:r>
        <w:t xml:space="preserve"> </w:t>
      </w:r>
      <m:oMath>
        <m:r>
          <m:t>0.03039360</m:t>
        </m:r>
      </m:oMath>
      <w:r>
        <w:t xml:space="preserve">; the variance ratios are</w:t>
      </w:r>
      <w:r>
        <w:t xml:space="preserve"> </w:t>
      </w:r>
      <m:oMath>
        <m:r>
          <m:t>0.99058779</m:t>
        </m:r>
      </m:oMath>
      <w:r>
        <w:t xml:space="preserve"> </w:t>
      </w:r>
      <w:r>
        <w:t xml:space="preserve">and</w:t>
      </w:r>
      <w:r>
        <w:t xml:space="preserve"> </w:t>
      </w:r>
      <m:oMath>
        <m:r>
          <m:t>0.00941221</m:t>
        </m:r>
      </m:oMath>
      <w:r>
        <w:t xml:space="preserve">. Their sum is one, while the eigenvalues sum to</w:t>
      </w:r>
      <w:r>
        <w:t xml:space="preserve"> </w:t>
      </w:r>
      <m:oMath>
        <m:r>
          <m:rPr>
            <m:sty m:val="p"/>
          </m:rPr>
          <m:t>tr</m:t>
        </m:r>
        <m:d>
          <m:dPr>
            <m:begChr m:val="("/>
            <m:endChr m:val=")"/>
            <m:sepChr m:val=""/>
            <m:grow/>
          </m:dPr>
          <m:e>
            <m:r>
              <m:t>C</m:t>
            </m:r>
          </m:e>
        </m:d>
        <m:r>
          <m:rPr>
            <m:sty m:val="p"/>
          </m:rPr>
          <m:t>=</m:t>
        </m:r>
        <m:r>
          <m:t>155</m:t>
        </m:r>
        <m:r>
          <m:rPr>
            <m:sty m:val="p"/>
          </m:rPr>
          <m:t>/</m:t>
        </m:r>
        <m:r>
          <m:t>48</m:t>
        </m:r>
      </m:oMath>
      <w:r>
        <w:t xml:space="preserve">.</w:t>
      </w:r>
    </w:p>
    <w:p>
      <w:pPr>
        <w:pStyle w:val="Normal"/>
      </w:pPr>
      <w:r>
        <w:t xml:space="preserve">For a unit covariance eigenvector</w:t>
      </w:r>
      <w:r>
        <w:t xml:space="preserve"> </w:t>
      </w:r>
      <m:oMath>
        <m:r>
          <m:t>q</m:t>
        </m:r>
      </m:oMath>
      <w:r>
        <w:t xml:space="preserve">, the sample variance of</w:t>
      </w:r>
      <w:r>
        <w:t xml:space="preserve"> </w:t>
      </w:r>
      <m:oMath>
        <m:sSub>
          <m:e>
            <m:r>
              <m:t>X</m:t>
            </m:r>
          </m:e>
          <m:sub>
            <m:r>
              <m:t>c</m:t>
            </m:r>
          </m:sub>
        </m:sSub>
        <m:r>
          <m:t>q</m:t>
        </m:r>
      </m:oMath>
      <w:r>
        <w:t xml:space="preserve"> </w:t>
      </w:r>
      <w:r>
        <w:t xml:space="preserve">is</w:t>
      </w:r>
      <w:r>
        <w:t xml:space="preserve"> </w:t>
      </w:r>
      <m:oMath>
        <m:sSup>
          <m:e>
            <m:r>
              <m:t>q</m:t>
            </m:r>
          </m:e>
          <m:sup>
            <m:r>
              <m:t>T</m:t>
            </m:r>
          </m:sup>
        </m:sSup>
        <m:r>
          <m:t>C</m:t>
        </m:r>
        <m:r>
          <m:t>q</m:t>
        </m:r>
        <m:r>
          <m:rPr>
            <m:sty m:val="p"/>
          </m:rPr>
          <m:t>=</m:t>
        </m:r>
        <m:r>
          <m:t>λ</m:t>
        </m:r>
      </m:oMath>
      <w:r>
        <w:t xml:space="preserve">. The notebook verifies this identity and reconstructs the centered data using both components. With selected orthonormal columns</w:t>
      </w:r>
      <w:r>
        <w:t xml:space="preserve"> </w:t>
      </w:r>
      <m:oMath>
        <m:sSub>
          <m:e>
            <m:r>
              <m:t>Q</m:t>
            </m:r>
          </m:e>
          <m:sub>
            <m:r>
              <m:t>r</m:t>
            </m:r>
          </m:sub>
        </m:sSub>
      </m:oMath>
      <w:r>
        <w:t xml:space="preserve">, reconstruction is</w:t>
      </w:r>
      <w:r>
        <w:t xml:space="preserve"> </w:t>
      </w:r>
      <m:oMath>
        <m:sSub>
          <m:e>
            <m:r>
              <m:t>X</m:t>
            </m:r>
          </m:e>
          <m:sub>
            <m:r>
              <m:t>c</m:t>
            </m:r>
          </m:sub>
        </m:sSub>
        <m:sSub>
          <m:e>
            <m:r>
              <m:t>Q</m:t>
            </m:r>
          </m:e>
          <m:sub>
            <m:r>
              <m:t>r</m:t>
            </m:r>
          </m:sub>
        </m:sSub>
        <m:sSubSup>
          <m:e>
            <m:r>
              <m:t>Q</m:t>
            </m:r>
          </m:e>
          <m:sub>
            <m:r>
              <m:t>r</m:t>
            </m:r>
          </m:sub>
          <m:sup>
            <m:r>
              <m:t>T</m:t>
            </m:r>
          </m:sup>
        </m:sSubSup>
      </m:oMath>
      <w:r>
        <w:t xml:space="preserve">: the matrix</w:t>
      </w:r>
      <w:r>
        <w:t xml:space="preserve"> </w:t>
      </w:r>
      <m:oMath>
        <m:sSub>
          <m:e>
            <m:r>
              <m:t>Q</m:t>
            </m:r>
          </m:e>
          <m:sub>
            <m:r>
              <m:t>r</m:t>
            </m:r>
          </m:sub>
        </m:sSub>
        <m:sSubSup>
          <m:e>
            <m:r>
              <m:t>Q</m:t>
            </m:r>
          </m:e>
          <m:sub>
            <m:r>
              <m:t>r</m:t>
            </m:r>
          </m:sub>
          <m:sup>
            <m:r>
              <m:t>T</m:t>
            </m:r>
          </m:sup>
        </m:sSubSup>
      </m:oMath>
      <w:r>
        <w:t xml:space="preserve"> </w:t>
      </w:r>
      <w:r>
        <w:t xml:space="preserve">is the orthogonal projector studied in Lesson 5.</w:t>
      </w:r>
    </w:p>
    <w:p>
      <w:pPr>
        <w:pStyle w:val="Normal"/>
      </w:pPr>
      <w:r>
        <w:t xml:space="preserve">PCA maximizes retained variance, not prediction accuracy, causal relevance or policy value. Multiplying a variable by 100 changes covariance PCA. Standardization and correlation PCA may be appropriate, but answer a different question and must be stated.</w:t>
      </w:r>
    </w:p>
    <w:p>
      <w:pPr>
        <w:pStyle w:val="Normal"/>
      </w:pPr>
      <w:r>
        <w:t xml:space="preserve">Graph interpretations likewise depend on the chosen operator. Spectral clustering may use a graph Laplacian, while PageRank uses an explicitly stochastic model with teleportation. An arbitrary sector matrix is neither. Local linear diagnostics for nonlinear recurrent models do not automatically establish global stability.</w:t>
      </w:r>
    </w:p>
    <w:p>
      <w:pPr>
        <w:pStyle w:val="Heading1"/>
      </w:pPr>
      <w:r>
        <w:t>6.7 AI Reasoning Clinic</w:t>
      </w:r>
    </w:p>
    <w:p>
      <w:pPr>
        <w:pStyle w:val="FirstParagraph"/>
      </w:pPr>
      <w:r>
        <w:rPr>
          <w:bCs/>
          <w:b/>
        </w:rPr>
        <w:t xml:space="preserve">Statement:</w:t>
      </w:r>
      <w:r>
        <w:t xml:space="preserve"> </w:t>
      </w:r>
      <w:r>
        <w:t xml:space="preserve">“</w:t>
      </w:r>
      <w:r>
        <w:t xml:space="preserve">The dominant eigenvector identifies the most important</w:t>
      </w:r>
      <w:r>
        <w:t xml:space="preserve"> </w:t>
      </w:r>
      <w:r>
        <w:t xml:space="preserve">policy.</w:t>
      </w:r>
      <w:r>
        <w:t xml:space="preserve">”</w:t>
      </w:r>
    </w:p>
    <w:p>
      <w:pPr>
        <w:pStyle w:val="BodyText"/>
      </w:pPr>
      <w:r>
        <w:rPr>
          <w:bCs/>
          <w:b/>
        </w:rPr>
        <w:t xml:space="preserve">Evaluation:</w:t>
      </w:r>
      <w:r>
        <w:t xml:space="preserve"> </w:t>
      </w:r>
      <w:r>
        <w:t xml:space="preserve">It identifies a dominant mathematical mode under the</w:t>
      </w:r>
      <w:r>
        <w:t xml:space="preserve"> </w:t>
      </w:r>
      <w:r>
        <w:t xml:space="preserve">specified matrix.</w:t>
      </w:r>
      <w:r>
        <w:t xml:space="preserve"> </w:t>
      </w:r>
      <w:r>
        <w:t xml:space="preserve">“</w:t>
      </w:r>
      <w:r>
        <w:t xml:space="preserve">Importance</w:t>
      </w:r>
      <w:r>
        <w:t xml:space="preserve">”</w:t>
      </w:r>
      <w:r>
        <w:t xml:space="preserve"> </w:t>
      </w:r>
      <w:r>
        <w:t xml:space="preserve">requires substantive interpretation,</w:t>
      </w:r>
      <w:r>
        <w:t xml:space="preserve"> </w:t>
      </w:r>
      <w:r>
        <w:t xml:space="preserve">validated matrix construction and a clear decision objective.</w:t>
      </w:r>
    </w:p>
    <w:bookmarkStart w:id="20" w:name="X1912429e88f36a28108bcaec3eec6b5cd23a827"/>
    <w:p>
      <w:pPr>
        <w:pStyle w:val="Heading2"/>
      </w:pPr>
      <w:r>
        <w:t xml:space="preserve">Worked development: Decision interpretation: a synthetic sector propagation model</w:t>
      </w:r>
    </w:p>
    <w:p>
      <w:pPr>
        <w:pStyle w:val="Normal"/>
      </w:pPr>
      <w:r>
        <w:t xml:space="preserve">We posit</w:t>
      </w:r>
      <w:r>
        <w:t xml:space="preserve"> </w:t>
      </w:r>
      <m:oMath>
        <m:sSub>
          <m:e>
            <m:r>
              <m:t>x</m:t>
            </m:r>
          </m:e>
          <m:sub>
            <m:r>
              <m:t>t</m:t>
            </m:r>
            <m:r>
              <m:rPr>
                <m:sty m:val="p"/>
              </m:rPr>
              <m:t>+</m:t>
            </m:r>
            <m:r>
              <m:t>1</m:t>
            </m:r>
          </m:sub>
        </m:sSub>
        <m:r>
          <m:rPr>
            <m:sty m:val="p"/>
          </m:rPr>
          <m:t>=</m:t>
        </m:r>
        <m:r>
          <m:t>M</m:t>
        </m:r>
        <m:sSub>
          <m:e>
            <m:r>
              <m:t>x</m:t>
            </m:r>
          </m:e>
          <m:sub>
            <m:r>
              <m:t>t</m:t>
            </m:r>
          </m:sub>
        </m:sSub>
      </m:oMath>
      <w:r>
        <w:t xml:space="preserve">, where entry</w:t>
      </w:r>
      <w:r>
        <w:t xml:space="preserve"> </w:t>
      </w:r>
      <m:oMath>
        <m:sSub>
          <m:e>
            <m:r>
              <m:t>M</m:t>
            </m:r>
          </m:e>
          <m:sub>
            <m:r>
              <m:t>i</m:t>
            </m:r>
            <m:r>
              <m:t>j</m:t>
            </m:r>
          </m:sub>
        </m:sSub>
      </m:oMath>
      <w:r>
        <w:t xml:space="preserve"> </w:t>
      </w:r>
      <w:r>
        <w:t xml:space="preserve">maps component</w:t>
      </w:r>
      <w:r>
        <w:t xml:space="preserve"> </w:t>
      </w:r>
      <m:oMath>
        <m:r>
          <m:t>j</m:t>
        </m:r>
      </m:oMath>
      <w:r>
        <w:t xml:space="preserve"> </w:t>
      </w:r>
      <w:r>
        <w:t xml:space="preserve">into component</w:t>
      </w:r>
      <w:r>
        <w:t xml:space="preserve"> </w:t>
      </w:r>
      <m:oMath>
        <m:r>
          <m:t>i</m:t>
        </m:r>
      </m:oMath>
      <w:r>
        <w:t xml:space="preserve">. These coefficients are invented for teaching; they are not fitted to observations. Rows and columns do</w:t>
      </w:r>
      <w:r>
        <w:t xml:space="preserve"> </w:t>
      </w:r>
      <w:r>
        <w:rPr>
          <w:bCs/>
          <w:b/>
        </w:rPr>
        <w:t xml:space="preserve">not</w:t>
      </w:r>
      <w:r>
        <w:t xml:space="preserve"> </w:t>
      </w:r>
      <w:r>
        <w:t xml:space="preserve">sum to one: this is not a Markov transition-probability matrix.</w:t>
      </w:r>
    </w:p>
    <w:p>
      <w:pPr>
        <w:pStyle w:val="Normal"/>
      </w:pPr>
      <w:r>
        <w:t xml:space="preserve">This strictly positive matrix has a positive dominant eigendirection. Normalizing that eigenvector to sum one makes its components easier to compare, but does not turn them into budget allocations or causal importance. Its dominant eigenvalue exceeds one, implying amplification along that mode within this hypothetical autonomous model.</w:t>
      </w:r>
    </w:p>
    <w:bookmarkEnd w:id="20"/>
    <w:p>
      <w:pPr>
        <w:pStyle w:val="Normal"/>
      </w:pPr>
      <w:r>
        <w:t xml:space="preserve">The tested example uses the ordering Agriculture, Health, Energy and Transport:</w:t>
      </w:r>
    </w:p>
    <w:p>
      <w:pPr>
        <w:pStyle w:val="Normal"/>
      </w:pPr>
      <m:oMathPara>
        <m:oMathParaPr>
          <m:jc m:val="center"/>
        </m:oMathParaPr>
        <m:oMath>
          <m: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0.70</m:t>
                    </m:r>
                  </m:e>
                  <m:e>
                    <m:r>
                      <m:t>0.10</m:t>
                    </m:r>
                  </m:e>
                  <m:e>
                    <m:r>
                      <m:t>0.20</m:t>
                    </m:r>
                  </m:e>
                  <m:e>
                    <m:r>
                      <m:t>0.15</m:t>
                    </m:r>
                  </m:e>
                </m:mr>
                <m:mr>
                  <m:e>
                    <m:r>
                      <m:t>0.10</m:t>
                    </m:r>
                  </m:e>
                  <m:e>
                    <m:r>
                      <m:t>0.80</m:t>
                    </m:r>
                  </m:e>
                  <m:e>
                    <m:r>
                      <m:t>0.25</m:t>
                    </m:r>
                  </m:e>
                  <m:e>
                    <m:r>
                      <m:t>0.10</m:t>
                    </m:r>
                  </m:e>
                </m:mr>
                <m:mr>
                  <m:e>
                    <m:r>
                      <m:t>0.25</m:t>
                    </m:r>
                  </m:e>
                  <m:e>
                    <m:r>
                      <m:t>0.10</m:t>
                    </m:r>
                  </m:e>
                  <m:e>
                    <m:r>
                      <m:t>0.75</m:t>
                    </m:r>
                  </m:e>
                  <m:e>
                    <m:r>
                      <m:t>0.30</m:t>
                    </m:r>
                  </m:e>
                </m:mr>
                <m:mr>
                  <m:e>
                    <m:r>
                      <m:t>0.20</m:t>
                    </m:r>
                  </m:e>
                  <m:e>
                    <m:r>
                      <m:t>0.15</m:t>
                    </m:r>
                  </m:e>
                  <m:e>
                    <m:r>
                      <m:t>0.35</m:t>
                    </m:r>
                  </m:e>
                  <m:e>
                    <m:r>
                      <m:t>0.70</m:t>
                    </m:r>
                  </m:e>
                </m:mr>
              </m:m>
            </m:e>
          </m:d>
          <m:r>
            <m:rPr>
              <m:sty m:val="p"/>
            </m:rPr>
            <m:t>.</m:t>
          </m:r>
        </m:oMath>
      </m:oMathPara>
    </w:p>
    <w:p>
      <w:pPr>
        <w:pStyle w:val="Normal"/>
      </w:pPr>
      <w:r>
        <w:t xml:space="preserve">Its row sums are</w:t>
      </w:r>
      <w:r>
        <w:t xml:space="preserve"> </w:t>
      </w:r>
      <m:oMath>
        <m:d>
          <m:dPr>
            <m:begChr m:val="("/>
            <m:endChr m:val=")"/>
            <m:sepChr m:val=""/>
            <m:grow/>
          </m:dPr>
          <m:e>
            <m:r>
              <m:t>1.15</m:t>
            </m:r>
            <m:r>
              <m:rPr>
                <m:sty m:val="p"/>
              </m:rPr>
              <m:t>,</m:t>
            </m:r>
            <m:r>
              <m:t>1.25</m:t>
            </m:r>
            <m:r>
              <m:rPr>
                <m:sty m:val="p"/>
              </m:rPr>
              <m:t>,</m:t>
            </m:r>
            <m:r>
              <m:t>1.40</m:t>
            </m:r>
            <m:r>
              <m:rPr>
                <m:sty m:val="p"/>
              </m:rPr>
              <m:t>,</m:t>
            </m:r>
            <m:r>
              <m:t>1.40</m:t>
            </m:r>
          </m:e>
        </m:d>
      </m:oMath>
      <w:r>
        <w:t xml:space="preserve"> </w:t>
      </w:r>
      <w:r>
        <w:t xml:space="preserve">and column sums</w:t>
      </w:r>
      <w:r>
        <w:t xml:space="preserve"> </w:t>
      </w:r>
      <m:oMath>
        <m:d>
          <m:dPr>
            <m:begChr m:val="("/>
            <m:endChr m:val=")"/>
            <m:sepChr m:val=""/>
            <m:grow/>
          </m:dPr>
          <m:e>
            <m:r>
              <m:t>1.25</m:t>
            </m:r>
            <m:r>
              <m:rPr>
                <m:sty m:val="p"/>
              </m:rPr>
              <m:t>,</m:t>
            </m:r>
            <m:r>
              <m:t>1.15</m:t>
            </m:r>
            <m:r>
              <m:rPr>
                <m:sty m:val="p"/>
              </m:rPr>
              <m:t>,</m:t>
            </m:r>
            <m:r>
              <m:t>1.55</m:t>
            </m:r>
            <m:r>
              <m:rPr>
                <m:sty m:val="p"/>
              </m:rPr>
              <m:t>,</m:t>
            </m:r>
            <m:r>
              <m:t>1.25</m:t>
            </m:r>
          </m:e>
        </m:d>
      </m:oMath>
      <w:r>
        <w:t xml:space="preserve">: neither convention makes it stochastic. The spectral radius is approximately</w:t>
      </w:r>
      <w:r>
        <w:t xml:space="preserve"> </w:t>
      </w:r>
      <m:oMath>
        <m:r>
          <m:t>1.31148205</m:t>
        </m:r>
      </m:oMath>
      <w:r>
        <w:t xml:space="preserve">. The corresponding positive eigenvector, normalized to sum one, is</w:t>
      </w:r>
    </w:p>
    <w:p>
      <w:pPr>
        <w:pStyle w:val="Normal"/>
      </w:pPr>
      <m:oMathPara>
        <m:oMathParaPr>
          <m:jc m:val="center"/>
        </m:oMathParaPr>
        <m:oMath>
          <m:r>
            <m:t>w</m:t>
          </m:r>
          <m:r>
            <m:rPr>
              <m:sty m:val="p"/>
            </m:rPr>
            <m:t>≈</m:t>
          </m:r>
          <m:sSup>
            <m:e>
              <m:d>
                <m:dPr>
                  <m:begChr m:val="("/>
                  <m:endChr m:val=")"/>
                  <m:sepChr m:val=""/>
                  <m:grow/>
                </m:dPr>
                <m:e>
                  <m:r>
                    <m:t>0.20024812</m:t>
                  </m:r>
                  <m:r>
                    <m:rPr>
                      <m:sty m:val="p"/>
                    </m:rPr>
                    <m:t>,</m:t>
                  </m:r>
                  <m:r>
                    <m:t>0.23284988</m:t>
                  </m:r>
                  <m:r>
                    <m:rPr>
                      <m:sty m:val="p"/>
                    </m:rPr>
                    <m:t>,</m:t>
                  </m:r>
                  <m:r>
                    <m:t>0.28255681</m:t>
                  </m:r>
                  <m:r>
                    <m:rPr>
                      <m:sty m:val="p"/>
                    </m:rPr>
                    <m:t>,</m:t>
                  </m:r>
                  <m:r>
                    <m:t>0.28434520</m:t>
                  </m:r>
                </m:e>
              </m:d>
            </m:e>
            <m:sup>
              <m:r>
                <m:t>T</m:t>
              </m:r>
            </m:sup>
          </m:sSup>
          <m:r>
            <m:rPr>
              <m:sty m:val="p"/>
            </m:rPr>
            <m:t>.</m:t>
          </m:r>
        </m:oMath>
      </m:oMathPara>
    </w:p>
    <w:p>
      <w:pPr>
        <w:pStyle w:val="Normal"/>
      </w:pPr>
      <w:r>
        <w:t xml:space="preserve">The positive matrix has a positive dominant mode. Its magnitude grows by about</w:t>
      </w:r>
      <w:r>
        <w:t xml:space="preserve"> </w:t>
      </w:r>
      <m:oMath>
        <m:r>
          <m:t>1.31148</m:t>
        </m:r>
      </m:oMath>
      <w:r>
        <w:t xml:space="preserve"> </w:t>
      </w:r>
      <w:r>
        <w:t xml:space="preserve">per model time step along that direction. Relative direction does not imply convergence to a finite nonzero steady state. The notebook compares the iterative eigenvalue to a dense eigensolver and checks the residual.</w:t>
      </w:r>
    </w:p>
    <w:p>
      <w:pPr>
        <w:pStyle w:val="Normal"/>
      </w:pPr>
      <w:r>
        <w:t xml:space="preserve">Transport’s and Energy’s larger components do not establish optimal spending or causal leverage. Data validity, time scale, intervention effects, objectives, costs, constraints and uncertainty are not supplied by eigenvector normalization.</w:t>
      </w:r>
    </w:p>
    <w:p>
      <w:pPr>
        <w:pStyle w:val="Normal"/>
      </w:pPr>
      <w:r>
        <w:t xml:space="preserve">A defensible statement is:</w:t>
      </w:r>
      <w:r>
        <w:t xml:space="preserve"> </w:t>
      </w:r>
      <w:r>
        <w:t xml:space="preserve">“</w:t>
      </w:r>
      <w:r>
        <w:t xml:space="preserve">Under this specified synthetic model, the reported mode amplifies and its eigenpair residual is small. Operational use would require defensible coefficients, validation, sensitivity analysis and an explicit decision objective.</w:t>
      </w:r>
      <w:r>
        <w:t xml:space="preserve">”</w:t>
      </w:r>
    </w:p>
    <w:p>
      <w:pPr>
        <w:pStyle w:val="Heading1"/>
      </w:pPr>
      <w:r>
        <w:t>6.8 SRAI Principle No. 6</w:t>
      </w:r>
    </w:p>
    <w:p>
      <w:pPr>
        <w:pStyle w:val="FirstParagraph"/>
      </w:pPr>
      <w:r>
        <w:rPr>
          <w:bCs/>
          <w:b/>
        </w:rPr>
        <w:t xml:space="preserve">A dominant mathematical direction is not automatically a desirable</w:t>
      </w:r>
      <w:r>
        <w:rPr>
          <w:bCs/>
          <w:b/>
        </w:rPr>
        <w:t xml:space="preserve"> </w:t>
      </w:r>
      <w:r>
        <w:rPr>
          <w:bCs/>
          <w:b/>
        </w:rPr>
        <w:t xml:space="preserve">social direction.</w:t>
      </w:r>
    </w:p>
    <w:p>
      <w:pPr/>
      <w:r>
        <w:t>Mathematics answers a conditional question: what follows from this matrix and rule? Accountable practice also asks why this representation is appropriate, which outcomes matter, and which actions are feasible and justified. Reproducibility supports that judgment; it does not replace it.</w:t>
      </w:r>
    </w:p>
    <w:p>
      <w:pPr>
        <w:pStyle w:val="Heading1"/>
      </w:pPr>
      <w:r>
        <w:t>6.9 Exercises and Laboratory</w:t>
      </w:r>
    </w:p>
    <w:bookmarkStart w:id="30" w:name="X877634ae454538a3e4f0e4d52ab74a86babea3a"/>
    <w:p>
      <w:pPr>
        <w:pStyle w:val="Heading2"/>
      </w:pPr>
      <w:r>
        <w:t xml:space="preserve">Exercises — attempt these before the solutions</w:t>
      </w:r>
    </w:p>
    <w:bookmarkStart w:id="20" w:name="exercise-1"/>
    <w:p>
      <w:pPr>
        <w:pStyle w:val="Heading2"/>
      </w:pPr>
      <w:r>
        <w:t xml:space="preserve">Exercise 1</w:t>
      </w:r>
    </w:p>
    <w:p>
      <w:pPr>
        <w:pStyle w:val="Normal"/>
      </w:pPr>
      <w:r>
        <w:t xml:space="preserve">For</w:t>
      </w:r>
      <w:r>
        <w:t xml:space="preserve"> </w:t>
      </w:r>
      <m:oMath>
        <m:r>
          <m:rPr>
            <m:sty m:val="p"/>
          </m:rPr>
          <m:t>diag</m:t>
        </m:r>
        <m:d>
          <m:dPr>
            <m:begChr m:val="("/>
            <m:endChr m:val=")"/>
            <m:sepChr m:val=""/>
            <m:grow/>
          </m:dPr>
          <m:e>
            <m:r>
              <m:rPr>
                <m:sty m:val="p"/>
              </m:rPr>
              <m:t>−</m:t>
            </m:r>
            <m:r>
              <m:t>2</m:t>
            </m:r>
            <m:r>
              <m:rPr>
                <m:sty m:val="p"/>
              </m:rPr>
              <m:t>,</m:t>
            </m:r>
            <m:r>
              <m:t>0</m:t>
            </m:r>
          </m:e>
        </m:d>
      </m:oMath>
      <w:r>
        <w:t xml:space="preserve">, identify two eigenpairs and interpret them. Why is the zero vector excluded?</w:t>
      </w:r>
    </w:p>
    <w:bookmarkEnd w:id="20"/>
    <w:bookmarkStart w:id="21" w:name="exercise-2"/>
    <w:p>
      <w:pPr>
        <w:pStyle w:val="Heading2"/>
      </w:pPr>
      <w:r>
        <w:t xml:space="preserve">Exercise 2</w:t>
      </w:r>
    </w:p>
    <w:p>
      <w:pPr>
        <w:pStyle w:val="Normal"/>
      </w:pPr>
      <w:r>
        <w:t xml:space="preserve">Derive the characteristic polynomial of</w:t>
      </w:r>
      <w:r>
        <w:t xml:space="preserve"> </w:t>
      </w:r>
      <m:oMath>
        <m:r>
          <m:t>S</m:t>
        </m:r>
      </m:oMath>
      <w:r>
        <w:t xml:space="preserve">, and find an orthonormal eigenbasis.</w:t>
      </w:r>
    </w:p>
    <w:bookmarkEnd w:id="21"/>
    <w:bookmarkStart w:id="22" w:name="exercise-3"/>
    <w:p>
      <w:pPr>
        <w:pStyle w:val="Heading2"/>
      </w:pPr>
      <w:r>
        <w:t xml:space="preserve">Exercise 3</w:t>
      </w:r>
    </w:p>
    <w:p>
      <w:pPr>
        <w:pStyle w:val="Normal"/>
      </w:pPr>
      <w:r>
        <w:t xml:space="preserve">Compute</w:t>
      </w:r>
      <w:r>
        <w:t xml:space="preserve"> </w:t>
      </w:r>
      <m:oMath>
        <m:sSup>
          <m:e>
            <m:r>
              <m:t>S</m:t>
            </m:r>
          </m:e>
          <m:sup>
            <m:r>
              <m:t>10</m:t>
            </m:r>
          </m:sup>
        </m:sSup>
      </m:oMath>
      <w:r>
        <w:t xml:space="preserve"> </w:t>
      </w:r>
      <w:r>
        <w:t xml:space="preserve">by its eigenbasis. What happens for power zero?</w:t>
      </w:r>
    </w:p>
    <w:bookmarkEnd w:id="22"/>
    <w:bookmarkStart w:id="23" w:name="exercise-4"/>
    <w:p>
      <w:pPr>
        <w:pStyle w:val="Heading2"/>
      </w:pPr>
      <w:r>
        <w:t xml:space="preserve">Exercise 4</w:t>
      </w:r>
    </w:p>
    <w:p>
      <w:pPr>
        <w:pStyle w:val="Normal"/>
      </w:pPr>
      <w:r>
        <w:t xml:space="preserve">Prove</w:t>
      </w:r>
      <w:r>
        <w:t xml:space="preserve"> </w:t>
      </w:r>
      <m:oMath>
        <m:sSup>
          <m:e>
            <m:r>
              <m:t>J</m:t>
            </m:r>
          </m:e>
          <m:sup>
            <m:r>
              <m:t>k</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k</m:t>
                  </m:r>
                </m:e>
              </m:mr>
              <m:mr>
                <m:e>
                  <m:r>
                    <m:t>0</m:t>
                  </m:r>
                </m:e>
                <m:e>
                  <m:r>
                    <m:t>1</m:t>
                  </m:r>
                </m:e>
              </m:mr>
            </m:m>
          </m:e>
        </m:d>
      </m:oMath>
      <w:r>
        <w:t xml:space="preserve">. Why can</w:t>
      </w:r>
      <w:r>
        <w:t xml:space="preserve"> </w:t>
      </w:r>
      <m:oMath>
        <m:r>
          <m:t>J</m:t>
        </m:r>
      </m:oMath>
      <w:r>
        <w:t xml:space="preserve"> </w:t>
      </w:r>
      <w:r>
        <w:t xml:space="preserve">not be diagonalized?</w:t>
      </w:r>
    </w:p>
    <w:bookmarkEnd w:id="23"/>
    <w:bookmarkStart w:id="24" w:name="exercise-5"/>
    <w:p>
      <w:pPr>
        <w:pStyle w:val="Heading2"/>
      </w:pPr>
      <w:r>
        <w:t xml:space="preserve">Exercise 5</w:t>
      </w:r>
    </w:p>
    <w:p>
      <w:pPr>
        <w:pStyle w:val="Normal"/>
      </w:pPr>
      <w:r>
        <w:t xml:space="preserve">Explain why equal successive Rayleigh quotients do not imply convergence for</w:t>
      </w:r>
      <w:r>
        <w:t xml:space="preserve"> </w:t>
      </w:r>
      <m:oMath>
        <m:r>
          <m:rPr>
            <m:sty m:val="p"/>
          </m:rPr>
          <m:t>diag</m:t>
        </m:r>
        <m:d>
          <m:dPr>
            <m:begChr m:val="("/>
            <m:endChr m:val=")"/>
            <m:sepChr m:val=""/>
            <m:grow/>
          </m:dPr>
          <m:e>
            <m:r>
              <m:t>1</m:t>
            </m:r>
            <m:r>
              <m:rPr>
                <m:sty m:val="p"/>
              </m:rPr>
              <m:t>,</m:t>
            </m:r>
            <m:r>
              <m:rPr>
                <m:sty m:val="p"/>
              </m:rPr>
              <m:t>−</m:t>
            </m:r>
            <m:r>
              <m:t>1</m:t>
            </m:r>
          </m:e>
        </m:d>
      </m:oMath>
      <w:r>
        <w:t xml:space="preserve">.</w:t>
      </w:r>
    </w:p>
    <w:bookmarkEnd w:id="24"/>
    <w:bookmarkStart w:id="25" w:name="exercise-6"/>
    <w:p>
      <w:pPr>
        <w:pStyle w:val="Heading2"/>
      </w:pPr>
      <w:r>
        <w:t xml:space="preserve">Exercise 6</w:t>
      </w:r>
    </w:p>
    <w:p>
      <w:pPr>
        <w:pStyle w:val="Normal"/>
      </w:pPr>
      <w:r>
        <w:t xml:space="preserve">Give a starting vector that hides the unstable mode of</w:t>
      </w:r>
      <w:r>
        <w:t xml:space="preserve"> </w:t>
      </w:r>
      <m:oMath>
        <m:r>
          <m:rPr>
            <m:sty m:val="p"/>
          </m:rPr>
          <m:t>diag</m:t>
        </m:r>
        <m:d>
          <m:dPr>
            <m:begChr m:val="("/>
            <m:endChr m:val=")"/>
            <m:sepChr m:val=""/>
            <m:grow/>
          </m:dPr>
          <m:e>
            <m:r>
              <m:t>1.1</m:t>
            </m:r>
            <m:r>
              <m:rPr>
                <m:sty m:val="p"/>
              </m:rPr>
              <m:t>,</m:t>
            </m:r>
            <m:r>
              <m:t>0.9</m:t>
            </m:r>
          </m:e>
        </m:d>
      </m:oMath>
      <w:r>
        <w:t xml:space="preserve">.</w:t>
      </w:r>
    </w:p>
    <w:bookmarkEnd w:id="25"/>
    <w:bookmarkStart w:id="26" w:name="exercise-7"/>
    <w:p>
      <w:pPr>
        <w:pStyle w:val="Heading2"/>
      </w:pPr>
      <w:r>
        <w:t xml:space="preserve">Exercise 7</w:t>
      </w:r>
    </w:p>
    <w:p>
      <w:pPr>
        <w:pStyle w:val="Normal"/>
      </w:pPr>
      <w:r>
        <w:t xml:space="preserve">Explain why radius</w:t>
      </w:r>
      <w:r>
        <w:t xml:space="preserve"> </w:t>
      </w:r>
      <m:oMath>
        <m:r>
          <m:t>0.8</m:t>
        </m:r>
      </m:oMath>
      <w:r>
        <w:t xml:space="preserve"> </w:t>
      </w:r>
      <w:r>
        <w:t xml:space="preserve">does not rule out short-term amplification.</w:t>
      </w:r>
    </w:p>
    <w:bookmarkEnd w:id="26"/>
    <w:bookmarkStart w:id="27" w:name="exercise-8"/>
    <w:p>
      <w:pPr>
        <w:pStyle w:val="Heading2"/>
      </w:pPr>
      <w:r>
        <w:t xml:space="preserve">Exercise 8</w:t>
      </w:r>
    </w:p>
    <w:p>
      <w:pPr>
        <w:pStyle w:val="Normal"/>
      </w:pPr>
      <w:r>
        <w:t xml:space="preserve">Compute the two sample covariance eigenvalues and explain the denominator</w:t>
      </w:r>
      <w:r>
        <w:t xml:space="preserve"> </w:t>
      </w:r>
      <m:oMath>
        <m:r>
          <m:t>n</m:t>
        </m:r>
        <m:r>
          <m:rPr>
            <m:sty m:val="p"/>
          </m:rPr>
          <m:t>−</m:t>
        </m:r>
        <m:r>
          <m:t>1</m:t>
        </m:r>
      </m:oMath>
      <w:r>
        <w:t xml:space="preserve">.</w:t>
      </w:r>
    </w:p>
    <w:bookmarkEnd w:id="27"/>
    <w:bookmarkStart w:id="28" w:name="exercise-9"/>
    <w:p>
      <w:pPr>
        <w:pStyle w:val="Heading2"/>
      </w:pPr>
      <w:r>
        <w:t xml:space="preserve">Exercise 9</w:t>
      </w:r>
    </w:p>
    <w:p>
      <w:pPr>
        <w:pStyle w:val="Normal"/>
      </w:pPr>
      <w:r>
        <w:t xml:space="preserve">Interpret the four-sector weights and list three reasons they cannot determine expenditure priorities.</w:t>
      </w:r>
    </w:p>
    <w:bookmarkEnd w:id="28"/>
    <w:bookmarkStart w:id="29" w:name="exercise-10"/>
    <w:p>
      <w:pPr>
        <w:pStyle w:val="Heading2"/>
      </w:pPr>
      <w:r>
        <w:t xml:space="preserve">Exercise 10</w:t>
      </w:r>
    </w:p>
    <w:p>
      <w:pPr>
        <w:pStyle w:val="Normal"/>
      </w:pPr>
      <w:r>
        <w:t xml:space="preserve">State the difference between an approximate eigenpair residual check and proof of dominance.</w:t>
      </w:r>
    </w:p>
    <w:bookmarkEnd w:id="29"/>
    <w:bookmarkEnd w:id="30"/>
    <w:bookmarkStart w:id="30" w:name="worked-solutions-and-interpretation"/>
    <w:p>
      <w:pPr>
        <w:pStyle w:val="Heading2"/>
      </w:pPr>
      <w:r>
        <w:t xml:space="preserve">Worked solutions and interpretation</w:t>
      </w:r>
    </w:p>
    <w:bookmarkStart w:id="20" w:name="solution-1"/>
    <w:p>
      <w:pPr>
        <w:pStyle w:val="Heading2"/>
      </w:pPr>
      <w:r>
        <w:t xml:space="preserve">Solution 1</w:t>
      </w:r>
    </w:p>
    <w:p>
      <w:pPr>
        <w:pStyle w:val="Normal"/>
      </w:pPr>
      <m:oMath>
        <m:d>
          <m:dPr>
            <m:begChr m:val="("/>
            <m:endChr m:val=")"/>
            <m:sepChr m:val=""/>
            <m:grow/>
          </m:dPr>
          <m:e>
            <m:r>
              <m:t>λ</m:t>
            </m:r>
            <m:r>
              <m:rPr>
                <m:sty m:val="p"/>
              </m:rPr>
              <m:t>,</m:t>
            </m:r>
            <m:r>
              <m:t>v</m:t>
            </m:r>
          </m:e>
        </m:d>
        <m:r>
          <m:rPr>
            <m:sty m:val="p"/>
          </m:rPr>
          <m:t>=</m:t>
        </m:r>
        <m:d>
          <m:dPr>
            <m:begChr m:val="("/>
            <m:endChr m:val=")"/>
            <m:sepChr m:val=""/>
            <m:grow/>
          </m:dPr>
          <m:e>
            <m:r>
              <m:rPr>
                <m:sty m:val="p"/>
              </m:rPr>
              <m:t>−</m:t>
            </m:r>
            <m:r>
              <m:t>2</m:t>
            </m:r>
            <m:r>
              <m:rPr>
                <m:sty m:val="p"/>
              </m:rPr>
              <m:t>,</m:t>
            </m:r>
            <m:sSup>
              <m:e>
                <m:d>
                  <m:dPr>
                    <m:begChr m:val="("/>
                    <m:endChr m:val=")"/>
                    <m:sepChr m:val=""/>
                    <m:grow/>
                  </m:dPr>
                  <m:e>
                    <m:r>
                      <m:t>1</m:t>
                    </m:r>
                    <m:r>
                      <m:rPr>
                        <m:sty m:val="p"/>
                      </m:rPr>
                      <m:t>,</m:t>
                    </m:r>
                    <m:r>
                      <m:t>0</m:t>
                    </m:r>
                  </m:e>
                </m:d>
              </m:e>
              <m:sup>
                <m:r>
                  <m:t>T</m:t>
                </m:r>
              </m:sup>
            </m:sSup>
          </m:e>
        </m:d>
      </m:oMath>
      <w:r>
        <w:t xml:space="preserve"> </w:t>
      </w:r>
      <w:r>
        <w:t xml:space="preserve">reverses orientation and doubles length;</w:t>
      </w:r>
      <w:r>
        <w:t xml:space="preserve"> </w:t>
      </w:r>
      <m:oMath>
        <m:d>
          <m:dPr>
            <m:begChr m:val="("/>
            <m:endChr m:val=")"/>
            <m:sepChr m:val=""/>
            <m:grow/>
          </m:dPr>
          <m:e>
            <m:r>
              <m:t>0</m:t>
            </m:r>
            <m:r>
              <m:rPr>
                <m:sty m:val="p"/>
              </m:rPr>
              <m:t>,</m:t>
            </m:r>
            <m:sSup>
              <m:e>
                <m:d>
                  <m:dPr>
                    <m:begChr m:val="("/>
                    <m:endChr m:val=")"/>
                    <m:sepChr m:val=""/>
                    <m:grow/>
                  </m:dPr>
                  <m:e>
                    <m:r>
                      <m:t>0</m:t>
                    </m:r>
                    <m:r>
                      <m:rPr>
                        <m:sty m:val="p"/>
                      </m:rPr>
                      <m:t>,</m:t>
                    </m:r>
                    <m:r>
                      <m:t>1</m:t>
                    </m:r>
                  </m:e>
                </m:d>
              </m:e>
              <m:sup>
                <m:r>
                  <m:t>T</m:t>
                </m:r>
              </m:sup>
            </m:sSup>
          </m:e>
        </m:d>
      </m:oMath>
      <w:r>
        <w:t xml:space="preserve"> </w:t>
      </w:r>
      <w:r>
        <w:t xml:space="preserve">maps to zero. Allowing</w:t>
      </w:r>
      <w:r>
        <w:t xml:space="preserve"> </w:t>
      </w:r>
      <m:oMath>
        <m:r>
          <m:t>v</m:t>
        </m:r>
        <m:r>
          <m:rPr>
            <m:sty m:val="p"/>
          </m:rPr>
          <m:t>=</m:t>
        </m:r>
        <m:r>
          <m:t>0</m:t>
        </m:r>
      </m:oMath>
      <w:r>
        <w:t xml:space="preserve"> </w:t>
      </w:r>
      <w:r>
        <w:t xml:space="preserve">would satisfy the equation for every scalar and identify no direction.</w:t>
      </w:r>
    </w:p>
    <w:bookmarkEnd w:id="20"/>
    <w:bookmarkStart w:id="21" w:name="solution-2"/>
    <w:p>
      <w:pPr>
        <w:pStyle w:val="Heading2"/>
      </w:pPr>
      <w:r>
        <w:t xml:space="preserve">Solution 2</w:t>
      </w:r>
    </w:p>
    <w:p>
      <w:pPr>
        <w:pStyle w:val="Normal"/>
      </w:pPr>
      <m:oMath>
        <m:r>
          <m:rPr>
            <m:sty m:val="p"/>
          </m:rPr>
          <m:t>det</m:t>
        </m:r>
        <m:d>
          <m:dPr>
            <m:begChr m:val="("/>
            <m:endChr m:val=")"/>
            <m:sepChr m:val=""/>
            <m:grow/>
          </m:dPr>
          <m:e>
            <m:r>
              <m:t>S</m:t>
            </m:r>
            <m:r>
              <m:rPr>
                <m:sty m:val="p"/>
              </m:rPr>
              <m:t>−</m:t>
            </m:r>
            <m:r>
              <m:t>λ</m:t>
            </m:r>
            <m:r>
              <m:t>I</m:t>
            </m:r>
          </m:e>
        </m:d>
        <m:r>
          <m:rPr>
            <m:sty m:val="p"/>
          </m:rPr>
          <m:t>=</m:t>
        </m:r>
        <m:sSup>
          <m:e>
            <m:d>
              <m:dPr>
                <m:begChr m:val="("/>
                <m:endChr m:val=")"/>
                <m:sepChr m:val=""/>
                <m:grow/>
              </m:dPr>
              <m:e>
                <m:r>
                  <m:t>2</m:t>
                </m:r>
                <m:r>
                  <m:rPr>
                    <m:sty m:val="p"/>
                  </m:rPr>
                  <m:t>−</m:t>
                </m:r>
                <m:r>
                  <m:t>λ</m:t>
                </m:r>
              </m:e>
            </m:d>
          </m:e>
          <m:sup>
            <m:r>
              <m:t>2</m:t>
            </m:r>
          </m:sup>
        </m:sSup>
        <m:r>
          <m:rPr>
            <m:sty m:val="p"/>
          </m:rPr>
          <m:t>−</m:t>
        </m:r>
        <m:r>
          <m:t>1</m:t>
        </m:r>
        <m:r>
          <m:rPr>
            <m:sty m:val="p"/>
          </m:rPr>
          <m:t>=</m:t>
        </m:r>
        <m:d>
          <m:dPr>
            <m:begChr m:val="("/>
            <m:endChr m:val=")"/>
            <m:sepChr m:val=""/>
            <m:grow/>
          </m:dPr>
          <m:e>
            <m:r>
              <m:t>λ</m:t>
            </m:r>
            <m:r>
              <m:rPr>
                <m:sty m:val="p"/>
              </m:rPr>
              <m:t>−</m:t>
            </m:r>
            <m:r>
              <m:t>3</m:t>
            </m:r>
          </m:e>
        </m:d>
        <m:d>
          <m:dPr>
            <m:begChr m:val="("/>
            <m:endChr m:val=")"/>
            <m:sepChr m:val=""/>
            <m:grow/>
          </m:dPr>
          <m:e>
            <m:r>
              <m:t>λ</m:t>
            </m:r>
            <m:r>
              <m:rPr>
                <m:sty m:val="p"/>
              </m:rPr>
              <m:t>−</m:t>
            </m:r>
            <m:r>
              <m:t>1</m:t>
            </m:r>
          </m:e>
        </m:d>
      </m:oMath>
      <w:r>
        <w:t xml:space="preserve">. Normalize</w:t>
      </w:r>
      <w:r>
        <w:t xml:space="preserve"> </w:t>
      </w:r>
      <m:oMath>
        <m:sSup>
          <m:e>
            <m:d>
              <m:dPr>
                <m:begChr m:val="("/>
                <m:endChr m:val=")"/>
                <m:sepChr m:val=""/>
                <m:grow/>
              </m:dPr>
              <m:e>
                <m:r>
                  <m:t>1</m:t>
                </m:r>
                <m:r>
                  <m:rPr>
                    <m:sty m:val="p"/>
                  </m:rPr>
                  <m:t>,</m:t>
                </m:r>
                <m:r>
                  <m:t>1</m:t>
                </m:r>
              </m:e>
            </m:d>
          </m:e>
          <m:sup>
            <m:r>
              <m:t>T</m:t>
            </m:r>
          </m:sup>
        </m:sSup>
      </m:oMath>
      <w:r>
        <w:t xml:space="preserve"> </w:t>
      </w:r>
      <w:r>
        <w:t xml:space="preserve">and</w:t>
      </w:r>
      <w:r>
        <w:t xml:space="preserve"> </w:t>
      </w:r>
      <m:oMath>
        <m:sSup>
          <m:e>
            <m:d>
              <m:dPr>
                <m:begChr m:val="("/>
                <m:endChr m:val=")"/>
                <m:sepChr m:val=""/>
                <m:grow/>
              </m:dPr>
              <m:e>
                <m:r>
                  <m:t>1</m:t>
                </m:r>
                <m:r>
                  <m:rPr>
                    <m:sty m:val="p"/>
                  </m:rPr>
                  <m:t>,</m:t>
                </m:r>
                <m:r>
                  <m:rPr>
                    <m:sty m:val="p"/>
                  </m:rPr>
                  <m:t>−</m:t>
                </m:r>
                <m:r>
                  <m:t>1</m:t>
                </m:r>
              </m:e>
            </m:d>
          </m:e>
          <m:sup>
            <m:r>
              <m:t>T</m:t>
            </m:r>
          </m:sup>
        </m:sSup>
      </m:oMath>
      <w:r>
        <w:t xml:space="preserve"> </w:t>
      </w:r>
      <w:r>
        <w:t xml:space="preserve">by</w:t>
      </w:r>
      <w:r>
        <w:t xml:space="preserve"> </w:t>
      </w:r>
      <m:oMath>
        <m:rad>
          <m:radPr>
            <m:degHide m:val="on"/>
          </m:radPr>
          <m:deg/>
          <m:e>
            <m:r>
              <m:t>2</m:t>
            </m:r>
          </m:e>
        </m:rad>
      </m:oMath>
      <w:r>
        <w:t xml:space="preserve">; they are orthogonal.</w:t>
      </w:r>
    </w:p>
    <w:bookmarkEnd w:id="21"/>
    <w:bookmarkStart w:id="22" w:name="solution-3"/>
    <w:p>
      <w:pPr>
        <w:pStyle w:val="Heading2"/>
      </w:pPr>
      <w:r>
        <w:t xml:space="preserve">Solution 3</w:t>
      </w:r>
    </w:p>
    <w:p>
      <w:pPr>
        <w:pStyle w:val="Normal"/>
      </w:pPr>
      <w:r>
        <w:t xml:space="preserve">The diagonal entries are</w:t>
      </w:r>
      <w:r>
        <w:t xml:space="preserve"> </w:t>
      </w:r>
      <m:oMath>
        <m:d>
          <m:dPr>
            <m:begChr m:val="("/>
            <m:endChr m:val=")"/>
            <m:sepChr m:val=""/>
            <m:grow/>
          </m:dPr>
          <m:e>
            <m:r>
              <m:t>59049</m:t>
            </m:r>
            <m:r>
              <m:rPr>
                <m:sty m:val="p"/>
              </m:rPr>
              <m:t>+</m:t>
            </m:r>
            <m:r>
              <m:t>1</m:t>
            </m:r>
          </m:e>
        </m:d>
        <m:r>
          <m:rPr>
            <m:sty m:val="p"/>
          </m:rPr>
          <m:t>/</m:t>
        </m:r>
        <m:r>
          <m:t>2</m:t>
        </m:r>
        <m:r>
          <m:rPr>
            <m:sty m:val="p"/>
          </m:rPr>
          <m:t>=</m:t>
        </m:r>
        <m:r>
          <m:t>29525</m:t>
        </m:r>
      </m:oMath>
      <w:r>
        <w:t xml:space="preserve"> </w:t>
      </w:r>
      <w:r>
        <w:t xml:space="preserve">and off-diagonal entries</w:t>
      </w:r>
      <w:r>
        <w:t xml:space="preserve"> </w:t>
      </w:r>
      <m:oMath>
        <m:d>
          <m:dPr>
            <m:begChr m:val="("/>
            <m:endChr m:val=")"/>
            <m:sepChr m:val=""/>
            <m:grow/>
          </m:dPr>
          <m:e>
            <m:r>
              <m:t>59049</m:t>
            </m:r>
            <m:r>
              <m:rPr>
                <m:sty m:val="p"/>
              </m:rPr>
              <m:t>−</m:t>
            </m:r>
            <m:r>
              <m:t>1</m:t>
            </m:r>
          </m:e>
        </m:d>
        <m:r>
          <m:rPr>
            <m:sty m:val="p"/>
          </m:rPr>
          <m:t>/</m:t>
        </m:r>
        <m:r>
          <m:t>2</m:t>
        </m:r>
        <m:r>
          <m:rPr>
            <m:sty m:val="p"/>
          </m:rPr>
          <m:t>=</m:t>
        </m:r>
        <m:r>
          <m:t>29524</m:t>
        </m:r>
      </m:oMath>
      <w:r>
        <w:t xml:space="preserve">. Power zero yields the identity.</w:t>
      </w:r>
    </w:p>
    <w:bookmarkEnd w:id="22"/>
    <w:bookmarkStart w:id="23" w:name="solution-4"/>
    <w:p>
      <w:pPr>
        <w:pStyle w:val="Heading2"/>
      </w:pPr>
      <w:r>
        <w:t xml:space="preserve">Solution 4</w:t>
      </w:r>
    </w:p>
    <w:p>
      <w:pPr>
        <w:pStyle w:val="Normal"/>
      </w:pPr>
      <w:r>
        <w:t xml:space="preserve">Write</w:t>
      </w:r>
      <w:r>
        <w:t xml:space="preserve"> </w:t>
      </w:r>
      <m:oMath>
        <m:r>
          <m:t>J</m:t>
        </m:r>
        <m:r>
          <m:rPr>
            <m:sty m:val="p"/>
          </m:rPr>
          <m:t>=</m:t>
        </m:r>
        <m:r>
          <m:t>I</m:t>
        </m:r>
        <m:r>
          <m:rPr>
            <m:sty m:val="p"/>
          </m:rPr>
          <m:t>+</m:t>
        </m:r>
        <m:r>
          <m:t>N</m:t>
        </m:r>
      </m:oMath>
      <w:r>
        <w:t xml:space="preserve"> </w:t>
      </w:r>
      <w:r>
        <w:t xml:space="preserve">with</w:t>
      </w:r>
      <w:r>
        <w:t xml:space="preserve"> </w:t>
      </w:r>
      <m:oMath>
        <m:sSup>
          <m:e>
            <m:r>
              <m:t>N</m:t>
            </m:r>
          </m:e>
          <m:sup>
            <m:r>
              <m:t>2</m:t>
            </m:r>
          </m:sup>
        </m:sSup>
        <m:r>
          <m:rPr>
            <m:sty m:val="p"/>
          </m:rPr>
          <m:t>=</m:t>
        </m:r>
        <m:r>
          <m:t>0</m:t>
        </m:r>
      </m:oMath>
      <w:r>
        <w:t xml:space="preserve">; the binomial expansion gives</w:t>
      </w:r>
      <w:r>
        <w:t xml:space="preserve"> </w:t>
      </w:r>
      <m:oMath>
        <m:r>
          <m:t>I</m:t>
        </m:r>
        <m:r>
          <m:rPr>
            <m:sty m:val="p"/>
          </m:rPr>
          <m:t>+</m:t>
        </m:r>
        <m:r>
          <m:t>k</m:t>
        </m:r>
        <m:r>
          <m:t>N</m:t>
        </m:r>
      </m:oMath>
      <w:r>
        <w:t xml:space="preserve">. The eigenspace for eigenvalue one has dimension one, not two.</w:t>
      </w:r>
    </w:p>
    <w:bookmarkEnd w:id="23"/>
    <w:bookmarkStart w:id="24" w:name="solution-5"/>
    <w:p>
      <w:pPr>
        <w:pStyle w:val="Heading2"/>
      </w:pPr>
      <w:r>
        <w:t xml:space="preserve">Solution 5</w:t>
      </w:r>
    </w:p>
    <w:p>
      <w:pPr>
        <w:pStyle w:val="Normal"/>
      </w:pPr>
      <w:r>
        <w:t xml:space="preserve">Equal-magnitude components give Rayleigh quotient zero while the sign of one component alternates. The eigenpair residual remains nonzero.</w:t>
      </w:r>
    </w:p>
    <w:bookmarkEnd w:id="24"/>
    <w:bookmarkStart w:id="25" w:name="solution-6"/>
    <w:p>
      <w:pPr>
        <w:pStyle w:val="Heading2"/>
      </w:pPr>
      <w:r>
        <w:t xml:space="preserve">Solution 6</w:t>
      </w:r>
    </w:p>
    <w:p>
      <w:pPr>
        <w:pStyle w:val="Normal"/>
      </w:pPr>
      <w:r>
        <w:t xml:space="preserve">Starting at</w:t>
      </w:r>
      <w:r>
        <w:t xml:space="preserve"> </w:t>
      </w:r>
      <m:oMath>
        <m:sSup>
          <m:e>
            <m:d>
              <m:dPr>
                <m:begChr m:val="("/>
                <m:endChr m:val=")"/>
                <m:sepChr m:val=""/>
                <m:grow/>
              </m:dPr>
              <m:e>
                <m:r>
                  <m:t>0</m:t>
                </m:r>
                <m:r>
                  <m:rPr>
                    <m:sty m:val="p"/>
                  </m:rPr>
                  <m:t>,</m:t>
                </m:r>
                <m:r>
                  <m:t>1</m:t>
                </m:r>
              </m:e>
            </m:d>
          </m:e>
          <m:sup>
            <m:r>
              <m:t>T</m:t>
            </m:r>
          </m:sup>
        </m:sSup>
      </m:oMath>
      <w:r>
        <w:t xml:space="preserve"> </w:t>
      </w:r>
      <w:r>
        <w:t xml:space="preserve">produces decay as</w:t>
      </w:r>
      <w:r>
        <w:t xml:space="preserve"> </w:t>
      </w:r>
      <m:oMath>
        <m:sSup>
          <m:e>
            <m:r>
              <m:t>0.9</m:t>
            </m:r>
          </m:e>
          <m:sup>
            <m:r>
              <m:t>t</m:t>
            </m:r>
          </m:sup>
        </m:sSup>
      </m:oMath>
      <w:r>
        <w:t xml:space="preserve">, despite the unstable eigenvalue</w:t>
      </w:r>
      <w:r>
        <w:t xml:space="preserve"> </w:t>
      </w:r>
      <m:oMath>
        <m:r>
          <m:t>1.1</m:t>
        </m:r>
      </m:oMath>
      <w:r>
        <w:t xml:space="preserve">. Stability for all starts is a stronger claim.</w:t>
      </w:r>
    </w:p>
    <w:bookmarkEnd w:id="25"/>
    <w:bookmarkStart w:id="26" w:name="solution-7"/>
    <w:p>
      <w:pPr>
        <w:pStyle w:val="Heading2"/>
      </w:pPr>
      <w:r>
        <w:t xml:space="preserve">Solution 7</w:t>
      </w:r>
    </w:p>
    <w:p>
      <w:pPr>
        <w:pStyle w:val="Normal"/>
      </w:pPr>
      <w:r>
        <w:t xml:space="preserve">For the upper-triangular example, coupling feeds the second component into the first. The off-diagonal term in its</w:t>
      </w:r>
      <w:r>
        <w:t xml:space="preserve"> </w:t>
      </w:r>
      <m:oMath>
        <m:r>
          <m:t>k</m:t>
        </m:r>
      </m:oMath>
      <w:r>
        <w:t xml:space="preserve">th power is</w:t>
      </w:r>
      <w:r>
        <w:t xml:space="preserve"> </w:t>
      </w:r>
      <m:oMath>
        <m:r>
          <m:t>4</m:t>
        </m:r>
        <m:r>
          <m:t>k</m:t>
        </m:r>
        <m:sSup>
          <m:e>
            <m:d>
              <m:dPr>
                <m:begChr m:val="("/>
                <m:endChr m:val=")"/>
                <m:sepChr m:val=""/>
                <m:grow/>
              </m:dPr>
              <m:e>
                <m:r>
                  <m:t>0.8</m:t>
                </m:r>
              </m:e>
            </m:d>
          </m:e>
          <m:sup>
            <m:r>
              <m:t>k</m:t>
            </m:r>
            <m:r>
              <m:rPr>
                <m:sty m:val="p"/>
              </m:rPr>
              <m:t>−</m:t>
            </m:r>
            <m:r>
              <m:t>1</m:t>
            </m:r>
          </m:sup>
        </m:sSup>
      </m:oMath>
      <w:r>
        <w:t xml:space="preserve">, which can initially increase but eventually vanishes.</w:t>
      </w:r>
    </w:p>
    <w:bookmarkEnd w:id="26"/>
    <w:bookmarkStart w:id="27" w:name="solution-8"/>
    <w:p>
      <w:pPr>
        <w:pStyle w:val="Heading2"/>
      </w:pPr>
      <w:r>
        <w:t xml:space="preserve">Solution 8</w:t>
      </w:r>
    </w:p>
    <w:p>
      <w:pPr>
        <w:pStyle w:val="Normal"/>
      </w:pPr>
      <w:r>
        <w:t xml:space="preserve">The covariance eigenvalues are approximately</w:t>
      </w:r>
      <w:r>
        <w:t xml:space="preserve"> </w:t>
      </w:r>
      <m:oMath>
        <m:r>
          <m:t>3.19877307</m:t>
        </m:r>
      </m:oMath>
      <w:r>
        <w:t xml:space="preserve"> </w:t>
      </w:r>
      <w:r>
        <w:t xml:space="preserve">and</w:t>
      </w:r>
      <w:r>
        <w:t xml:space="preserve"> </w:t>
      </w:r>
      <m:oMath>
        <m:r>
          <m:t>0.03039360</m:t>
        </m:r>
      </m:oMath>
      <w:r>
        <w:t xml:space="preserve">. Sample covariance uses</w:t>
      </w:r>
      <w:r>
        <w:t xml:space="preserve"> </w:t>
      </w:r>
      <m:oMath>
        <m:r>
          <m:t>n</m:t>
        </m:r>
        <m:r>
          <m:rPr>
            <m:sty m:val="p"/>
          </m:rPr>
          <m:t>−</m:t>
        </m:r>
        <m:r>
          <m:t>1</m:t>
        </m:r>
      </m:oMath>
      <w:r>
        <w:t xml:space="preserve"> </w:t>
      </w:r>
      <w:r>
        <w:t xml:space="preserve">after estimating the mean; this is not a claim that four observations support reliable statistical inference.</w:t>
      </w:r>
    </w:p>
    <w:bookmarkEnd w:id="27"/>
    <w:bookmarkStart w:id="28" w:name="solution-9"/>
    <w:p>
      <w:pPr>
        <w:pStyle w:val="Heading2"/>
      </w:pPr>
      <w:r>
        <w:t xml:space="preserve">Solution 9</w:t>
      </w:r>
    </w:p>
    <w:p>
      <w:pPr>
        <w:pStyle w:val="Normal"/>
      </w:pPr>
      <w:r>
        <w:t xml:space="preserve">The normalized components describe one model eigendirection. Coefficients are synthetic, causal identification is absent, and costs/objectives/constraints are not modeled. All three prevent interpreting weights as allocations.</w:t>
      </w:r>
    </w:p>
    <w:bookmarkEnd w:id="28"/>
    <w:bookmarkStart w:id="29" w:name="solution-10"/>
    <w:p>
      <w:pPr>
        <w:pStyle w:val="Heading2"/>
      </w:pPr>
      <w:r>
        <w:t xml:space="preserve">Solution 10</w:t>
      </w:r>
    </w:p>
    <w:p>
      <w:pPr>
        <w:pStyle w:val="Normal"/>
      </w:pPr>
      <w:r>
        <w:t xml:space="preserve">Any eigenpair can have residual zero, including a nondominant one. Dominance requires spectral comparison or justified convergence assumptions; the sector example also compares against the dense eigensolver.</w:t>
      </w:r>
    </w:p>
    <w:bookmarkEnd w:id="29"/>
    <w:bookmarkEnd w:id="30"/>
    <w:p>
      <w:pPr/>
      <w:r>
        <w:t>Laboratory protocol: run the exact candidate from its setup cells through the final PASS. Retain the environment and executed copy separately. Inspect equations, figures and tables. Do not disable checks or alter hashes to obtain a green result. A sign difference is not the same as an incorrect eigenspace or a failed residual.</w:t>
      </w:r>
    </w:p>
    <w:p>
      <w:pPr>
        <w:pStyle w:val="Heading1"/>
      </w:pPr>
      <w:r>
        <w:t>6.10 Key Insight</w:t>
      </w:r>
    </w:p>
    <w:p>
      <w:pPr>
        <w:pStyle w:val="FirstParagraph"/>
      </w:pPr>
      <w:r>
        <w:t xml:space="preserve">Eigenvalues and eigenvectors expose invariant directions, dominant</w:t>
      </w:r>
      <w:r>
        <w:t xml:space="preserve"> </w:t>
      </w:r>
      <w:r>
        <w:t xml:space="preserve">dynamics, variance structure and stability hidden inside matrices.</w:t>
      </w:r>
    </w:p>
    <w:p>
      <w:pPr>
        <w:pStyle w:val="Heading1"/>
      </w:pPr>
      <w:r>
        <w:t>6.11 Looking Ahead</w:t>
      </w:r>
    </w:p>
    <w:p>
      <w:pPr/>
      <w:r>
        <w:t>Carry forward three habits: state assumptions, verify calculations through independent identities, and separate numerical structure from substantive meaning. Spectral reasoning will recur in dimensionality reduction, optimization, graph methods and stability analysis.</w:t>
      </w:r>
    </w:p>
    <w:p>
      <w:pPr>
        <w:pStyle w:val="Heading1"/>
      </w:pPr>
      <w:r>
        <w:t>Control note and chapter-to-notebook alignment</w:t>
      </w:r>
    </w:p>
    <w:p>
      <w:pPr/>
      <w:r>
        <w:t>Chapter 6.3 corresponds to notebook section 1; spectral structure in 6.4 to notebook sections 2, 3 and 5; iteration in 6.5 to notebook section 4; statistics in 6.6 to section 6; the sector clinic in 6.7 to section 7; and exercises in 6.9 to notebook sections 8–9. The same matrices, conventions, answer values and caveats are used.</w:t>
      </w:r>
    </w:p>
    <w:p>
      <w:pPr/>
      <w:r>
        <w:t>The candidate notebook previously passed 26 local mathematical/control tests, static markup validation and sequential plain-Python execution. The user subsequently reported error-free runs in VS Code and Colab. Executed files, environment logs and a separate visual-markup confirmation were not supplied with that message; this chapter does not invent them.</w:t>
      </w:r>
    </w:p>
    <w:p>
      <w:pPr/>
      <w:r>
        <w:t>Owner chapter approval, qualified mathematical review, runtime acceptance and publication authorization remain separate gates. The historical “9.x” source heading numbers have been corrected to “6.x” without changing the chapter identity. Six original native displayed equations are retained; damaged inline formulas and ambiguous claims are repaired. The five brief source exercises are expanded into the ten notebook-aligned exercises and solutions.</w:t>
      </w:r>
    </w:p>
    <w:p>
      <w:pPr/>
      <w:r>
        <w:t>Further study: Gilbert Strang, Introduction to Linear Algebra; David C. Lay, Steven R. Lay and Judi J. McDonald, Linear Algebra and Its Applications; Lloyd N. Trefethen and David Bau III, Numerical Linear Algebra. These are background references, not a claim of external review of this candidate.</w:t>
      </w:r>
    </w:p>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PU-B01-C06 | Controlled chapter candidate v0.1.0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SRAI | BOOK 1: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140" w:line="269" w:lineRule="auto"/>
    </w:pPr>
    <w:rPr>
      <w:rFonts w:ascii="Calibri" w:hAnsi="Calibri"/>
      <w:sz w:val="22"/>
    </w:rPr>
  </w:style>
  <w:style w:styleId="BodyText" w:type="paragraph">
    <w:name w:val="Body Text"/>
    <w:basedOn w:val="Normal"/>
    <w:link w:val="BodyTextChar"/>
    <w:pPr>
      <w:keepNext w:val="0"/>
      <w:pageBreakBefore w:val="0"/>
      <w:spacing w:after="140" w:before="180" w:line="269" w:lineRule="auto"/>
    </w:pPr>
    <w:qFormat/>
    <w:rPr>
      <w:rFonts w:ascii="Calibri" w:hAnsi="Calibri"/>
      <w:sz w:val="22"/>
    </w:rPr>
  </w:style>
  <w:style w:customStyle="1" w:styleId="FirstParagraph" w:type="paragraph">
    <w:name w:val="First Paragraph"/>
    <w:basedOn w:val="BodyText"/>
    <w:next w:val="BodyText"/>
    <w:qFormat/>
    <w:pPr>
      <w:keepNext w:val="0"/>
      <w:pageBreakBefore w:val="0"/>
      <w:spacing w:line="269" w:lineRule="auto" w:after="140"/>
    </w:pPr>
    <w:rPr>
      <w:rFonts w:ascii="Calibri" w:hAnsi="Calibri"/>
      <w:sz w:val="22"/>
    </w:rPr>
  </w:style>
  <w:style w:customStyle="1" w:styleId="Compact" w:type="paragraph">
    <w:name w:val="Compact"/>
    <w:basedOn w:val="BodyText"/>
    <w:qFormat/>
    <w:pPr>
      <w:keepNext w:val="0"/>
      <w:pageBreakBefore w:val="0"/>
      <w:spacing w:after="140" w:before="36" w:line="269" w:lineRule="auto"/>
    </w:pPr>
    <w:rPr>
      <w:rFonts w:ascii="Calibri" w:hAnsi="Calibri"/>
      <w:sz w:val="22"/>
    </w:rPr>
  </w:style>
  <w:style w:styleId="Title" w:type="paragraph">
    <w:name w:val="Title"/>
    <w:basedOn w:val="Normal"/>
    <w:next w:val="BodyText"/>
    <w:qFormat/>
    <w:pPr>
      <w:keepNext/>
      <w:keepLines/>
      <w:pageBreakBefore w:val="0"/>
      <w:spacing w:after="140" w:before="280" w:line="269" w:lineRule="auto"/>
      <w:jc w:val="center"/>
    </w:pPr>
    <w:rPr>
      <w:rFonts w:asciiTheme="majorHAnsi" w:cstheme="majorBidi" w:eastAsiaTheme="majorEastAsia" w:hAnsiTheme="majorHAnsi" w:ascii="Calibri" w:hAnsi="Calibri"/>
      <w:b/>
      <w:bCs/>
      <w:color w:val="175D86"/>
      <w:sz w:val="56"/>
      <w:szCs w:val="36"/>
    </w:rPr>
  </w:style>
  <w:style w:styleId="Subtitle" w:type="paragraph">
    <w:name w:val="Subtitle"/>
    <w:basedOn w:val="Title"/>
    <w:next w:val="BodyText"/>
    <w:qFormat/>
    <w:pPr>
      <w:keepNext w:val="0"/>
      <w:keepLines/>
      <w:pageBreakBefore w:val="0"/>
      <w:spacing w:after="140" w:before="240" w:line="269" w:lineRule="auto"/>
      <w:jc w:val="center"/>
    </w:pPr>
    <w:rPr>
      <w:rFonts w:ascii="Calibri" w:hAnsi="Calibri"/>
      <w:sz w:val="22"/>
      <w:szCs w:val="30"/>
    </w:rPr>
  </w:style>
  <w:style w:customStyle="1" w:styleId="Author" w:type="paragraph">
    <w:name w:val="Author"/>
    <w:next w:val="BodyText"/>
    <w:qFormat/>
    <w:pPr>
      <w:keepNext w:val="0"/>
      <w:keepLines/>
      <w:pageBreakBefore w:val="0"/>
      <w:spacing w:line="269" w:lineRule="auto" w:after="140"/>
      <w:jc w:val="center"/>
    </w:pPr>
    <w:rPr>
      <w:rFonts w:ascii="Calibri" w:hAnsi="Calibri"/>
      <w:sz w:val="22"/>
    </w:rPr>
  </w:style>
  <w:style w:styleId="Date" w:type="paragraph">
    <w:name w:val="Date"/>
    <w:next w:val="BodyText"/>
    <w:qFormat/>
    <w:pPr>
      <w:keepNext w:val="0"/>
      <w:keepLines/>
      <w:pageBreakBefore w:val="0"/>
      <w:spacing w:line="269" w:lineRule="auto" w:after="140"/>
      <w:jc w:val="center"/>
    </w:pPr>
    <w:rPr>
      <w:rFonts w:ascii="Calibri" w:hAnsi="Calibri"/>
      <w:sz w:val="22"/>
    </w:rPr>
  </w:style>
  <w:style w:customStyle="1" w:styleId="AbstractTitle" w:type="paragraph">
    <w:name w:val="Abstract Title"/>
    <w:basedOn w:val="Normal"/>
    <w:next w:val="Abstract"/>
    <w:qFormat/>
    <w:pPr>
      <w:keepNext w:val="0"/>
      <w:keepLines/>
      <w:jc w:val="center"/>
      <w:pageBreakBefore w:val="0"/>
      <w:spacing w:after="140" w:before="300" w:line="269" w:lineRule="auto"/>
    </w:pPr>
    <w:rPr>
      <w:sz w:val="22"/>
      <w:szCs w:val="20"/>
      <w:rFonts w:ascii="Calibri" w:hAnsi="Calibri"/>
      <w:b/>
      <w:color w:val="345A8A"/>
      &gt;
    </w:rPr>
  </w:style>
  <w:style w:customStyle="1" w:styleId="Abstract" w:type="paragraph">
    <w:name w:val="Abstract"/>
    <w:basedOn w:val="Normal"/>
    <w:next w:val="BodyText"/>
    <w:qFormat/>
    <w:pPr>
      <w:keepNext w:val="0"/>
      <w:keepLines/>
      <w:pageBreakBefore w:val="0"/>
      <w:spacing w:after="140" w:before="100" w:line="269" w:lineRule="auto"/>
    </w:pPr>
    <w:rPr>
      <w:rFonts w:ascii="Calibri" w:hAnsi="Calibri"/>
      <w:sz w:val="22"/>
      <w:szCs w:val="20"/>
    </w:rPr>
  </w:style>
  <w:style w:styleId="Bibliography" w:type="paragraph">
    <w:name w:val="Bibliography"/>
    <w:basedOn w:val="Normal"/>
    <w:next w:val="Bibliography"/>
    <w:qFormat/>
    <w:pPr>
      <w:keepNext w:val="0"/>
      <w:pageBreakBefore w:val="0"/>
      <w:spacing w:line="269" w:lineRule="auto" w:after="140"/>
    </w:pPr>
    <w:rPr>
      <w:rFonts w:ascii="Calibri" w:hAnsi="Calibri"/>
      <w:sz w:val="22"/>
    </w:rPr>
  </w:style>
  <w:style w:styleId="Heading1" w:type="paragraph">
    <w:name w:val="Heading 1"/>
    <w:basedOn w:val="Normal"/>
    <w:next w:val="BodyText"/>
    <w:uiPriority w:val="9"/>
    <w:qFormat/>
    <w:pPr>
      <w:keepNext/>
      <w:keepLines/>
      <w:pageBreakBefore w:val="0"/>
      <w:spacing w:after="140" w:before="280" w:line="269" w:lineRule="auto"/>
      <w:outlineLvl w:val="0"/>
    </w:pPr>
    <w:rPr>
      <w:rFonts w:asciiTheme="majorHAnsi" w:cstheme="majorBidi" w:eastAsiaTheme="majorEastAsia" w:hAnsiTheme="majorHAnsi" w:ascii="Calibri" w:hAnsi="Calibri"/>
      <w:b/>
      <w:bCs/>
      <w:color w:val="175D86"/>
      <w:sz w:val="32"/>
      <w:szCs w:val="32"/>
    </w:rPr>
  </w:style>
  <w:style w:styleId="Heading2" w:type="paragraph">
    <w:name w:val="Heading 2"/>
    <w:basedOn w:val="Normal"/>
    <w:next w:val="BodyText"/>
    <w:uiPriority w:val="9"/>
    <w:unhideWhenUsed/>
    <w:qFormat/>
    <w:pPr>
      <w:keepNext/>
      <w:keepLines/>
      <w:pageBreakBefore w:val="0"/>
      <w:spacing w:after="140" w:before="280" w:line="269" w:lineRule="auto"/>
      <w:outlineLvl w:val="1"/>
    </w:pPr>
    <w:rPr>
      <w:rFonts w:asciiTheme="majorHAnsi" w:cstheme="majorBidi" w:eastAsiaTheme="majorEastAsia" w:hAnsiTheme="majorHAnsi" w:ascii="Calibri" w:hAnsi="Calibri"/>
      <w:b/>
      <w:bCs/>
      <w:color w:val="175D86"/>
      <w:sz w:val="26"/>
      <w:szCs w:val="28"/>
    </w:rPr>
  </w:style>
  <w:style w:styleId="Heading3" w:type="paragraph">
    <w:name w:val="Heading 3"/>
    <w:basedOn w:val="Normal"/>
    <w:next w:val="BodyText"/>
    <w:uiPriority w:val="9"/>
    <w:unhideWhenUsed/>
    <w:qFormat/>
    <w:pPr>
      <w:keepNext/>
      <w:keepLines/>
      <w:pageBreakBefore w:val="0"/>
      <w:spacing w:after="140" w:before="280" w:line="269" w:lineRule="auto"/>
      <w:outlineLvl w:val="2"/>
    </w:pPr>
    <w:rPr>
      <w:rFonts w:asciiTheme="majorHAnsi" w:cstheme="majorBidi" w:eastAsiaTheme="majorEastAsia" w:hAnsiTheme="majorHAnsi" w:ascii="Calibri" w:hAnsi="Calibri"/>
      <w:b/>
      <w:bCs/>
      <w:color w:val="175D86"/>
      <w:sz w:val="22"/>
      <w:szCs w:val="24"/>
    </w:rPr>
  </w:style>
  <w:style w:styleId="Heading4" w:type="paragraph">
    <w:name w:val="Heading 4"/>
    <w:basedOn w:val="Normal"/>
    <w:next w:val="BodyText"/>
    <w:uiPriority w:val="9"/>
    <w:unhideWhenUsed/>
    <w:qFormat/>
    <w:pPr>
      <w:keepNext w:val="0"/>
      <w:keepLines/>
      <w:pageBreakBefore w:val="0"/>
      <w:spacing w:after="140" w:before="200" w:line="269" w:lineRule="auto"/>
      <w:outlineLvl w:val="3"/>
    </w:pPr>
    <w:rPr>
      <w:rFonts w:asciiTheme="majorHAnsi" w:cstheme="majorBidi" w:eastAsiaTheme="majorEastAsia" w:hAnsiTheme="majorHAnsi" w:ascii="Calibri" w:hAnsi="Calibri"/>
      <w:i/>
      <w:bCs/>
      <w:color w:themeColor="accent1" w:val="4F81BD"/>
      <w:sz w:val="22"/>
      <w:szCs w:val="24"/>
    </w:rPr>
  </w:style>
  <w:style w:styleId="Heading5" w:type="paragraph">
    <w:name w:val="Heading 5"/>
    <w:basedOn w:val="Normal"/>
    <w:next w:val="BodyText"/>
    <w:uiPriority w:val="9"/>
    <w:unhideWhenUsed/>
    <w:qFormat/>
    <w:pPr>
      <w:keepNext w:val="0"/>
      <w:keepLines/>
      <w:pageBreakBefore w:val="0"/>
      <w:spacing w:after="140" w:before="200" w:line="269" w:lineRule="auto"/>
      <w:outlineLvl w:val="4"/>
    </w:pPr>
    <w:rPr>
      <w:rFonts w:asciiTheme="majorHAnsi" w:cstheme="majorBidi" w:eastAsiaTheme="majorEastAsia" w:hAnsiTheme="majorHAnsi" w:ascii="Calibri" w:hAnsi="Calibri"/>
      <w:iCs/>
      <w:color w:themeColor="accent1" w:val="4F81BD"/>
      <w:sz w:val="22"/>
      <w:szCs w:val="24"/>
    </w:rPr>
  </w:style>
  <w:style w:styleId="Heading6" w:type="paragraph">
    <w:name w:val="Heading 6"/>
    <w:basedOn w:val="Normal"/>
    <w:next w:val="BodyText"/>
    <w:uiPriority w:val="9"/>
    <w:unhideWhenUsed/>
    <w:qFormat/>
    <w:pPr>
      <w:keepNext w:val="0"/>
      <w:keepLines/>
      <w:pageBreakBefore w:val="0"/>
      <w:spacing w:after="140" w:before="200" w:line="269" w:lineRule="auto"/>
      <w:outlineLvl w:val="5"/>
    </w:pPr>
    <w:rPr>
      <w:rFonts w:asciiTheme="majorHAnsi" w:cstheme="majorBidi" w:eastAsiaTheme="majorEastAsia" w:hAnsiTheme="majorHAnsi" w:ascii="Calibri" w:hAnsi="Calibri"/>
      <w:color w:themeColor="accent1" w:val="4F81BD"/>
      <w:sz w:val="22"/>
      <w:szCs w:val="24"/>
    </w:rPr>
  </w:style>
  <w:style w:styleId="Heading7" w:type="paragraph">
    <w:name w:val="Heading 7"/>
    <w:basedOn w:val="Normal"/>
    <w:next w:val="BodyText"/>
    <w:uiPriority w:val="9"/>
    <w:unhideWhenUsed/>
    <w:qFormat/>
    <w:pPr>
      <w:keepNext w:val="0"/>
      <w:keepLines/>
      <w:pageBreakBefore w:val="0"/>
      <w:spacing w:after="140" w:before="200" w:line="269" w:lineRule="auto"/>
      <w:outlineLvl w:val="6"/>
    </w:pPr>
    <w:rPr>
      <w:rFonts w:asciiTheme="majorHAnsi" w:cstheme="majorBidi" w:eastAsiaTheme="majorEastAsia" w:hAnsiTheme="majorHAnsi" w:ascii="Calibri" w:hAnsi="Calibri"/>
      <w:color w:themeColor="accent1" w:val="4F81BD"/>
      <w:sz w:val="22"/>
      <w:szCs w:val="24"/>
    </w:rPr>
  </w:style>
  <w:style w:styleId="Heading8" w:type="paragraph">
    <w:name w:val="Heading 8"/>
    <w:basedOn w:val="Normal"/>
    <w:next w:val="BodyText"/>
    <w:uiPriority w:val="9"/>
    <w:unhideWhenUsed/>
    <w:qFormat/>
    <w:pPr>
      <w:keepNext w:val="0"/>
      <w:keepLines/>
      <w:pageBreakBefore w:val="0"/>
      <w:spacing w:after="140" w:before="200" w:line="269" w:lineRule="auto"/>
      <w:outlineLvl w:val="7"/>
    </w:pPr>
    <w:rPr>
      <w:rFonts w:asciiTheme="majorHAnsi" w:cstheme="majorBidi" w:eastAsiaTheme="majorEastAsia" w:hAnsiTheme="majorHAnsi" w:ascii="Calibri" w:hAnsi="Calibri"/>
      <w:color w:themeColor="accent1" w:val="4F81BD"/>
      <w:sz w:val="22"/>
      <w:szCs w:val="24"/>
    </w:rPr>
  </w:style>
  <w:style w:styleId="Heading9" w:type="paragraph">
    <w:name w:val="Heading 9"/>
    <w:basedOn w:val="Normal"/>
    <w:next w:val="BodyText"/>
    <w:uiPriority w:val="9"/>
    <w:unhideWhenUsed/>
    <w:qFormat/>
    <w:pPr>
      <w:keepNext w:val="0"/>
      <w:keepLines/>
      <w:pageBreakBefore w:val="0"/>
      <w:spacing w:after="140" w:before="200" w:line="269" w:lineRule="auto"/>
      <w:outlineLvl w:val="8"/>
    </w:pPr>
    <w:rPr>
      <w:rFonts w:asciiTheme="majorHAnsi" w:cstheme="majorBidi" w:eastAsiaTheme="majorEastAsia" w:hAnsiTheme="majorHAnsi" w:ascii="Calibri" w:hAnsi="Calibri"/>
      <w:color w:themeColor="accent1" w:val="4F81BD"/>
      <w:sz w:val="22"/>
      <w:szCs w:val="24"/>
    </w:rPr>
  </w:style>
  <w:style w:styleId="BlockText" w:type="paragraph">
    <w:name w:val="Block Text"/>
    <w:basedOn w:val="BodyText"/>
    <w:next w:val="BodyText"/>
    <w:uiPriority w:val="9"/>
    <w:unhideWhenUsed/>
    <w:qFormat/>
    <w:pPr>
      <w:keepNext w:val="0"/>
      <w:pageBreakBefore w:val="0"/>
      <w:spacing w:after="140" w:before="100" w:line="269" w:lineRule="auto"/>
      <w:ind w:firstLine="0" w:left="480" w:right="480"/>
    </w:pPr>
    <w:rPr>
      <w:rFonts w:ascii="Calibri" w:hAnsi="Calibri"/>
      <w:sz w:val="22"/>
    </w:rPr>
  </w:style>
  <w:style w:styleId="FootnoteText" w:type="paragraph">
    <w:name w:val="Footnote Text"/>
    <w:basedOn w:val="Normal"/>
    <w:next w:val="FootnoteText"/>
    <w:uiPriority w:val="9"/>
    <w:unhideWhenUsed/>
    <w:qFormat/>
    <w:pPr>
      <w:keepNext w:val="0"/>
      <w:pageBreakBefore w:val="0"/>
      <w:spacing w:line="269" w:lineRule="auto" w:after="140"/>
    </w:pPr>
    <w:rPr>
      <w:rFonts w:ascii="Calibri" w:hAnsi="Calibri"/>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val="0"/>
      <w:keepLines/>
      <w:pageBreakBefore w:val="0"/>
      <w:spacing w:after="140" w:line="269" w:lineRule="auto"/>
    </w:pPr>
    <w:rPr>
      <w:rFonts w:ascii="Calibri" w:hAnsi="Calibri"/>
      <w:b/>
      <w:sz w:val="22"/>
    </w:rPr>
  </w:style>
  <w:style w:customStyle="1" w:styleId="Definition" w:type="paragraph">
    <w:name w:val="Definition"/>
    <w:basedOn w:val="Normal"/>
    <w:pPr>
      <w:keepNext w:val="0"/>
      <w:pageBreakBefore w:val="0"/>
      <w:spacing w:line="269" w:lineRule="auto" w:after="140"/>
    </w:pPr>
    <w:rPr>
      <w:rFonts w:ascii="Calibri" w:hAnsi="Calibri"/>
      <w:sz w:val="22"/>
    </w:rPr>
  </w:style>
  <w:style w:styleId="Caption" w:type="paragraph">
    <w:name w:val="Caption"/>
    <w:basedOn w:val="Normal"/>
    <w:link w:val="BodyTextChar"/>
    <w:pPr>
      <w:keepNext w:val="0"/>
      <w:pageBreakBefore w:val="0"/>
      <w:spacing w:after="140" w:before="0" w:line="269" w:lineRule="auto"/>
    </w:pPr>
    <w:rPr>
      <w:rFonts w:ascii="Calibri" w:hAnsi="Calibri"/>
      <w:i/>
      <w:sz w:val="22"/>
    </w:rPr>
  </w:style>
  <w:style w:customStyle="1" w:styleId="TableCaption" w:type="paragraph">
    <w:name w:val="Table Caption"/>
    <w:basedOn w:val="Caption"/>
    <w:pPr>
      <w:keepNext w:val="0"/>
      <w:pageBreakBefore w:val="0"/>
      <w:spacing w:line="269" w:lineRule="auto" w:after="140"/>
    </w:pPr>
    <w:rPr>
      <w:rFonts w:ascii="Calibri" w:hAnsi="Calibri"/>
      <w:sz w:val="22"/>
    </w:rPr>
  </w:style>
  <w:style w:customStyle="1" w:styleId="ImageCaption" w:type="paragraph">
    <w:name w:val="Image Caption"/>
    <w:basedOn w:val="Caption"/>
    <w:pPr>
      <w:keepNext w:val="0"/>
      <w:pageBreakBefore w:val="0"/>
      <w:spacing w:line="269" w:lineRule="auto" w:after="140"/>
    </w:pPr>
    <w:rPr>
      <w:rFonts w:ascii="Calibri" w:hAnsi="Calibri"/>
      <w:sz w:val="22"/>
    </w:rPr>
  </w:style>
  <w:style w:customStyle="1" w:styleId="Figure" w:type="paragraph">
    <w:name w:val="Figure"/>
    <w:basedOn w:val="Normal"/>
    <w:pPr>
      <w:keepNext w:val="0"/>
      <w:pageBreakBefore w:val="0"/>
      <w:spacing w:line="269" w:lineRule="auto" w:after="140"/>
    </w:pPr>
    <w:rPr>
      <w:rFonts w:ascii="Calibri" w:hAnsi="Calibri"/>
      <w:sz w:val="22"/>
    </w:rPr>
  </w:style>
  <w:style w:customStyle="1" w:styleId="CaptionedFigure" w:type="paragraph">
    <w:name w:val="Captioned Figure"/>
    <w:basedOn w:val="Figure"/>
    <w:pPr>
      <w:keepNext w:val="0"/>
      <w:pageBreakBefore w:val="0"/>
      <w:spacing w:line="269" w:lineRule="auto" w:after="140"/>
    </w:pPr>
    <w:rPr>
      <w:rFonts w:ascii="Calibri" w:hAnsi="Calibri"/>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pageBreakBefore w:val="0"/>
      <w:spacing w:before="240" w:line="269" w:lineRule="auto" w:after="140"/>
      <w:outlineLvl w:val="9"/>
    </w:pPr>
    <w:rPr>
      <w:rFonts w:asciiTheme="majorHAnsi" w:cstheme="majorBidi" w:eastAsiaTheme="majorEastAsia" w:hAnsiTheme="majorHAnsi" w:ascii="Calibri" w:hAnsi="Calibri"/>
      <w:b w:val="0"/>
      <w:bCs w:val="0"/>
      <w:color w:themeColor="accent1" w:themeShade="BF" w:val="365F91"/>
      <w:sz w:val="22"/>
    </w:rPr>
  </w:style>
  <w:style w:type="paragraph" w:customStyle="1" w:styleId="SourceCode">
    <w:name w:val="Source Code"/>
    <w:basedOn w:val="Normal"/>
    <w:link w:val="VerbatimChar"/>
    <w:pPr>
      <w:keepNext w:val="0"/>
      <w:pageBreakBefore w:val="0"/>
      <w:wordWrap w:val="off"/>
      <w:spacing w:line="269" w:lineRule="auto" w:after="140"/>
    </w:pPr>
    <w:rPr>
      <w:rFonts w:ascii="Calibri" w:hAnsi="Calibri"/>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 Eigenvalues, Eigenvectors, and Spectral Intuition</dc:title>
  <dc:creator>Mbaye Kebe | SRAI</dc:creator>
  <cp:keywords/>
  <dcterms:created xsi:type="dcterms:W3CDTF">2026-07-28T15:17:18Z</dcterms:created>
  <dcterms:modified xsi:type="dcterms:W3CDTF">2026-07-28T15:17:18Z</dcterms:modified>
  <dc:subject>Complete controlled publication master edition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