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b5f248492123487d65cb46a35f2680ae47a7f42"/>
    <w:p>
      <w:pPr>
        <w:pStyle w:val="Heading1"/>
      </w:pPr>
      <w:r>
        <w:t xml:space="preserve">Lesson 6: Exercises and complete solutions</w:t>
      </w:r>
    </w:p>
    <w:p>
      <w:pPr>
        <w:pStyle w:val="FirstParagraph"/>
      </w:pPr>
      <w:r>
        <w:rPr>
          <w:bCs/>
          <w:b/>
        </w:rPr>
        <w:t xml:space="preserve">Eigenvalues, Eigenvectors, and Spectral Intuition</w:t>
      </w:r>
    </w:p>
    <w:p>
      <w:pPr>
        <w:pStyle w:val="BodyText"/>
      </w:pPr>
      <w:r>
        <w:t xml:space="preserve">Mbaye Kebe | SRAI - Statistics, Reasoning and Artificial Intelligence</w:t>
      </w:r>
    </w:p>
    <w:p>
      <w:pPr>
        <w:pStyle w:val="BodyText"/>
      </w:pPr>
      <w:r>
        <w:t xml:space="preserve">Book 1: Mathematical Foundations | PU-B01-C06 | v0.1.0 | Review candidate</w:t>
      </w:r>
    </w:p>
    <w:bookmarkStart w:id="20" w:name="how-to-use-this-companion"/>
    <w:p>
      <w:pPr>
        <w:pStyle w:val="Heading2"/>
      </w:pPr>
      <w:r>
        <w:t xml:space="preserve">How to use this companion</w:t>
      </w:r>
    </w:p>
    <w:p>
      <w:pPr>
        <w:pStyle w:val="FirstParagraph"/>
      </w:pPr>
      <w:r>
        <w:t xml:space="preserve">Attempt the ten exercises before reading the solutions. Show the algebra, state the assumptions, and interpret the result in words. Use the tested Lesson 6 notebook to check calculations, not as a substitute for explaining them. This standalone companion expands the solutions in the approved chapter without changing its examples.</w:t>
      </w:r>
    </w:p>
    <w:p>
      <w:pPr>
        <w:pStyle w:val="BodyText"/>
      </w:pPr>
      <w:r>
        <w:t xml:space="preserve">Prerequisites: matrix multiplication, determinants, bases, orthogonality and norms. All data and sector coefficients are synthetic teaching examples. These exercises do not establish empirical policy recommendations.</w:t>
      </w:r>
    </w:p>
    <w:bookmarkEnd w:id="20"/>
    <w:bookmarkStart w:id="21" w:name="notation-a-subscript-is-not-a-power"/>
    <w:p>
      <w:pPr>
        <w:pStyle w:val="Heading2"/>
      </w:pPr>
      <w:r>
        <w:t xml:space="preserve">Notation: a subscript is not a power</w:t>
      </w:r>
    </w:p>
    <w:p>
      <w:pPr>
        <w:pStyle w:val="FirstParagraph"/>
      </w:pPr>
      <w:r>
        <w:t xml:space="preserve">For a real vector</w:t>
      </w:r>
      <w:r>
        <w:t xml:space="preserve"> </w:t>
      </w:r>
      <m:oMath>
        <m:r>
          <m:t>v</m:t>
        </m:r>
      </m:oMath>
      <w:r>
        <w:t xml:space="preserve">, the Euclidean norm is</w:t>
      </w:r>
      <w:r>
        <w:t xml:space="preserve"> </w:t>
      </w:r>
      <m:oMath>
        <m:r>
          <m:rPr>
            <m:sty m:val="p"/>
          </m:rPr>
          <m:t>∥</m:t>
        </m:r>
        <m:r>
          <m:t>v</m:t>
        </m:r>
        <m:sSub>
          <m:e>
            <m:r>
              <m:rPr>
                <m:sty m:val="p"/>
              </m:rPr>
              <m:t>∥</m:t>
            </m:r>
          </m:e>
          <m:sub>
            <m:r>
              <m:t>2</m:t>
            </m:r>
          </m:sub>
        </m:sSub>
        <m:r>
          <m:rPr>
            <m:sty m:val="p"/>
          </m:rPr>
          <m:t>=</m:t>
        </m:r>
        <m:rad>
          <m:radPr>
            <m:degHide m:val="on"/>
          </m:radPr>
          <m:deg/>
          <m:e>
            <m:nary>
              <m:naryPr>
                <m:chr m:val="∑"/>
                <m:limLoc m:val="undOvr"/>
                <m:subHide m:val="off"/>
                <m:supHide m:val="on"/>
              </m:naryPr>
              <m:sub>
                <m:r>
                  <m:t>i</m:t>
                </m:r>
              </m:sub>
              <m:sup>
                <m:r>
                  <m:t>​</m:t>
                </m:r>
              </m:sup>
              <m:e>
                <m:sSubSup>
                  <m:e>
                    <m:r>
                      <m:t>v</m:t>
                    </m:r>
                  </m:e>
                  <m:sub>
                    <m:r>
                      <m:t>i</m:t>
                    </m:r>
                  </m:sub>
                  <m:sup>
                    <m:r>
                      <m:t>2</m:t>
                    </m:r>
                  </m:sup>
                </m:sSubSup>
              </m:e>
            </m:nary>
          </m:e>
        </m:rad>
      </m:oMath>
      <w:r>
        <w:t xml:space="preserve">. Its square is</w:t>
      </w:r>
      <w:r>
        <w:t xml:space="preserve"> </w:t>
      </w:r>
      <m:oMath>
        <m:r>
          <m:rPr>
            <m:sty m:val="p"/>
          </m:rPr>
          <m:t>∥</m:t>
        </m:r>
        <m:r>
          <m:t>v</m:t>
        </m:r>
        <m:sSubSup>
          <m:e>
            <m:r>
              <m:rPr>
                <m:sty m:val="p"/>
              </m:rPr>
              <m:t>∥</m:t>
            </m:r>
          </m:e>
          <m:sub>
            <m:r>
              <m:t>2</m:t>
            </m:r>
          </m:sub>
          <m:sup>
            <m:r>
              <m:t>2</m:t>
            </m:r>
          </m:sup>
        </m:sSubSup>
        <m:r>
          <m:rPr>
            <m:sty m:val="p"/>
          </m:rPr>
          <m:t>=</m:t>
        </m:r>
        <m:nary>
          <m:naryPr>
            <m:chr m:val="∑"/>
            <m:limLoc m:val="undOvr"/>
            <m:subHide m:val="off"/>
            <m:supHide m:val="on"/>
          </m:naryPr>
          <m:sub>
            <m:r>
              <m:t>i</m:t>
            </m:r>
          </m:sub>
          <m:sup>
            <m:r>
              <m:t>​</m:t>
            </m:r>
          </m:sup>
          <m:e>
            <m:sSubSup>
              <m:e>
                <m:r>
                  <m:t>v</m:t>
                </m:r>
              </m:e>
              <m:sub>
                <m:r>
                  <m:t>i</m:t>
                </m:r>
              </m:sub>
              <m:sup>
                <m:r>
                  <m:t>2</m:t>
                </m:r>
              </m:sup>
            </m:sSubSup>
          </m:e>
        </m:nary>
      </m:oMath>
      <w:r>
        <w:t xml:space="preserve">. Thus for</w:t>
      </w:r>
      <w:r>
        <w:t xml:space="preserve"> </w:t>
      </w:r>
      <m:oMath>
        <m:r>
          <m:t>v</m:t>
        </m:r>
        <m:r>
          <m:rPr>
            <m:sty m:val="p"/>
          </m:rPr>
          <m:t>=</m:t>
        </m:r>
        <m:sSup>
          <m:e>
            <m:d>
              <m:dPr>
                <m:begChr m:val="("/>
                <m:endChr m:val=")"/>
                <m:sepChr m:val=""/>
                <m:grow/>
              </m:dPr>
              <m:e>
                <m:r>
                  <m:t>3</m:t>
                </m:r>
                <m:r>
                  <m:rPr>
                    <m:sty m:val="p"/>
                  </m:rPr>
                  <m:t>,</m:t>
                </m:r>
                <m:r>
                  <m:t>4</m:t>
                </m:r>
              </m:e>
            </m:d>
          </m:e>
          <m:sup>
            <m:r>
              <m:t>T</m:t>
            </m:r>
          </m:sup>
        </m:sSup>
      </m:oMath>
      <w:r>
        <w:t xml:space="preserve">, the norm is 5 and its square is 25. The subscript identifies the norm; the superscript indicates squaring. For a matrix,</w:t>
      </w:r>
      <w:r>
        <w:t xml:space="preserve"> </w:t>
      </w:r>
      <m:oMath>
        <m:r>
          <m:rPr>
            <m:sty m:val="p"/>
          </m:rPr>
          <m:t>∥</m:t>
        </m:r>
        <m:r>
          <m:t>A</m:t>
        </m:r>
        <m:sSub>
          <m:e>
            <m:r>
              <m:rPr>
                <m:sty m:val="p"/>
              </m:rPr>
              <m:t>∥</m:t>
            </m:r>
          </m:e>
          <m:sub>
            <m:r>
              <m:t>2</m:t>
            </m:r>
          </m:sub>
        </m:sSub>
      </m:oMath>
      <w:r>
        <w:t xml:space="preserve"> </w:t>
      </w:r>
      <w:r>
        <w:t xml:space="preserve">denotes its largest singular value, not generally its largest eigenvalue magnitude.</w:t>
      </w:r>
    </w:p>
    <w:bookmarkEnd w:id="21"/>
    <w:bookmarkStart w:id="22" w:name="exercise-1---eigenpairs-and-direction"/>
    <w:p>
      <w:pPr>
        <w:pStyle w:val="Heading2"/>
      </w:pPr>
      <w:r>
        <w:t xml:space="preserve">Exercise 1 - Eigenpairs and direction</w:t>
      </w:r>
    </w:p>
    <w:p>
      <w:pPr>
        <w:pStyle w:val="FirstParagraph"/>
      </w:pPr>
      <w:r>
        <w:t xml:space="preserve">For</w:t>
      </w:r>
      <w:r>
        <w:t xml:space="preserve"> </w:t>
      </w:r>
      <m:oMath>
        <m:r>
          <m:t>A</m:t>
        </m:r>
        <m:r>
          <m:rPr>
            <m:sty m:val="p"/>
          </m:rPr>
          <m:t>=</m:t>
        </m:r>
        <m:r>
          <m:rPr>
            <m:sty m:val="p"/>
          </m:rPr>
          <m:t>diag</m:t>
        </m:r>
        <m:d>
          <m:dPr>
            <m:begChr m:val="("/>
            <m:endChr m:val=")"/>
            <m:sepChr m:val=""/>
            <m:grow/>
          </m:dPr>
          <m:e>
            <m:r>
              <m:rPr>
                <m:sty m:val="p"/>
              </m:rPr>
              <m:t>−</m:t>
            </m:r>
            <m:r>
              <m:t>2</m:t>
            </m:r>
            <m:r>
              <m:rPr>
                <m:sty m:val="p"/>
              </m:rPr>
              <m:t>,</m:t>
            </m:r>
            <m:r>
              <m:t>0</m:t>
            </m:r>
          </m:e>
        </m:d>
      </m:oMath>
      <w:r>
        <w:t xml:space="preserve">, identify two eigenpairs, verify each by multiplication and interpret the transformation. Explain why the zero vector is excluded from the definition of an eigenvector.</w:t>
      </w:r>
    </w:p>
    <w:bookmarkEnd w:id="22"/>
    <w:bookmarkStart w:id="23" w:name="exercise-2---an-orthonormal-eigenbasis"/>
    <w:p>
      <w:pPr>
        <w:pStyle w:val="Heading2"/>
      </w:pPr>
      <w:r>
        <w:t xml:space="preserve">Exercise 2 - An orthonormal eigenbasis</w:t>
      </w:r>
    </w:p>
    <w:p>
      <w:pPr>
        <w:pStyle w:val="FirstParagraph"/>
      </w:pPr>
      <w:r>
        <w:t xml:space="preserve">For</w:t>
      </w:r>
      <w:r>
        <w:t xml:space="preserve"> </w:t>
      </w:r>
      <m:oMath>
        <m:r>
          <m:t>S</m:t>
        </m:r>
        <m:r>
          <m:rPr>
            <m:sty m:val="p"/>
          </m:rPr>
          <m:t>=</m:t>
        </m:r>
        <m:d>
          <m:dPr>
            <m:begChr m:val="("/>
            <m:endChr m:val=")"/>
            <m:sep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derive the characteristic polynomial, calculate the eigenvalues and find orthonormal eigenvectors. Verify</w:t>
      </w:r>
      <w:r>
        <w:t xml:space="preserve"> </w:t>
      </w:r>
      <m:oMath>
        <m:sSup>
          <m:e>
            <m:r>
              <m:t>Q</m:t>
            </m:r>
          </m:e>
          <m:sup>
            <m:r>
              <m:t>T</m:t>
            </m:r>
          </m:sup>
        </m:sSup>
        <m:r>
          <m:t>Q</m:t>
        </m:r>
        <m:r>
          <m:rPr>
            <m:sty m:val="p"/>
          </m:rPr>
          <m:t>=</m:t>
        </m:r>
        <m:r>
          <m:t>I</m:t>
        </m:r>
      </m:oMath>
      <w:r>
        <w:t xml:space="preserve"> </w:t>
      </w:r>
      <w:r>
        <w:t xml:space="preserve">and</w:t>
      </w:r>
      <w:r>
        <w:t xml:space="preserve"> </w:t>
      </w:r>
      <m:oMath>
        <m:r>
          <m:t>S</m:t>
        </m:r>
        <m:r>
          <m:rPr>
            <m:sty m:val="p"/>
          </m:rPr>
          <m:t>=</m:t>
        </m:r>
        <m:r>
          <m:t>Q</m:t>
        </m:r>
        <m:r>
          <m:t>D</m:t>
        </m:r>
        <m:sSup>
          <m:e>
            <m:r>
              <m:t>Q</m:t>
            </m:r>
          </m:e>
          <m:sup>
            <m:r>
              <m:t>T</m:t>
            </m:r>
          </m:sup>
        </m:sSup>
      </m:oMath>
      <w:r>
        <w:t xml:space="preserve">.</w:t>
      </w:r>
    </w:p>
    <w:bookmarkEnd w:id="23"/>
    <w:bookmarkStart w:id="24" w:name="X3e40909593c53d42b7644de8dd389bcf0069fca"/>
    <w:p>
      <w:pPr>
        <w:pStyle w:val="Heading2"/>
      </w:pPr>
      <w:r>
        <w:t xml:space="preserve">Exercise 3 - Powers through an eigenbasis</w:t>
      </w:r>
    </w:p>
    <w:p>
      <w:pPr>
        <w:pStyle w:val="FirstParagraph"/>
      </w:pPr>
      <w:r>
        <w:t xml:space="preserve">Using the same</w:t>
      </w:r>
      <w:r>
        <w:t xml:space="preserve"> </w:t>
      </w:r>
      <m:oMath>
        <m:r>
          <m:t>S</m:t>
        </m:r>
      </m:oMath>
      <w:r>
        <w:t xml:space="preserve">, derive a formula for</w:t>
      </w:r>
      <w:r>
        <w:t xml:space="preserve"> </w:t>
      </w:r>
      <m:oMath>
        <m:sSup>
          <m:e>
            <m:r>
              <m:t>S</m:t>
            </m:r>
          </m:e>
          <m:sup>
            <m:r>
              <m:t>k</m:t>
            </m:r>
          </m:sup>
        </m:sSup>
      </m:oMath>
      <w:r>
        <w:t xml:space="preserve"> </w:t>
      </w:r>
      <w:r>
        <w:t xml:space="preserve">for integers</w:t>
      </w:r>
      <w:r>
        <w:t xml:space="preserve"> </w:t>
      </w:r>
      <m:oMath>
        <m:r>
          <m:t>k</m:t>
        </m:r>
        <m:r>
          <m:rPr>
            <m:sty m:val="p"/>
          </m:rPr>
          <m:t>≥</m:t>
        </m:r>
        <m:r>
          <m:t>0</m:t>
        </m:r>
      </m:oMath>
      <w:r>
        <w:t xml:space="preserve">. Calculate</w:t>
      </w:r>
      <w:r>
        <w:t xml:space="preserve"> </w:t>
      </w:r>
      <m:oMath>
        <m:sSup>
          <m:e>
            <m:r>
              <m:t>S</m:t>
            </m:r>
          </m:e>
          <m:sup>
            <m:r>
              <m:t>10</m:t>
            </m:r>
          </m:sup>
        </m:sSup>
      </m:oMath>
      <w:r>
        <w:t xml:space="preserve"> </w:t>
      </w:r>
      <w:r>
        <w:t xml:space="preserve">and verify what the formula gives when</w:t>
      </w:r>
      <w:r>
        <w:t xml:space="preserve"> </w:t>
      </w:r>
      <m:oMath>
        <m:r>
          <m:t>k</m:t>
        </m:r>
        <m:r>
          <m:rPr>
            <m:sty m:val="p"/>
          </m:rPr>
          <m:t>=</m:t>
        </m:r>
        <m:r>
          <m:t>0</m:t>
        </m:r>
      </m:oMath>
      <w:r>
        <w:t xml:space="preserve">.</w:t>
      </w:r>
    </w:p>
    <w:bookmarkEnd w:id="24"/>
    <w:bookmarkStart w:id="25" w:name="exercise-4---a-defective-matrix"/>
    <w:p>
      <w:pPr>
        <w:pStyle w:val="Heading2"/>
      </w:pPr>
      <w:r>
        <w:t xml:space="preserve">Exercise 4 - A defective matrix</w:t>
      </w:r>
    </w:p>
    <w:p>
      <w:pPr>
        <w:pStyle w:val="FirstParagraph"/>
      </w:pPr>
      <w:r>
        <w:t xml:space="preserve">For</w:t>
      </w:r>
      <w:r>
        <w:t xml:space="preserve"> </w:t>
      </w:r>
      <m:oMath>
        <m:r>
          <m:t>J</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prove</w:t>
      </w:r>
      <w:r>
        <w:t xml:space="preserve"> </w:t>
      </w:r>
      <m:oMath>
        <m:sSup>
          <m:e>
            <m:r>
              <m:t>J</m:t>
            </m:r>
          </m:e>
          <m:sup>
            <m:r>
              <m:t>k</m:t>
            </m:r>
          </m:sup>
        </m:sSup>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k</m:t>
                  </m:r>
                </m:e>
              </m:mr>
              <m:mr>
                <m:e>
                  <m:r>
                    <m:t>0</m:t>
                  </m:r>
                </m:e>
                <m:e>
                  <m:r>
                    <m:t>1</m:t>
                  </m:r>
                </m:e>
              </m:mr>
            </m:m>
          </m:e>
        </m:d>
      </m:oMath>
      <w:r>
        <w:t xml:space="preserve"> </w:t>
      </w:r>
      <w:r>
        <w:t xml:space="preserve">for integers</w:t>
      </w:r>
      <w:r>
        <w:t xml:space="preserve"> </w:t>
      </w:r>
      <m:oMath>
        <m:r>
          <m:t>k</m:t>
        </m:r>
        <m:r>
          <m:rPr>
            <m:sty m:val="p"/>
          </m:rPr>
          <m:t>≥</m:t>
        </m:r>
        <m:r>
          <m:t>0</m:t>
        </m:r>
      </m:oMath>
      <w:r>
        <w:t xml:space="preserve">. Explain why the matrix cannot be diagonalized.</w:t>
      </w:r>
    </w:p>
    <w:bookmarkEnd w:id="25"/>
    <w:bookmarkEnd w:id="26"/>
    <w:bookmarkStart w:id="26" w:name="exercises-5-10"/>
    <w:p>
      <w:pPr>
        <w:pStyle w:val="Heading1"/>
      </w:pPr>
      <w:r>
        <w:t xml:space="preserve">Exercises 5-10</w:t>
      </w:r>
    </w:p>
    <w:bookmarkStart w:id="20" w:name="X93d093f00d2d714c8a8f7f642c2b05b5357ef7f"/>
    <w:p>
      <w:pPr>
        <w:pStyle w:val="Heading2"/>
      </w:pPr>
      <w:r>
        <w:t xml:space="preserve">Exercise 5 - A misleading convergence signal</w:t>
      </w:r>
    </w:p>
    <w:p>
      <w:pPr>
        <w:pStyle w:val="FirstParagraph"/>
      </w:pPr>
      <w:r>
        <w:t xml:space="preserve">Let</w:t>
      </w:r>
      <w:r>
        <w:t xml:space="preserve"> </w:t>
      </w:r>
      <m:oMath>
        <m:r>
          <m:t>A</m:t>
        </m:r>
        <m:r>
          <m:rPr>
            <m:sty m:val="p"/>
          </m:rPr>
          <m:t>=</m:t>
        </m:r>
        <m:r>
          <m:rPr>
            <m:sty m:val="p"/>
          </m:rPr>
          <m:t>diag</m:t>
        </m:r>
        <m:d>
          <m:dPr>
            <m:begChr m:val="("/>
            <m:endChr m:val=")"/>
            <m:sepChr m:val=""/>
            <m:grow/>
          </m:dPr>
          <m:e>
            <m:r>
              <m:t>1</m:t>
            </m:r>
            <m:r>
              <m:rPr>
                <m:sty m:val="p"/>
              </m:rPr>
              <m:t>,</m:t>
            </m:r>
            <m:r>
              <m:rPr>
                <m:sty m:val="p"/>
              </m:rPr>
              <m:t>−</m:t>
            </m:r>
            <m:r>
              <m:t>1</m:t>
            </m:r>
          </m:e>
        </m:d>
      </m:oMath>
      <w:r>
        <w:t xml:space="preserve"> </w:t>
      </w:r>
      <w:r>
        <w:t xml:space="preserve">and start normalized power iteration at</w:t>
      </w:r>
      <w:r>
        <w:t xml:space="preserve"> </w:t>
      </w:r>
      <m:oMath>
        <m:sSub>
          <m:e>
            <m:r>
              <m:t>x</m:t>
            </m:r>
          </m:e>
          <m:sub>
            <m:r>
              <m:t>0</m:t>
            </m:r>
          </m:sub>
        </m:sSub>
        <m:r>
          <m:rPr>
            <m:sty m:val="p"/>
          </m:rPr>
          <m:t>=</m:t>
        </m:r>
        <m:sSup>
          <m:e>
            <m:d>
              <m:dPr>
                <m:begChr m:val="("/>
                <m:endChr m:val=")"/>
                <m:sepChr m:val=""/>
                <m:grow/>
              </m:dPr>
              <m:e>
                <m:r>
                  <m:t>1</m:t>
                </m:r>
                <m:r>
                  <m:rPr>
                    <m:sty m:val="p"/>
                  </m:rPr>
                  <m:t>,</m:t>
                </m:r>
                <m:r>
                  <m:t>1</m:t>
                </m:r>
              </m:e>
            </m:d>
          </m:e>
          <m:sup>
            <m:r>
              <m:t>T</m:t>
            </m:r>
          </m:sup>
        </m:sSup>
        <m:r>
          <m:rPr>
            <m:sty m:val="p"/>
          </m:rPr>
          <m:t>/</m:t>
        </m:r>
        <m:rad>
          <m:radPr>
            <m:degHide m:val="on"/>
          </m:radPr>
          <m:deg/>
          <m:e>
            <m:r>
              <m:t>2</m:t>
            </m:r>
          </m:e>
        </m:rad>
      </m:oMath>
      <w:r>
        <w:t xml:space="preserve">. Calculate the iterates and their Rayleigh quotients. Explain why an unchanged quotient does not establish an eigenpair.</w:t>
      </w:r>
    </w:p>
    <w:bookmarkEnd w:id="20"/>
    <w:bookmarkStart w:id="21" w:name="exercise-6---a-hidden-unstable-mode"/>
    <w:p>
      <w:pPr>
        <w:pStyle w:val="Heading2"/>
      </w:pPr>
      <w:r>
        <w:t xml:space="preserve">Exercise 6 - A hidden unstable mode</w:t>
      </w:r>
    </w:p>
    <w:p>
      <w:pPr>
        <w:pStyle w:val="FirstParagraph"/>
      </w:pPr>
      <w:r>
        <w:t xml:space="preserve">For</w:t>
      </w:r>
      <w:r>
        <w:t xml:space="preserve"> </w:t>
      </w:r>
      <m:oMath>
        <m:r>
          <m:t>U</m:t>
        </m:r>
        <m:r>
          <m:rPr>
            <m:sty m:val="p"/>
          </m:rPr>
          <m:t>=</m:t>
        </m:r>
        <m:r>
          <m:rPr>
            <m:sty m:val="p"/>
          </m:rPr>
          <m:t>diag</m:t>
        </m:r>
        <m:d>
          <m:dPr>
            <m:begChr m:val="("/>
            <m:endChr m:val=")"/>
            <m:sepChr m:val=""/>
            <m:grow/>
          </m:dPr>
          <m:e>
            <m:r>
              <m:t>1.1</m:t>
            </m:r>
            <m:r>
              <m:rPr>
                <m:sty m:val="p"/>
              </m:rPr>
              <m:t>,</m:t>
            </m:r>
            <m:r>
              <m:t>0.9</m:t>
            </m:r>
          </m:e>
        </m:d>
      </m:oMath>
      <w:r>
        <w:t xml:space="preserve">, give a nonzero starting vector whose trajectory tends to zero. Contrast this with a starting vector that grows. What can one decaying trajectory establish about stability for all initial states?</w:t>
      </w:r>
    </w:p>
    <w:bookmarkEnd w:id="21"/>
    <w:bookmarkStart w:id="22" w:name="exercise-7---transient-amplification"/>
    <w:p>
      <w:pPr>
        <w:pStyle w:val="Heading2"/>
      </w:pPr>
      <w:r>
        <w:t xml:space="preserve">Exercise 7 - Transient amplification</w:t>
      </w:r>
    </w:p>
    <w:p>
      <w:pPr>
        <w:pStyle w:val="FirstParagraph"/>
      </w:pPr>
      <w:r>
        <w:t xml:space="preserve">For</w:t>
      </w:r>
      <w:r>
        <w:t xml:space="preserve"> </w:t>
      </w:r>
      <m:oMath>
        <m:r>
          <m:t>T</m:t>
        </m:r>
        <m:r>
          <m:rPr>
            <m:sty m:val="p"/>
          </m:rPr>
          <m:t>=</m:t>
        </m:r>
        <m:d>
          <m:dPr>
            <m:begChr m:val="("/>
            <m:endChr m:val=")"/>
            <m:sepChr m:val=""/>
            <m:grow/>
          </m:dPr>
          <m:e>
            <m:m>
              <m:mPr>
                <m:baseJc m:val="center"/>
                <m:plcHide m:val="on"/>
                <m:mcs>
                  <m:mc>
                    <m:mcPr>
                      <m:mcJc m:val="center"/>
                      <m:count m:val="1"/>
                    </m:mcPr>
                  </m:mc>
                  <m:mc>
                    <m:mcPr>
                      <m:mcJc m:val="center"/>
                      <m:count m:val="1"/>
                    </m:mcPr>
                  </m:mc>
                </m:mcs>
              </m:mPr>
              <m:mr>
                <m:e>
                  <m:r>
                    <m:t>0.8</m:t>
                  </m:r>
                </m:e>
                <m:e>
                  <m:r>
                    <m:t>4</m:t>
                  </m:r>
                </m:e>
              </m:mr>
              <m:mr>
                <m:e>
                  <m:r>
                    <m:t>0</m:t>
                  </m:r>
                </m:e>
                <m:e>
                  <m:r>
                    <m:t>0.8</m:t>
                  </m:r>
                </m:e>
              </m:mr>
            </m:m>
          </m:e>
        </m:d>
      </m:oMath>
      <w:r>
        <w:t xml:space="preserve">, calculate the spectral radius and derive</w:t>
      </w:r>
      <w:r>
        <w:t xml:space="preserve"> </w:t>
      </w:r>
      <m:oMath>
        <m:sSup>
          <m:e>
            <m:r>
              <m:t>T</m:t>
            </m:r>
          </m:e>
          <m:sup>
            <m:r>
              <m:t>k</m:t>
            </m:r>
          </m:sup>
        </m:sSup>
      </m:oMath>
      <w:r>
        <w:t xml:space="preserve">. With</w:t>
      </w:r>
      <w:r>
        <w:t xml:space="preserve"> </w:t>
      </w:r>
      <m:oMath>
        <m:sSub>
          <m:e>
            <m:r>
              <m:t>x</m:t>
            </m:r>
          </m:e>
          <m:sub>
            <m:r>
              <m:t>0</m:t>
            </m:r>
          </m:sub>
        </m:sSub>
        <m:r>
          <m:rPr>
            <m:sty m:val="p"/>
          </m:rPr>
          <m:t>=</m:t>
        </m:r>
        <m:sSup>
          <m:e>
            <m:d>
              <m:dPr>
                <m:begChr m:val="("/>
                <m:endChr m:val=")"/>
                <m:sepChr m:val=""/>
                <m:grow/>
              </m:dPr>
              <m:e>
                <m:r>
                  <m:t>0</m:t>
                </m:r>
                <m:r>
                  <m:rPr>
                    <m:sty m:val="p"/>
                  </m:rPr>
                  <m:t>,</m:t>
                </m:r>
                <m:r>
                  <m:t>1</m:t>
                </m:r>
              </m:e>
            </m:d>
          </m:e>
          <m:sup>
            <m:r>
              <m:t>T</m:t>
            </m:r>
          </m:sup>
        </m:sSup>
      </m:oMath>
      <w:r>
        <w:t xml:space="preserve">, show that the state can initially grow even though it eventually tends to zero.</w:t>
      </w:r>
    </w:p>
    <w:bookmarkEnd w:id="22"/>
    <w:bookmarkStart w:id="23" w:name="exercise-8---covariance-and-pca"/>
    <w:p>
      <w:pPr>
        <w:pStyle w:val="Heading2"/>
      </w:pPr>
      <w:r>
        <w:t xml:space="preserve">Exercise 8 - Covariance and PCA</w:t>
      </w:r>
    </w:p>
    <w:p>
      <w:pPr>
        <w:pStyle w:val="FirstParagraph"/>
      </w:pPr>
      <w:r>
        <w:t xml:space="preserve">The four observations, in rows, are</w:t>
      </w:r>
    </w:p>
    <w:p>
      <w:pPr>
        <w:pStyle w:val="BodyText"/>
      </w:pPr>
      <m:oMathPara>
        <m:oMathParaPr>
          <m:jc m:val="center"/>
        </m:oMathParaPr>
        <m:oMath>
          <m:r>
            <m:t>X</m:t>
          </m:r>
          <m:r>
            <m:rPr>
              <m:sty m:val="p"/>
            </m:rPr>
            <m:t>=</m:t>
          </m:r>
          <m:d>
            <m:dPr>
              <m:begChr m:val="("/>
              <m:endChr m:val=")"/>
              <m:sepChr m:val=""/>
              <m:grow/>
            </m:dPr>
            <m:e>
              <m:m>
                <m:mPr>
                  <m:baseJc m:val="center"/>
                  <m:plcHide m:val="on"/>
                  <m:mcs>
                    <m:mc>
                      <m:mcPr>
                        <m:mcJc m:val="center"/>
                        <m:count m:val="1"/>
                      </m:mcPr>
                    </m:mc>
                    <m:mc>
                      <m:mcPr>
                        <m:mcJc m:val="center"/>
                        <m:count m:val="1"/>
                      </m:mcPr>
                    </m:mc>
                  </m:mcs>
                </m:mPr>
                <m:mr>
                  <m:e>
                    <m:r>
                      <m:t>2</m:t>
                    </m:r>
                  </m:e>
                  <m:e>
                    <m:r>
                      <m:t>1</m:t>
                    </m:r>
                  </m:e>
                </m:mr>
                <m:mr>
                  <m:e>
                    <m:r>
                      <m:t>3</m:t>
                    </m:r>
                  </m:e>
                  <m:e>
                    <m:r>
                      <m:t>2</m:t>
                    </m:r>
                  </m:e>
                </m:mr>
                <m:mr>
                  <m:e>
                    <m:r>
                      <m:t>4</m:t>
                    </m:r>
                  </m:e>
                  <m:e>
                    <m:r>
                      <m:t>2.5</m:t>
                    </m:r>
                  </m:e>
                </m:mr>
                <m:mr>
                  <m:e>
                    <m:r>
                      <m:t>5</m:t>
                    </m:r>
                  </m:e>
                  <m:e>
                    <m:r>
                      <m:t>4</m:t>
                    </m:r>
                  </m:e>
                </m:mr>
              </m:m>
            </m:e>
          </m:d>
          <m:r>
            <m:rPr>
              <m:sty m:val="p"/>
            </m:rPr>
            <m:t>.</m:t>
          </m:r>
        </m:oMath>
      </m:oMathPara>
    </w:p>
    <w:p>
      <w:pPr>
        <w:pStyle w:val="FirstParagraph"/>
      </w:pPr>
      <w:r>
        <w:t xml:space="preserve">Center both columns, form the sample covariance matrix, compute its eigenvalues and explained-variance ratios, and explain the denominator</w:t>
      </w:r>
      <w:r>
        <w:t xml:space="preserve"> </w:t>
      </w:r>
      <m:oMath>
        <m:r>
          <m:t>n</m:t>
        </m:r>
        <m:r>
          <m:rPr>
            <m:sty m:val="p"/>
          </m:rPr>
          <m:t>−</m:t>
        </m:r>
        <m:r>
          <m:t>1</m:t>
        </m:r>
      </m:oMath>
      <w:r>
        <w:t xml:space="preserve">. Does a high first-component ratio prove predictive accuracy?</w:t>
      </w:r>
    </w:p>
    <w:bookmarkEnd w:id="23"/>
    <w:bookmarkStart w:id="24" w:name="Xf2027042fa0735ef67972155047dab5ca77cd82"/>
    <w:p>
      <w:pPr>
        <w:pStyle w:val="Heading2"/>
      </w:pPr>
      <w:r>
        <w:t xml:space="preserve">Exercise 9 - What the sector weights mean</w:t>
      </w:r>
    </w:p>
    <w:p>
      <w:pPr>
        <w:pStyle w:val="FirstParagraph"/>
      </w:pPr>
      <w:r>
        <w:t xml:space="preserve">Use</w:t>
      </w:r>
      <w:r>
        <w:t xml:space="preserve"> </w:t>
      </w:r>
      <m:oMath>
        <m:sSub>
          <m:e>
            <m:r>
              <m:t>x</m:t>
            </m:r>
          </m:e>
          <m:sub>
            <m:r>
              <m:t>t</m:t>
            </m:r>
            <m:r>
              <m:rPr>
                <m:sty m:val="p"/>
              </m:rPr>
              <m:t>+</m:t>
            </m:r>
            <m:r>
              <m:t>1</m:t>
            </m:r>
          </m:sub>
        </m:sSub>
        <m:r>
          <m:rPr>
            <m:sty m:val="p"/>
          </m:rPr>
          <m:t>=</m:t>
        </m:r>
        <m:r>
          <m:t>M</m:t>
        </m:r>
        <m:sSub>
          <m:e>
            <m:r>
              <m:t>x</m:t>
            </m:r>
          </m:e>
          <m:sub>
            <m:r>
              <m:t>t</m:t>
            </m:r>
          </m:sub>
        </m:sSub>
      </m:oMath>
      <w:r>
        <w:t xml:space="preserve">, with rows and columns ordered Agriculture, Health, Energy, Transport:</w:t>
      </w:r>
    </w:p>
    <w:p>
      <w:pPr>
        <w:pStyle w:val="BodyText"/>
      </w:pPr>
      <m:oMathPara>
        <m:oMathParaPr>
          <m:jc m:val="center"/>
        </m:oMathParaPr>
        <m:oMath>
          <m:r>
            <m:t>M</m:t>
          </m:r>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0.70</m:t>
                    </m:r>
                  </m:e>
                  <m:e>
                    <m:r>
                      <m:t>0.10</m:t>
                    </m:r>
                  </m:e>
                  <m:e>
                    <m:r>
                      <m:t>0.20</m:t>
                    </m:r>
                  </m:e>
                  <m:e>
                    <m:r>
                      <m:t>0.15</m:t>
                    </m:r>
                  </m:e>
                </m:mr>
                <m:mr>
                  <m:e>
                    <m:r>
                      <m:t>0.10</m:t>
                    </m:r>
                  </m:e>
                  <m:e>
                    <m:r>
                      <m:t>0.80</m:t>
                    </m:r>
                  </m:e>
                  <m:e>
                    <m:r>
                      <m:t>0.25</m:t>
                    </m:r>
                  </m:e>
                  <m:e>
                    <m:r>
                      <m:t>0.10</m:t>
                    </m:r>
                  </m:e>
                </m:mr>
                <m:mr>
                  <m:e>
                    <m:r>
                      <m:t>0.25</m:t>
                    </m:r>
                  </m:e>
                  <m:e>
                    <m:r>
                      <m:t>0.10</m:t>
                    </m:r>
                  </m:e>
                  <m:e>
                    <m:r>
                      <m:t>0.75</m:t>
                    </m:r>
                  </m:e>
                  <m:e>
                    <m:r>
                      <m:t>0.30</m:t>
                    </m:r>
                  </m:e>
                </m:mr>
                <m:mr>
                  <m:e>
                    <m:r>
                      <m:t>0.20</m:t>
                    </m:r>
                  </m:e>
                  <m:e>
                    <m:r>
                      <m:t>0.15</m:t>
                    </m:r>
                  </m:e>
                  <m:e>
                    <m:r>
                      <m:t>0.35</m:t>
                    </m:r>
                  </m:e>
                  <m:e>
                    <m:r>
                      <m:t>0.70</m:t>
                    </m:r>
                  </m:e>
                </m:mr>
              </m:m>
            </m:e>
          </m:d>
          <m:r>
            <m:rPr>
              <m:sty m:val="p"/>
            </m:rPr>
            <m:t>.</m:t>
          </m:r>
        </m:oMath>
      </m:oMathPara>
    </w:p>
    <w:p>
      <w:pPr>
        <w:pStyle w:val="FirstParagraph"/>
      </w:pPr>
      <w:r>
        <w:t xml:space="preserve">Interpret its dominant eigenvalue, approximately 1.31148205, and its positive eigenvector normalized to sum to one:</w:t>
      </w:r>
      <w:r>
        <w:t xml:space="preserve"> </w:t>
      </w:r>
      <m:oMath>
        <m:sSup>
          <m:e>
            <m:d>
              <m:dPr>
                <m:begChr m:val="("/>
                <m:endChr m:val=")"/>
                <m:sepChr m:val=""/>
                <m:grow/>
              </m:dPr>
              <m:e>
                <m:r>
                  <m:t>0.20024812</m:t>
                </m:r>
                <m:r>
                  <m:rPr>
                    <m:sty m:val="p"/>
                  </m:rPr>
                  <m:t>,</m:t>
                </m:r>
                <m:r>
                  <m:t>0.23284988</m:t>
                </m:r>
                <m:r>
                  <m:rPr>
                    <m:sty m:val="p"/>
                  </m:rPr>
                  <m:t>,</m:t>
                </m:r>
                <m:r>
                  <m:t>0.28255681</m:t>
                </m:r>
                <m:r>
                  <m:rPr>
                    <m:sty m:val="p"/>
                  </m:rPr>
                  <m:t>,</m:t>
                </m:r>
                <m:r>
                  <m:t>0.28434520</m:t>
                </m:r>
              </m:e>
            </m:d>
          </m:e>
          <m:sup>
            <m:r>
              <m:t>T</m:t>
            </m:r>
          </m:sup>
        </m:sSup>
      </m:oMath>
      <w:r>
        <w:t xml:space="preserve">. Check whether</w:t>
      </w:r>
      <w:r>
        <w:t xml:space="preserve"> </w:t>
      </w:r>
      <m:oMath>
        <m:r>
          <m:t>M</m:t>
        </m:r>
      </m:oMath>
      <w:r>
        <w:t xml:space="preserve"> </w:t>
      </w:r>
      <w:r>
        <w:t xml:space="preserve">is stochastic. Give three reasons these components cannot prescribe expenditure shares.</w:t>
      </w:r>
    </w:p>
    <w:bookmarkEnd w:id="24"/>
    <w:bookmarkStart w:id="25" w:name="exercise-10---accuracy-versus-dominance"/>
    <w:p>
      <w:pPr>
        <w:pStyle w:val="Heading2"/>
      </w:pPr>
      <w:r>
        <w:t xml:space="preserve">Exercise 10 - Accuracy versus dominance</w:t>
      </w:r>
    </w:p>
    <w:p>
      <w:pPr>
        <w:pStyle w:val="FirstParagraph"/>
      </w:pPr>
      <w:r>
        <w:t xml:space="preserve">For unit</w:t>
      </w:r>
      <w:r>
        <w:t xml:space="preserve"> </w:t>
      </w:r>
      <m:oMath>
        <m:r>
          <m:t>u</m:t>
        </m:r>
      </m:oMath>
      <w:r>
        <w:t xml:space="preserve">, consider</w:t>
      </w:r>
      <w:r>
        <w:t xml:space="preserve"> </w:t>
      </w:r>
      <m:oMath>
        <m:r>
          <m:t>r</m:t>
        </m:r>
        <m:r>
          <m:rPr>
            <m:sty m:val="p"/>
          </m:rPr>
          <m:t>=</m:t>
        </m:r>
        <m:r>
          <m:rPr>
            <m:sty m:val="p"/>
          </m:rPr>
          <m:t>∥</m:t>
        </m:r>
        <m:r>
          <m:t>A</m:t>
        </m:r>
        <m:r>
          <m:t>u</m:t>
        </m:r>
        <m:r>
          <m:rPr>
            <m:sty m:val="p"/>
          </m:rPr>
          <m:t>−</m:t>
        </m:r>
        <m:r>
          <m:t>λ</m:t>
        </m:r>
        <m:r>
          <m:t>u</m:t>
        </m:r>
        <m:sSub>
          <m:e>
            <m:r>
              <m:rPr>
                <m:sty m:val="p"/>
              </m:rPr>
              <m:t>∥</m:t>
            </m:r>
          </m:e>
          <m:sub>
            <m:r>
              <m:t>2</m:t>
            </m:r>
          </m:sub>
        </m:sSub>
        <m:r>
          <m:rPr>
            <m:sty m:val="p"/>
          </m:rPr>
          <m:t>/</m:t>
        </m:r>
        <m:d>
          <m:dPr>
            <m:begChr m:val="("/>
            <m:endChr m:val=")"/>
            <m:sepChr m:val=""/>
            <m:grow/>
          </m:dPr>
          <m:e>
            <m:r>
              <m:rPr>
                <m:sty m:val="p"/>
              </m:rPr>
              <m:t>∥</m:t>
            </m:r>
            <m:r>
              <m:t>A</m:t>
            </m:r>
            <m:sSub>
              <m:e>
                <m:r>
                  <m:rPr>
                    <m:sty m:val="p"/>
                  </m:rPr>
                  <m:t>∥</m:t>
                </m:r>
              </m:e>
              <m:sub>
                <m:r>
                  <m:t>2</m:t>
                </m:r>
              </m:sub>
            </m:sSub>
            <m:r>
              <m:rPr>
                <m:sty m:val="p"/>
              </m:rPr>
              <m:t>+</m:t>
            </m:r>
            <m:d>
              <m:dPr>
                <m:begChr m:val="|"/>
                <m:endChr m:val="|"/>
                <m:sepChr m:val=""/>
                <m:grow/>
              </m:dPr>
              <m:e>
                <m:r>
                  <m:t>λ</m:t>
                </m:r>
              </m:e>
            </m:d>
          </m:e>
        </m:d>
      </m:oMath>
      <w:r>
        <w:t xml:space="preserve">, using the numerator alone if the denominator is zero. Explain what a small residual establishes and what it does not. Give an exact nondominant eigenpair with zero residual.</w:t>
      </w:r>
    </w:p>
    <w:bookmarkEnd w:id="25"/>
    <w:bookmarkEnd w:id="26"/>
    <w:bookmarkStart w:id="22" w:name="worked-solutions-1-2"/>
    <w:p>
      <w:pPr>
        <w:pStyle w:val="Heading1"/>
      </w:pPr>
      <w:r>
        <w:t xml:space="preserve">Worked solutions 1-2</w:t>
      </w:r>
    </w:p>
    <w:bookmarkStart w:id="20" w:name="solution-1---verify-then-interpret"/>
    <w:p>
      <w:pPr>
        <w:pStyle w:val="Heading2"/>
      </w:pPr>
      <w:r>
        <w:t xml:space="preserve">Solution 1 - Verify, then interpret</w:t>
      </w:r>
    </w:p>
    <w:p>
      <w:pPr>
        <w:pStyle w:val="FirstParagraph"/>
      </w:pPr>
      <w:r>
        <w:t xml:space="preserve">For</w:t>
      </w:r>
      <w:r>
        <w:t xml:space="preserve"> </w:t>
      </w:r>
      <m:oMath>
        <m:sSub>
          <m:e>
            <m:r>
              <m:t>e</m:t>
            </m:r>
          </m:e>
          <m:sub>
            <m:r>
              <m:t>1</m:t>
            </m:r>
          </m:sub>
        </m:sSub>
        <m:r>
          <m:rPr>
            <m:sty m:val="p"/>
          </m:rPr>
          <m:t>=</m:t>
        </m:r>
        <m:sSup>
          <m:e>
            <m:d>
              <m:dPr>
                <m:begChr m:val="("/>
                <m:endChr m:val=")"/>
                <m:sepChr m:val=""/>
                <m:grow/>
              </m:dPr>
              <m:e>
                <m:r>
                  <m:t>1</m:t>
                </m:r>
                <m:r>
                  <m:rPr>
                    <m:sty m:val="p"/>
                  </m:rPr>
                  <m:t>,</m:t>
                </m:r>
                <m:r>
                  <m:t>0</m:t>
                </m:r>
              </m:e>
            </m:d>
          </m:e>
          <m:sup>
            <m:r>
              <m:t>T</m:t>
            </m:r>
          </m:sup>
        </m:sSup>
      </m:oMath>
      <w:r>
        <w:t xml:space="preserve">, direct multiplication gives</w:t>
      </w:r>
      <w:r>
        <w:t xml:space="preserve"> </w:t>
      </w:r>
      <m:oMath>
        <m:r>
          <m:t>A</m:t>
        </m:r>
        <m:sSub>
          <m:e>
            <m:r>
              <m:t>e</m:t>
            </m:r>
          </m:e>
          <m:sub>
            <m:r>
              <m:t>1</m:t>
            </m:r>
          </m:sub>
        </m:sSub>
        <m:r>
          <m:rPr>
            <m:sty m:val="p"/>
          </m:rPr>
          <m:t>=</m:t>
        </m:r>
        <m:sSup>
          <m:e>
            <m:d>
              <m:dPr>
                <m:begChr m:val="("/>
                <m:endChr m:val=")"/>
                <m:sepChr m:val=""/>
                <m:grow/>
              </m:dPr>
              <m:e>
                <m:r>
                  <m:rPr>
                    <m:sty m:val="p"/>
                  </m:rPr>
                  <m:t>−</m:t>
                </m:r>
                <m:r>
                  <m:t>2</m:t>
                </m:r>
                <m:r>
                  <m:rPr>
                    <m:sty m:val="p"/>
                  </m:rPr>
                  <m:t>,</m:t>
                </m:r>
                <m:r>
                  <m:t>0</m:t>
                </m:r>
              </m:e>
            </m:d>
          </m:e>
          <m:sup>
            <m:r>
              <m:t>T</m:t>
            </m:r>
          </m:sup>
        </m:sSup>
        <m:r>
          <m:rPr>
            <m:sty m:val="p"/>
          </m:rPr>
          <m:t>=</m:t>
        </m:r>
        <m:r>
          <m:rPr>
            <m:sty m:val="p"/>
          </m:rPr>
          <m:t>−</m:t>
        </m:r>
        <m:r>
          <m:t>2</m:t>
        </m:r>
        <m:sSub>
          <m:e>
            <m:r>
              <m:t>e</m:t>
            </m:r>
          </m:e>
          <m:sub>
            <m:r>
              <m:t>1</m:t>
            </m:r>
          </m:sub>
        </m:sSub>
      </m:oMath>
      <w:r>
        <w:t xml:space="preserve">. Therefore</w:t>
      </w:r>
      <w:r>
        <w:t xml:space="preserve"> </w:t>
      </w:r>
      <m:oMath>
        <m:d>
          <m:dPr>
            <m:begChr m:val="("/>
            <m:endChr m:val=")"/>
            <m:sepChr m:val=""/>
            <m:grow/>
          </m:dPr>
          <m:e>
            <m:r>
              <m:rPr>
                <m:sty m:val="p"/>
              </m:rPr>
              <m:t>−</m:t>
            </m:r>
            <m:r>
              <m:t>2</m:t>
            </m:r>
            <m:r>
              <m:rPr>
                <m:sty m:val="p"/>
              </m:rPr>
              <m:t>,</m:t>
            </m:r>
            <m:sSub>
              <m:e>
                <m:r>
                  <m:t>e</m:t>
                </m:r>
              </m:e>
              <m:sub>
                <m:r>
                  <m:t>1</m:t>
                </m:r>
              </m:sub>
            </m:sSub>
          </m:e>
        </m:d>
      </m:oMath>
      <w:r>
        <w:t xml:space="preserve"> </w:t>
      </w:r>
      <w:r>
        <w:t xml:space="preserve">is an eigenpair. The direction is reversed and the length is multiplied by two.</w:t>
      </w:r>
    </w:p>
    <w:p>
      <w:pPr>
        <w:pStyle w:val="BodyText"/>
      </w:pPr>
      <w:r>
        <w:t xml:space="preserve">For</w:t>
      </w:r>
      <w:r>
        <w:t xml:space="preserve"> </w:t>
      </w:r>
      <m:oMath>
        <m:sSub>
          <m:e>
            <m:r>
              <m:t>e</m:t>
            </m:r>
          </m:e>
          <m:sub>
            <m:r>
              <m:t>2</m:t>
            </m:r>
          </m:sub>
        </m:sSub>
        <m:r>
          <m:rPr>
            <m:sty m:val="p"/>
          </m:rPr>
          <m:t>=</m:t>
        </m:r>
        <m:sSup>
          <m:e>
            <m:d>
              <m:dPr>
                <m:begChr m:val="("/>
                <m:endChr m:val=")"/>
                <m:sepChr m:val=""/>
                <m:grow/>
              </m:dPr>
              <m:e>
                <m:r>
                  <m:t>0</m:t>
                </m:r>
                <m:r>
                  <m:rPr>
                    <m:sty m:val="p"/>
                  </m:rPr>
                  <m:t>,</m:t>
                </m:r>
                <m:r>
                  <m:t>1</m:t>
                </m:r>
              </m:e>
            </m:d>
          </m:e>
          <m:sup>
            <m:r>
              <m:t>T</m:t>
            </m:r>
          </m:sup>
        </m:sSup>
      </m:oMath>
      <w:r>
        <w:t xml:space="preserve">,</w:t>
      </w:r>
      <w:r>
        <w:t xml:space="preserve"> </w:t>
      </w:r>
      <m:oMath>
        <m:r>
          <m:t>A</m:t>
        </m:r>
        <m:sSub>
          <m:e>
            <m:r>
              <m:t>e</m:t>
            </m:r>
          </m:e>
          <m:sub>
            <m:r>
              <m:t>2</m:t>
            </m:r>
          </m:sub>
        </m:sSub>
        <m:r>
          <m:rPr>
            <m:sty m:val="p"/>
          </m:rPr>
          <m:t>=</m:t>
        </m:r>
        <m:sSup>
          <m:e>
            <m:d>
              <m:dPr>
                <m:begChr m:val="("/>
                <m:endChr m:val=")"/>
                <m:sepChr m:val=""/>
                <m:grow/>
              </m:dPr>
              <m:e>
                <m:r>
                  <m:t>0</m:t>
                </m:r>
                <m:r>
                  <m:rPr>
                    <m:sty m:val="p"/>
                  </m:rPr>
                  <m:t>,</m:t>
                </m:r>
                <m:r>
                  <m:t>0</m:t>
                </m:r>
              </m:e>
            </m:d>
          </m:e>
          <m:sup>
            <m:r>
              <m:t>T</m:t>
            </m:r>
          </m:sup>
        </m:sSup>
        <m:r>
          <m:rPr>
            <m:sty m:val="p"/>
          </m:rPr>
          <m:t>=</m:t>
        </m:r>
        <m:r>
          <m:t>0</m:t>
        </m:r>
        <m:sSub>
          <m:e>
            <m:r>
              <m:t>e</m:t>
            </m:r>
          </m:e>
          <m:sub>
            <m:r>
              <m:t>2</m:t>
            </m:r>
          </m:sub>
        </m:sSub>
      </m:oMath>
      <w:r>
        <w:t xml:space="preserve">. Thus</w:t>
      </w:r>
      <w:r>
        <w:t xml:space="preserve"> </w:t>
      </w:r>
      <m:oMath>
        <m:d>
          <m:dPr>
            <m:begChr m:val="("/>
            <m:endChr m:val=")"/>
            <m:sepChr m:val=""/>
            <m:grow/>
          </m:dPr>
          <m:e>
            <m:r>
              <m:t>0</m:t>
            </m:r>
            <m:r>
              <m:rPr>
                <m:sty m:val="p"/>
              </m:rPr>
              <m:t>,</m:t>
            </m:r>
            <m:sSub>
              <m:e>
                <m:r>
                  <m:t>e</m:t>
                </m:r>
              </m:e>
              <m:sub>
                <m:r>
                  <m:t>2</m:t>
                </m:r>
              </m:sub>
            </m:sSub>
          </m:e>
        </m:d>
      </m:oMath>
      <w:r>
        <w:t xml:space="preserve"> </w:t>
      </w:r>
      <w:r>
        <w:t xml:space="preserve">is an eigenpair. A zero eigenvalue is permitted: the nonzero eigenvector is mapped to zero. It is the eigenvector, not the eigenvalue, that must be nonzero.</w:t>
      </w:r>
    </w:p>
    <w:p>
      <w:pPr>
        <w:pStyle w:val="BodyText"/>
      </w:pPr>
      <w:r>
        <w:t xml:space="preserve">If</w:t>
      </w:r>
      <w:r>
        <w:t xml:space="preserve"> </w:t>
      </w:r>
      <m:oMath>
        <m:r>
          <m:t>v</m:t>
        </m:r>
        <m:r>
          <m:rPr>
            <m:sty m:val="p"/>
          </m:rPr>
          <m:t>=</m:t>
        </m:r>
        <m:r>
          <m:t>0</m:t>
        </m:r>
      </m:oMath>
      <w:r>
        <w:t xml:space="preserve"> </w:t>
      </w:r>
      <w:r>
        <w:t xml:space="preserve">were allowed,</w:t>
      </w:r>
      <w:r>
        <w:t xml:space="preserve"> </w:t>
      </w:r>
      <m:oMath>
        <m:r>
          <m:t>A</m:t>
        </m:r>
        <m:r>
          <m:t>v</m:t>
        </m:r>
        <m:r>
          <m:rPr>
            <m:sty m:val="p"/>
          </m:rPr>
          <m:t>=</m:t>
        </m:r>
        <m:r>
          <m:t>λ</m:t>
        </m:r>
        <m:r>
          <m:t>v</m:t>
        </m:r>
      </m:oMath>
      <w:r>
        <w:t xml:space="preserve"> </w:t>
      </w:r>
      <w:r>
        <w:t xml:space="preserve">would hold for every scalar</w:t>
      </w:r>
      <w:r>
        <w:t xml:space="preserve"> </w:t>
      </w:r>
      <m:oMath>
        <m:r>
          <m:t>λ</m:t>
        </m:r>
      </m:oMath>
      <w:r>
        <w:t xml:space="preserve">. It would identify no direction and make the eigenvalue condition uninformative. Any nonzero multiple of an eigenvector remains an eigenvector for the same eigenvalue.</w:t>
      </w:r>
    </w:p>
    <w:p>
      <w:pPr>
        <w:pStyle w:val="BodyText"/>
      </w:pPr>
      <w:r>
        <w:rPr>
          <w:bCs/>
          <w:b/>
        </w:rPr>
        <w:t xml:space="preserve">Check:</w:t>
      </w:r>
      <w:r>
        <w:t xml:space="preserve"> </w:t>
      </w:r>
      <w:r>
        <w:t xml:space="preserve">the two coordinate vectors are independent and span the plane. Do not mistake the zero output of</w:t>
      </w:r>
      <w:r>
        <w:t xml:space="preserve"> </w:t>
      </w:r>
      <m:oMath>
        <m:r>
          <m:t>A</m:t>
        </m:r>
        <m:sSub>
          <m:e>
            <m:r>
              <m:t>e</m:t>
            </m:r>
          </m:e>
          <m:sub>
            <m:r>
              <m:t>2</m:t>
            </m:r>
          </m:sub>
        </m:sSub>
      </m:oMath>
      <w:r>
        <w:t xml:space="preserve"> </w:t>
      </w:r>
      <w:r>
        <w:t xml:space="preserve">for an invalid eigenvector input.</w:t>
      </w:r>
    </w:p>
    <w:bookmarkEnd w:id="20"/>
    <w:bookmarkStart w:id="21" w:name="solution-2---derive-the-decomposition"/>
    <w:p>
      <w:pPr>
        <w:pStyle w:val="Heading2"/>
      </w:pPr>
      <w:r>
        <w:t xml:space="preserve">Solution 2 - Derive the decomposition</w:t>
      </w:r>
    </w:p>
    <w:p>
      <w:pPr>
        <w:pStyle w:val="FirstParagraph"/>
      </w:pPr>
      <w:r>
        <w:t xml:space="preserve">First expand the determinant:</w:t>
      </w:r>
    </w:p>
    <w:p>
      <w:pPr>
        <w:pStyle w:val="BodyText"/>
      </w:pPr>
      <m:oMathPara>
        <m:oMathParaPr>
          <m:jc m:val="center"/>
        </m:oMathParaPr>
        <m:oMath>
          <m:r>
            <m:rPr>
              <m:sty m:val="p"/>
            </m:rPr>
            <m:t>det</m:t>
          </m:r>
          <m:d>
            <m:dPr>
              <m:begChr m:val="("/>
              <m:endChr m:val=")"/>
              <m:sepChr m:val=""/>
              <m:grow/>
            </m:dPr>
            <m:e>
              <m:r>
                <m:t>S</m:t>
              </m:r>
              <m:r>
                <m:rPr>
                  <m:sty m:val="p"/>
                </m:rPr>
                <m:t>−</m:t>
              </m:r>
              <m:r>
                <m:t>λ</m:t>
              </m:r>
              <m:r>
                <m:t>I</m:t>
              </m:r>
            </m:e>
          </m:d>
          <m:r>
            <m:rPr>
              <m:sty m:val="p"/>
            </m:rPr>
            <m:t>=</m:t>
          </m:r>
          <m:sSup>
            <m:e>
              <m:d>
                <m:dPr>
                  <m:begChr m:val="("/>
                  <m:endChr m:val=")"/>
                  <m:sepChr m:val=""/>
                  <m:grow/>
                </m:dPr>
                <m:e>
                  <m:r>
                    <m:t>2</m:t>
                  </m:r>
                  <m:r>
                    <m:rPr>
                      <m:sty m:val="p"/>
                    </m:rPr>
                    <m:t>−</m:t>
                  </m:r>
                  <m:r>
                    <m:t>λ</m:t>
                  </m:r>
                </m:e>
              </m:d>
            </m:e>
            <m:sup>
              <m:r>
                <m:t>2</m:t>
              </m:r>
            </m:sup>
          </m:sSup>
          <m:r>
            <m:rPr>
              <m:sty m:val="p"/>
            </m:rPr>
            <m:t>−</m:t>
          </m:r>
          <m:r>
            <m:t>1</m:t>
          </m:r>
          <m:r>
            <m:rPr>
              <m:sty m:val="p"/>
            </m:rPr>
            <m:t>=</m:t>
          </m:r>
          <m:sSup>
            <m:e>
              <m:r>
                <m:t>λ</m:t>
              </m:r>
            </m:e>
            <m:sup>
              <m:r>
                <m:t>2</m:t>
              </m:r>
            </m:sup>
          </m:sSup>
          <m:r>
            <m:rPr>
              <m:sty m:val="p"/>
            </m:rPr>
            <m:t>−</m:t>
          </m:r>
          <m:r>
            <m:t>4</m:t>
          </m:r>
          <m:r>
            <m:t>λ</m:t>
          </m:r>
          <m:r>
            <m:rPr>
              <m:sty m:val="p"/>
            </m:rPr>
            <m:t>+</m:t>
          </m:r>
          <m:r>
            <m:t>3</m:t>
          </m:r>
          <m:r>
            <m:rPr>
              <m:sty m:val="p"/>
            </m:rPr>
            <m:t>=</m:t>
          </m:r>
          <m:d>
            <m:dPr>
              <m:begChr m:val="("/>
              <m:endChr m:val=")"/>
              <m:sepChr m:val=""/>
              <m:grow/>
            </m:dPr>
            <m:e>
              <m:r>
                <m:t>λ</m:t>
              </m:r>
              <m:r>
                <m:rPr>
                  <m:sty m:val="p"/>
                </m:rPr>
                <m:t>−</m:t>
              </m:r>
              <m:r>
                <m:t>3</m:t>
              </m:r>
            </m:e>
          </m:d>
          <m:d>
            <m:dPr>
              <m:begChr m:val="("/>
              <m:endChr m:val=")"/>
              <m:sepChr m:val=""/>
              <m:grow/>
            </m:dPr>
            <m:e>
              <m:r>
                <m:t>λ</m:t>
              </m:r>
              <m:r>
                <m:rPr>
                  <m:sty m:val="p"/>
                </m:rPr>
                <m:t>−</m:t>
              </m:r>
              <m:r>
                <m:t>1</m:t>
              </m:r>
            </m:e>
          </m:d>
          <m:r>
            <m:rPr>
              <m:sty m:val="p"/>
            </m:rPr>
            <m:t>.</m:t>
          </m:r>
        </m:oMath>
      </m:oMathPara>
    </w:p>
    <w:p>
      <w:pPr>
        <w:pStyle w:val="FirstParagraph"/>
      </w:pPr>
      <w:r>
        <w:t xml:space="preserve">The roots are 3 and 1. At</w:t>
      </w:r>
      <w:r>
        <w:t xml:space="preserve"> </w:t>
      </w:r>
      <m:oMath>
        <m:r>
          <m:t>λ</m:t>
        </m:r>
        <m:r>
          <m:rPr>
            <m:sty m:val="p"/>
          </m:rPr>
          <m:t>=</m:t>
        </m:r>
        <m:r>
          <m:t>3</m:t>
        </m:r>
      </m:oMath>
      <w:r>
        <w:t xml:space="preserve">,</w:t>
      </w:r>
      <w:r>
        <w:t xml:space="preserve"> </w:t>
      </w:r>
      <m:oMath>
        <m:d>
          <m:dPr>
            <m:begChr m:val="("/>
            <m:endChr m:val=")"/>
            <m:sepChr m:val=""/>
            <m:grow/>
          </m:dPr>
          <m:e>
            <m:r>
              <m:t>S</m:t>
            </m:r>
            <m:r>
              <m:rPr>
                <m:sty m:val="p"/>
              </m:rPr>
              <m:t>−</m:t>
            </m:r>
            <m:r>
              <m:t>3</m:t>
            </m:r>
            <m:r>
              <m:t>I</m:t>
            </m:r>
          </m:e>
        </m:d>
        <m:r>
          <m:t>v</m:t>
        </m:r>
        <m:r>
          <m:rPr>
            <m:sty m:val="p"/>
          </m:rPr>
          <m:t>=</m:t>
        </m:r>
        <m:r>
          <m:t>0</m:t>
        </m:r>
      </m:oMath>
      <w:r>
        <w:t xml:space="preserve"> </w:t>
      </w:r>
      <w:r>
        <w:t xml:space="preserve">gives</w:t>
      </w:r>
      <w:r>
        <w:t xml:space="preserve"> </w:t>
      </w:r>
      <m:oMath>
        <m:sSub>
          <m:e>
            <m:r>
              <m:t>v</m:t>
            </m:r>
          </m:e>
          <m:sub>
            <m:r>
              <m:t>2</m:t>
            </m:r>
          </m:sub>
        </m:sSub>
        <m:r>
          <m:rPr>
            <m:sty m:val="p"/>
          </m:rPr>
          <m:t>=</m:t>
        </m:r>
        <m:sSub>
          <m:e>
            <m:r>
              <m:t>v</m:t>
            </m:r>
          </m:e>
          <m:sub>
            <m:r>
              <m:t>1</m:t>
            </m:r>
          </m:sub>
        </m:sSub>
      </m:oMath>
      <w:r>
        <w:t xml:space="preserve">, so choose</w:t>
      </w:r>
      <w:r>
        <w:t xml:space="preserve"> </w:t>
      </w:r>
      <m:oMath>
        <m:sSup>
          <m:e>
            <m:d>
              <m:dPr>
                <m:begChr m:val="("/>
                <m:endChr m:val=")"/>
                <m:sepChr m:val=""/>
                <m:grow/>
              </m:dPr>
              <m:e>
                <m:r>
                  <m:t>1</m:t>
                </m:r>
                <m:r>
                  <m:rPr>
                    <m:sty m:val="p"/>
                  </m:rPr>
                  <m:t>,</m:t>
                </m:r>
                <m:r>
                  <m:t>1</m:t>
                </m:r>
              </m:e>
            </m:d>
          </m:e>
          <m:sup>
            <m:r>
              <m:t>T</m:t>
            </m:r>
          </m:sup>
        </m:sSup>
      </m:oMath>
      <w:r>
        <w:t xml:space="preserve">. At</w:t>
      </w:r>
      <w:r>
        <w:t xml:space="preserve"> </w:t>
      </w:r>
      <m:oMath>
        <m:r>
          <m:t>λ</m:t>
        </m:r>
        <m:r>
          <m:rPr>
            <m:sty m:val="p"/>
          </m:rPr>
          <m:t>=</m:t>
        </m:r>
        <m:r>
          <m:t>1</m:t>
        </m:r>
      </m:oMath>
      <w:r>
        <w:t xml:space="preserve">,</w:t>
      </w:r>
      <w:r>
        <w:t xml:space="preserve"> </w:t>
      </w:r>
      <m:oMath>
        <m:d>
          <m:dPr>
            <m:begChr m:val="("/>
            <m:endChr m:val=")"/>
            <m:sepChr m:val=""/>
            <m:grow/>
          </m:dPr>
          <m:e>
            <m:r>
              <m:t>S</m:t>
            </m:r>
            <m:r>
              <m:rPr>
                <m:sty m:val="p"/>
              </m:rPr>
              <m:t>−</m:t>
            </m:r>
            <m:r>
              <m:t>I</m:t>
            </m:r>
          </m:e>
        </m:d>
        <m:r>
          <m:t>v</m:t>
        </m:r>
        <m:r>
          <m:rPr>
            <m:sty m:val="p"/>
          </m:rPr>
          <m:t>=</m:t>
        </m:r>
        <m:r>
          <m:t>0</m:t>
        </m:r>
      </m:oMath>
      <w:r>
        <w:t xml:space="preserve"> </w:t>
      </w:r>
      <w:r>
        <w:t xml:space="preserve">gives</w:t>
      </w:r>
      <w:r>
        <w:t xml:space="preserve"> </w:t>
      </w:r>
      <m:oMath>
        <m:sSub>
          <m:e>
            <m:r>
              <m:t>v</m:t>
            </m:r>
          </m:e>
          <m:sub>
            <m:r>
              <m:t>2</m:t>
            </m:r>
          </m:sub>
        </m:sSub>
        <m:r>
          <m:rPr>
            <m:sty m:val="p"/>
          </m:rPr>
          <m:t>=</m:t>
        </m:r>
        <m:r>
          <m:rPr>
            <m:sty m:val="p"/>
          </m:rPr>
          <m:t>−</m:t>
        </m:r>
        <m:sSub>
          <m:e>
            <m:r>
              <m:t>v</m:t>
            </m:r>
          </m:e>
          <m:sub>
            <m:r>
              <m:t>1</m:t>
            </m:r>
          </m:sub>
        </m:sSub>
      </m:oMath>
      <w:r>
        <w:t xml:space="preserve">, so choose</w:t>
      </w:r>
      <w:r>
        <w:t xml:space="preserve"> </w:t>
      </w:r>
      <m:oMath>
        <m:sSup>
          <m:e>
            <m:d>
              <m:dPr>
                <m:begChr m:val="("/>
                <m:endChr m:val=")"/>
                <m:sepChr m:val=""/>
                <m:grow/>
              </m:dPr>
              <m:e>
                <m:r>
                  <m:t>1</m:t>
                </m:r>
                <m:r>
                  <m:rPr>
                    <m:sty m:val="p"/>
                  </m:rPr>
                  <m:t>,</m:t>
                </m:r>
                <m:r>
                  <m:rPr>
                    <m:sty m:val="p"/>
                  </m:rPr>
                  <m:t>−</m:t>
                </m:r>
                <m:r>
                  <m:t>1</m:t>
                </m:r>
              </m:e>
            </m:d>
          </m:e>
          <m:sup>
            <m:r>
              <m:t>T</m:t>
            </m:r>
          </m:sup>
        </m:sSup>
      </m:oMath>
      <w:r>
        <w:t xml:space="preserve">.</w:t>
      </w:r>
    </w:p>
    <w:p>
      <w:pPr>
        <w:pStyle w:val="BodyText"/>
      </w:pPr>
      <w:r>
        <w:t xml:space="preserve">Each has length</w:t>
      </w:r>
      <w:r>
        <w:t xml:space="preserve"> </w:t>
      </w:r>
      <m:oMath>
        <m:rad>
          <m:radPr>
            <m:degHide m:val="on"/>
          </m:radPr>
          <m:deg/>
          <m:e>
            <m:r>
              <m:t>2</m:t>
            </m:r>
          </m:e>
        </m:rad>
      </m:oMath>
      <w:r>
        <w:t xml:space="preserve">. Dividing by that length gives</w:t>
      </w:r>
    </w:p>
    <w:p>
      <w:pPr>
        <w:pStyle w:val="BodyText"/>
      </w:pPr>
      <m:oMathPara>
        <m:oMathParaPr>
          <m:jc m:val="center"/>
        </m:oMathParaPr>
        <m:oMath>
          <m:sSub>
            <m:e>
              <m:r>
                <m:t>q</m:t>
              </m:r>
            </m:e>
            <m:sub>
              <m:r>
                <m:t>1</m:t>
              </m:r>
            </m:sub>
          </m:sSub>
          <m:r>
            <m:rPr>
              <m:sty m:val="p"/>
            </m:rPr>
            <m:t>=</m:t>
          </m:r>
          <m:f>
            <m:fPr>
              <m:type m:val="bar"/>
            </m:fPr>
            <m:num>
              <m:r>
                <m:t>1</m:t>
              </m:r>
            </m:num>
            <m:den>
              <m:rad>
                <m:radPr>
                  <m:degHide m:val="on"/>
                </m:radPr>
                <m:deg/>
                <m:e>
                  <m:r>
                    <m:t>2</m:t>
                  </m:r>
                </m:e>
              </m:rad>
            </m:den>
          </m:f>
          <m:d>
            <m:dPr>
              <m:begChr m:val="("/>
              <m:endChr m:val=")"/>
              <m:sepChr m:val=""/>
              <m:grow/>
            </m:dPr>
            <m:e>
              <m:m>
                <m:mPr>
                  <m:baseJc m:val="center"/>
                  <m:plcHide m:val="on"/>
                  <m:mcs>
                    <m:mc>
                      <m:mcPr>
                        <m:mcJc m:val="center"/>
                        <m:count m:val="1"/>
                      </m:mcPr>
                    </m:mc>
                  </m:mcs>
                </m:mPr>
                <m:mr>
                  <m:e>
                    <m:r>
                      <m:t>1</m:t>
                    </m:r>
                  </m:e>
                </m:mr>
                <m:mr>
                  <m:e>
                    <m:r>
                      <m:t>1</m:t>
                    </m:r>
                  </m:e>
                </m:mr>
              </m:m>
            </m:e>
          </m:d>
          <m:r>
            <m:rPr>
              <m:sty m:val="p"/>
            </m:rPr>
            <m:t>,</m:t>
          </m:r>
          <m:r>
            <m:t> </m:t>
          </m:r>
          <m:sSub>
            <m:e>
              <m:r>
                <m:t>q</m:t>
              </m:r>
            </m:e>
            <m:sub>
              <m:r>
                <m:t>2</m:t>
              </m:r>
            </m:sub>
          </m:sSub>
          <m:r>
            <m:rPr>
              <m:sty m:val="p"/>
            </m:rPr>
            <m:t>=</m:t>
          </m:r>
          <m:f>
            <m:fPr>
              <m:type m:val="bar"/>
            </m:fPr>
            <m:num>
              <m:r>
                <m:t>1</m:t>
              </m:r>
            </m:num>
            <m:den>
              <m:rad>
                <m:radPr>
                  <m:degHide m:val="on"/>
                </m:radPr>
                <m:deg/>
                <m:e>
                  <m:r>
                    <m:t>2</m:t>
                  </m:r>
                </m:e>
              </m:rad>
            </m:den>
          </m:f>
          <m:d>
            <m:dPr>
              <m:begChr m:val="("/>
              <m:endChr m:val=")"/>
              <m:sepChr m:val=""/>
              <m:grow/>
            </m:dPr>
            <m:e>
              <m:m>
                <m:mPr>
                  <m:baseJc m:val="center"/>
                  <m:plcHide m:val="on"/>
                  <m:mcs>
                    <m:mc>
                      <m:mcPr>
                        <m:mcJc m:val="center"/>
                        <m:count m:val="1"/>
                      </m:mcPr>
                    </m:mc>
                  </m:mcs>
                </m:mPr>
                <m:mr>
                  <m:e>
                    <m:r>
                      <m:t>1</m:t>
                    </m:r>
                  </m:e>
                </m:mr>
                <m:mr>
                  <m:e>
                    <m:r>
                      <m:rPr>
                        <m:sty m:val="p"/>
                      </m:rPr>
                      <m:t>−</m:t>
                    </m:r>
                    <m:r>
                      <m:t>1</m:t>
                    </m:r>
                  </m:e>
                </m:mr>
              </m:m>
            </m:e>
          </m:d>
          <m:r>
            <m:rPr>
              <m:sty m:val="p"/>
            </m:rPr>
            <m:t>,</m:t>
          </m:r>
          <m:r>
            <m:t> </m:t>
          </m:r>
          <m:r>
            <m:t>Q</m:t>
          </m:r>
          <m:r>
            <m:rPr>
              <m:sty m:val="p"/>
            </m:rPr>
            <m:t>=</m:t>
          </m:r>
          <m:d>
            <m:dPr>
              <m:begChr m:val="("/>
              <m:endChr m:val=")"/>
              <m:sepChr m:val=""/>
              <m:grow/>
            </m:dPr>
            <m:e>
              <m:sSub>
                <m:e>
                  <m:r>
                    <m:t>q</m:t>
                  </m:r>
                </m:e>
                <m:sub>
                  <m:r>
                    <m:t>1</m:t>
                  </m:r>
                </m:sub>
              </m:sSub>
              <m:r>
                <m:t> </m:t>
              </m:r>
              <m:sSub>
                <m:e>
                  <m:r>
                    <m:t>q</m:t>
                  </m:r>
                </m:e>
                <m:sub>
                  <m:r>
                    <m:t>2</m:t>
                  </m:r>
                </m:sub>
              </m:sSub>
            </m:e>
          </m:d>
          <m:r>
            <m:rPr>
              <m:sty m:val="p"/>
            </m:rPr>
            <m:t>,</m:t>
          </m:r>
          <m:r>
            <m:t> </m:t>
          </m:r>
          <m:r>
            <m:t>D</m:t>
          </m:r>
          <m:r>
            <m:rPr>
              <m:sty m:val="p"/>
            </m:rPr>
            <m:t>=</m:t>
          </m:r>
          <m:r>
            <m:rPr>
              <m:sty m:val="p"/>
            </m:rPr>
            <m:t>diag</m:t>
          </m:r>
          <m:d>
            <m:dPr>
              <m:begChr m:val="("/>
              <m:endChr m:val=")"/>
              <m:sepChr m:val=""/>
              <m:grow/>
            </m:dPr>
            <m:e>
              <m:r>
                <m:t>3</m:t>
              </m:r>
              <m:r>
                <m:rPr>
                  <m:sty m:val="p"/>
                </m:rPr>
                <m:t>,</m:t>
              </m:r>
              <m:r>
                <m:t>1</m:t>
              </m:r>
            </m:e>
          </m:d>
          <m:r>
            <m:rPr>
              <m:sty m:val="p"/>
            </m:rPr>
            <m:t>.</m:t>
          </m:r>
        </m:oMath>
      </m:oMathPara>
    </w:p>
    <w:p>
      <w:pPr>
        <w:pStyle w:val="FirstParagraph"/>
      </w:pPr>
      <w:r>
        <w:t xml:space="preserve">The dot product</w:t>
      </w:r>
      <w:r>
        <w:t xml:space="preserve"> </w:t>
      </w:r>
      <m:oMath>
        <m:sSubSup>
          <m:e>
            <m:r>
              <m:t>q</m:t>
            </m:r>
          </m:e>
          <m:sub>
            <m:r>
              <m:t>1</m:t>
            </m:r>
          </m:sub>
          <m:sup>
            <m:r>
              <m:t>T</m:t>
            </m:r>
          </m:sup>
        </m:sSubSup>
        <m:sSub>
          <m:e>
            <m:r>
              <m:t>q</m:t>
            </m:r>
          </m:e>
          <m:sub>
            <m:r>
              <m:t>2</m:t>
            </m:r>
          </m:sub>
        </m:sSub>
        <m:r>
          <m:rPr>
            <m:sty m:val="p"/>
          </m:rPr>
          <m:t>=</m:t>
        </m:r>
        <m:d>
          <m:dPr>
            <m:begChr m:val="("/>
            <m:endChr m:val=")"/>
            <m:sepChr m:val=""/>
            <m:grow/>
          </m:dPr>
          <m:e>
            <m:r>
              <m:t>1</m:t>
            </m:r>
            <m:r>
              <m:rPr>
                <m:sty m:val="p"/>
              </m:rPr>
              <m:t>−</m:t>
            </m:r>
            <m:r>
              <m:t>1</m:t>
            </m:r>
          </m:e>
        </m:d>
        <m:r>
          <m:rPr>
            <m:sty m:val="p"/>
          </m:rPr>
          <m:t>/</m:t>
        </m:r>
        <m:r>
          <m:t>2</m:t>
        </m:r>
        <m:r>
          <m:rPr>
            <m:sty m:val="p"/>
          </m:rPr>
          <m:t>=</m:t>
        </m:r>
        <m:r>
          <m:t>0</m:t>
        </m:r>
      </m:oMath>
      <w:r>
        <w:t xml:space="preserve">, and each squared norm is one. Hence</w:t>
      </w:r>
      <w:r>
        <w:t xml:space="preserve"> </w:t>
      </w:r>
      <m:oMath>
        <m:sSup>
          <m:e>
            <m:r>
              <m:t>Q</m:t>
            </m:r>
          </m:e>
          <m:sup>
            <m:r>
              <m:t>T</m:t>
            </m:r>
          </m:sup>
        </m:sSup>
        <m:r>
          <m:t>Q</m:t>
        </m:r>
        <m:r>
          <m:rPr>
            <m:sty m:val="p"/>
          </m:rPr>
          <m:t>=</m:t>
        </m:r>
        <m:r>
          <m:t>I</m:t>
        </m:r>
      </m:oMath>
      <w:r>
        <w:t xml:space="preserve"> </w:t>
      </w:r>
      <w:r>
        <w:t xml:space="preserve">and</w:t>
      </w:r>
      <w:r>
        <w:t xml:space="preserve"> </w:t>
      </w:r>
      <m:oMath>
        <m:sSup>
          <m:e>
            <m:r>
              <m:t>Q</m:t>
            </m:r>
          </m:e>
          <m:sup>
            <m:r>
              <m:rPr>
                <m:sty m:val="p"/>
              </m:rPr>
              <m:t>−</m:t>
            </m:r>
            <m:r>
              <m:t>1</m:t>
            </m:r>
          </m:sup>
        </m:sSup>
        <m:r>
          <m:rPr>
            <m:sty m:val="p"/>
          </m:rPr>
          <m:t>=</m:t>
        </m:r>
        <m:sSup>
          <m:e>
            <m:r>
              <m:t>Q</m:t>
            </m:r>
          </m:e>
          <m:sup>
            <m:r>
              <m:t>T</m:t>
            </m:r>
          </m:sup>
        </m:sSup>
      </m:oMath>
      <w:r>
        <w:t xml:space="preserve">. Since</w:t>
      </w:r>
      <w:r>
        <w:t xml:space="preserve"> </w:t>
      </w:r>
      <m:oMath>
        <m:r>
          <m:t>S</m:t>
        </m:r>
        <m:sSub>
          <m:e>
            <m:r>
              <m:t>q</m:t>
            </m:r>
          </m:e>
          <m:sub>
            <m:r>
              <m:t>1</m:t>
            </m:r>
          </m:sub>
        </m:sSub>
        <m:r>
          <m:rPr>
            <m:sty m:val="p"/>
          </m:rPr>
          <m:t>=</m:t>
        </m:r>
        <m:r>
          <m:t>3</m:t>
        </m:r>
        <m:sSub>
          <m:e>
            <m:r>
              <m:t>q</m:t>
            </m:r>
          </m:e>
          <m:sub>
            <m:r>
              <m:t>1</m:t>
            </m:r>
          </m:sub>
        </m:sSub>
      </m:oMath>
      <w:r>
        <w:t xml:space="preserve"> </w:t>
      </w:r>
      <w:r>
        <w:t xml:space="preserve">and</w:t>
      </w:r>
      <w:r>
        <w:t xml:space="preserve"> </w:t>
      </w:r>
      <m:oMath>
        <m:r>
          <m:t>S</m:t>
        </m:r>
        <m:sSub>
          <m:e>
            <m:r>
              <m:t>q</m:t>
            </m:r>
          </m:e>
          <m:sub>
            <m:r>
              <m:t>2</m:t>
            </m:r>
          </m:sub>
        </m:sSub>
        <m:r>
          <m:rPr>
            <m:sty m:val="p"/>
          </m:rPr>
          <m:t>=</m:t>
        </m:r>
        <m:sSub>
          <m:e>
            <m:r>
              <m:t>q</m:t>
            </m:r>
          </m:e>
          <m:sub>
            <m:r>
              <m:t>2</m:t>
            </m:r>
          </m:sub>
        </m:sSub>
      </m:oMath>
      <w:r>
        <w:t xml:space="preserve">,</w:t>
      </w:r>
      <w:r>
        <w:t xml:space="preserve"> </w:t>
      </w:r>
      <m:oMath>
        <m:r>
          <m:t>S</m:t>
        </m:r>
        <m:r>
          <m:t>Q</m:t>
        </m:r>
        <m:r>
          <m:rPr>
            <m:sty m:val="p"/>
          </m:rPr>
          <m:t>=</m:t>
        </m:r>
        <m:r>
          <m:t>Q</m:t>
        </m:r>
        <m:r>
          <m:t>D</m:t>
        </m:r>
      </m:oMath>
      <w:r>
        <w:t xml:space="preserve">; multiplying on the right by</w:t>
      </w:r>
      <w:r>
        <w:t xml:space="preserve"> </w:t>
      </w:r>
      <m:oMath>
        <m:sSup>
          <m:e>
            <m:r>
              <m:t>Q</m:t>
            </m:r>
          </m:e>
          <m:sup>
            <m:r>
              <m:t>T</m:t>
            </m:r>
          </m:sup>
        </m:sSup>
      </m:oMath>
      <w:r>
        <w:t xml:space="preserve"> </w:t>
      </w:r>
      <w:r>
        <w:t xml:space="preserve">proves</w:t>
      </w:r>
      <w:r>
        <w:t xml:space="preserve"> </w:t>
      </w:r>
      <m:oMath>
        <m:r>
          <m:t>S</m:t>
        </m:r>
        <m:r>
          <m:rPr>
            <m:sty m:val="p"/>
          </m:rPr>
          <m:t>=</m:t>
        </m:r>
        <m:r>
          <m:t>Q</m:t>
        </m:r>
        <m:r>
          <m:t>D</m:t>
        </m:r>
        <m:sSup>
          <m:e>
            <m:r>
              <m:t>Q</m:t>
            </m:r>
          </m:e>
          <m:sup>
            <m:r>
              <m:t>T</m:t>
            </m:r>
          </m:sup>
        </m:sSup>
      </m:oMath>
      <w:r>
        <w:t xml:space="preserve">.</w:t>
      </w:r>
    </w:p>
    <w:p>
      <w:pPr>
        <w:pStyle w:val="BodyText"/>
      </w:pPr>
      <w:r>
        <w:rPr>
          <w:bCs/>
          <w:b/>
        </w:rPr>
        <w:t xml:space="preserve">Interpretation:</w:t>
      </w:r>
      <w:r>
        <w:t xml:space="preserve"> </w:t>
      </w:r>
      <w:r>
        <w:t xml:space="preserve">coordinates along</w:t>
      </w:r>
      <w:r>
        <w:t xml:space="preserve"> </w:t>
      </w:r>
      <m:oMath>
        <m:sSub>
          <m:e>
            <m:r>
              <m:t>q</m:t>
            </m:r>
          </m:e>
          <m:sub>
            <m:r>
              <m:t>1</m:t>
            </m:r>
          </m:sub>
        </m:sSub>
      </m:oMath>
      <w:r>
        <w:t xml:space="preserve"> </w:t>
      </w:r>
      <w:r>
        <w:t xml:space="preserve">are multiplied by three; coordinates along</w:t>
      </w:r>
      <w:r>
        <w:t xml:space="preserve"> </w:t>
      </w:r>
      <m:oMath>
        <m:sSub>
          <m:e>
            <m:r>
              <m:t>q</m:t>
            </m:r>
          </m:e>
          <m:sub>
            <m:r>
              <m:t>2</m:t>
            </m:r>
          </m:sub>
        </m:sSub>
      </m:oMath>
      <w:r>
        <w:t xml:space="preserve"> </w:t>
      </w:r>
      <w:r>
        <w:t xml:space="preserve">are unchanged. Symmetry permits an orthonormal eigenbasis. This conclusion does not extend to every real matrix.</w:t>
      </w:r>
    </w:p>
    <w:p>
      <w:pPr>
        <w:pStyle w:val="BodyText"/>
      </w:pPr>
      <w:r>
        <w:rPr>
          <w:bCs/>
          <w:b/>
        </w:rPr>
        <w:t xml:space="preserve">Common pitfall:</w:t>
      </w:r>
      <w:r>
        <w:t xml:space="preserve"> </w:t>
      </w:r>
      <w:r>
        <w:t xml:space="preserve">numerical software may return either eigenvector with its sign reversed. This is not an error; verify the eigenpair and match each column to its eigenvalue.</w:t>
      </w:r>
    </w:p>
    <w:bookmarkEnd w:id="21"/>
    <w:bookmarkEnd w:id="22"/>
    <w:bookmarkStart w:id="22" w:name="worked-solutions-3-4"/>
    <w:p>
      <w:pPr>
        <w:pStyle w:val="Heading1"/>
      </w:pPr>
      <w:r>
        <w:t xml:space="preserve">Worked solutions 3-4</w:t>
      </w:r>
    </w:p>
    <w:bookmarkStart w:id="20" w:name="Xea70489ca9839d0e3ac5f75da52efaf9b43d999"/>
    <w:p>
      <w:pPr>
        <w:pStyle w:val="Heading2"/>
      </w:pPr>
      <w:r>
        <w:t xml:space="preserve">Solution 3 - Compute the power without repeated multiplication</w:t>
      </w:r>
    </w:p>
    <w:p>
      <w:pPr>
        <w:pStyle w:val="FirstParagraph"/>
      </w:pPr>
      <w:r>
        <w:t xml:space="preserve">Because</w:t>
      </w:r>
      <w:r>
        <w:t xml:space="preserve"> </w:t>
      </w:r>
      <m:oMath>
        <m:sSup>
          <m:e>
            <m:r>
              <m:t>Q</m:t>
            </m:r>
          </m:e>
          <m:sup>
            <m:r>
              <m:t>T</m:t>
            </m:r>
          </m:sup>
        </m:sSup>
        <m:r>
          <m:t>Q</m:t>
        </m:r>
        <m:r>
          <m:rPr>
            <m:sty m:val="p"/>
          </m:rPr>
          <m:t>=</m:t>
        </m:r>
        <m:r>
          <m:t>I</m:t>
        </m:r>
      </m:oMath>
      <w:r>
        <w:t xml:space="preserve">, the intermediate factors cancel in repeated products, giving</w:t>
      </w:r>
      <w:r>
        <w:t xml:space="preserve"> </w:t>
      </w:r>
      <m:oMath>
        <m:sSup>
          <m:e>
            <m:r>
              <m:t>S</m:t>
            </m:r>
          </m:e>
          <m:sup>
            <m:r>
              <m:t>k</m:t>
            </m:r>
          </m:sup>
        </m:sSup>
        <m:r>
          <m:rPr>
            <m:sty m:val="p"/>
          </m:rPr>
          <m:t>=</m:t>
        </m:r>
        <m:r>
          <m:t>Q</m:t>
        </m:r>
        <m:sSup>
          <m:e>
            <m:r>
              <m:t>D</m:t>
            </m:r>
          </m:e>
          <m:sup>
            <m:r>
              <m:t>k</m:t>
            </m:r>
          </m:sup>
        </m:sSup>
        <m:sSup>
          <m:e>
            <m:r>
              <m:t>Q</m:t>
            </m:r>
          </m:e>
          <m:sup>
            <m:r>
              <m:t>T</m:t>
            </m:r>
          </m:sup>
        </m:sSup>
      </m:oMath>
      <w:r>
        <w:t xml:space="preserve">. The eigenvalues are raised to the power, while the eigenvectors stay fixed:</w:t>
      </w:r>
    </w:p>
    <w:p>
      <w:pPr>
        <w:pStyle w:val="BodyText"/>
      </w:pPr>
      <m:oMathPara>
        <m:oMathParaPr>
          <m:jc m:val="center"/>
        </m:oMathParaPr>
        <m:oMath>
          <m:sSup>
            <m:e>
              <m:r>
                <m:t>S</m:t>
              </m:r>
            </m:e>
            <m:sup>
              <m:r>
                <m:t>k</m:t>
              </m:r>
            </m:sup>
          </m:sSup>
          <m:r>
            <m:rPr>
              <m:sty m:val="p"/>
            </m:rPr>
            <m:t>=</m:t>
          </m:r>
          <m:f>
            <m:fPr>
              <m:type m:val="bar"/>
            </m:fPr>
            <m:num>
              <m:r>
                <m:t>1</m:t>
              </m:r>
            </m:num>
            <m:den>
              <m:r>
                <m:t>2</m:t>
              </m:r>
            </m:den>
          </m:f>
          <m:d>
            <m:dPr>
              <m:begChr m:val="("/>
              <m:endChr m:val=")"/>
              <m:sep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oMath>
      </m:oMathPara>
    </w:p>
    <w:p>
      <w:pPr>
        <w:pStyle w:val="FirstParagraph"/>
      </w:pPr>
      <w:r>
        <w:t xml:space="preserve">With</w:t>
      </w:r>
      <w:r>
        <w:t xml:space="preserve"> </w:t>
      </w:r>
      <m:oMath>
        <m:sSup>
          <m:e>
            <m:r>
              <m:t>3</m:t>
            </m:r>
          </m:e>
          <m:sup>
            <m:r>
              <m:t>10</m:t>
            </m:r>
          </m:sup>
        </m:sSup>
        <m:r>
          <m:rPr>
            <m:sty m:val="p"/>
          </m:rPr>
          <m:t>=</m:t>
        </m:r>
        <m:r>
          <m:t>59049</m:t>
        </m:r>
      </m:oMath>
      <w:r>
        <w:t xml:space="preserve">, the diagonal entries are</w:t>
      </w:r>
      <w:r>
        <w:t xml:space="preserve"> </w:t>
      </w:r>
      <m:oMath>
        <m:d>
          <m:dPr>
            <m:begChr m:val="("/>
            <m:endChr m:val=")"/>
            <m:sepChr m:val=""/>
            <m:grow/>
          </m:dPr>
          <m:e>
            <m:r>
              <m:t>59049</m:t>
            </m:r>
            <m:r>
              <m:rPr>
                <m:sty m:val="p"/>
              </m:rPr>
              <m:t>+</m:t>
            </m:r>
            <m:r>
              <m:t>1</m:t>
            </m:r>
          </m:e>
        </m:d>
        <m:r>
          <m:rPr>
            <m:sty m:val="p"/>
          </m:rPr>
          <m:t>/</m:t>
        </m:r>
        <m:r>
          <m:t>2</m:t>
        </m:r>
        <m:r>
          <m:rPr>
            <m:sty m:val="p"/>
          </m:rPr>
          <m:t>=</m:t>
        </m:r>
        <m:r>
          <m:t>29525</m:t>
        </m:r>
      </m:oMath>
      <w:r>
        <w:t xml:space="preserve"> </w:t>
      </w:r>
      <w:r>
        <w:t xml:space="preserve">and the off-diagonal entries are</w:t>
      </w:r>
      <w:r>
        <w:t xml:space="preserve"> </w:t>
      </w:r>
      <m:oMath>
        <m:d>
          <m:dPr>
            <m:begChr m:val="("/>
            <m:endChr m:val=")"/>
            <m:sepChr m:val=""/>
            <m:grow/>
          </m:dPr>
          <m:e>
            <m:r>
              <m:t>59049</m:t>
            </m:r>
            <m:r>
              <m:rPr>
                <m:sty m:val="p"/>
              </m:rPr>
              <m:t>−</m:t>
            </m:r>
            <m:r>
              <m:t>1</m:t>
            </m:r>
          </m:e>
        </m:d>
        <m:r>
          <m:rPr>
            <m:sty m:val="p"/>
          </m:rPr>
          <m:t>/</m:t>
        </m:r>
        <m:r>
          <m:t>2</m:t>
        </m:r>
        <m:r>
          <m:rPr>
            <m:sty m:val="p"/>
          </m:rPr>
          <m:t>=</m:t>
        </m:r>
        <m:r>
          <m:t>29524</m:t>
        </m:r>
      </m:oMath>
      <w:r>
        <w:t xml:space="preserve">. Therefore</w:t>
      </w:r>
    </w:p>
    <w:p>
      <w:pPr>
        <w:pStyle w:val="BodyText"/>
      </w:pPr>
      <m:oMathPara>
        <m:oMathParaPr>
          <m:jc m:val="center"/>
        </m:oMathParaPr>
        <m:oMath>
          <m:sSup>
            <m:e>
              <m:r>
                <m:t>S</m:t>
              </m:r>
            </m:e>
            <m:sup>
              <m:r>
                <m:t>10</m:t>
              </m:r>
            </m:sup>
          </m:sSup>
          <m:r>
            <m:rPr>
              <m:sty m:val="p"/>
            </m:rPr>
            <m:t>=</m:t>
          </m:r>
          <m:d>
            <m:dPr>
              <m:begChr m:val="("/>
              <m:endChr m:val=")"/>
              <m:sepChr m:val=""/>
              <m:grow/>
            </m:dPr>
            <m:e>
              <m:m>
                <m:mPr>
                  <m:baseJc m:val="center"/>
                  <m:plcHide m:val="on"/>
                  <m:mcs>
                    <m:mc>
                      <m:mcPr>
                        <m:mcJc m:val="center"/>
                        <m:count m:val="1"/>
                      </m:mcPr>
                    </m:mc>
                    <m:mc>
                      <m:mcPr>
                        <m:mcJc m:val="center"/>
                        <m:count m:val="1"/>
                      </m:mcPr>
                    </m:mc>
                  </m:mcs>
                </m:mPr>
                <m:mr>
                  <m:e>
                    <m:r>
                      <m:t>29525</m:t>
                    </m:r>
                  </m:e>
                  <m:e>
                    <m:r>
                      <m:t>29524</m:t>
                    </m:r>
                  </m:e>
                </m:mr>
                <m:mr>
                  <m:e>
                    <m:r>
                      <m:t>29524</m:t>
                    </m:r>
                  </m:e>
                  <m:e>
                    <m:r>
                      <m:t>29525</m:t>
                    </m:r>
                  </m:e>
                </m:mr>
              </m:m>
            </m:e>
          </m:d>
          <m:r>
            <m:rPr>
              <m:sty m:val="p"/>
            </m:rPr>
            <m:t>.</m:t>
          </m:r>
        </m:oMath>
      </m:oMathPara>
    </w:p>
    <w:p>
      <w:pPr>
        <w:pStyle w:val="FirstParagraph"/>
      </w:pPr>
      <w:r>
        <w:t xml:space="preserve">At</w:t>
      </w:r>
      <w:r>
        <w:t xml:space="preserve"> </w:t>
      </w:r>
      <m:oMath>
        <m:r>
          <m:t>k</m:t>
        </m:r>
        <m:r>
          <m:rPr>
            <m:sty m:val="p"/>
          </m:rPr>
          <m:t>=</m:t>
        </m:r>
        <m:r>
          <m:t>0</m:t>
        </m:r>
      </m:oMath>
      <w:r>
        <w:t xml:space="preserve">,</w:t>
      </w:r>
      <w:r>
        <w:t xml:space="preserve"> </w:t>
      </w:r>
      <m:oMath>
        <m:sSup>
          <m:e>
            <m:r>
              <m:t>3</m:t>
            </m:r>
          </m:e>
          <m:sup>
            <m:r>
              <m:t>0</m:t>
            </m:r>
          </m:sup>
        </m:sSup>
        <m:r>
          <m:rPr>
            <m:sty m:val="p"/>
          </m:rPr>
          <m:t>=</m:t>
        </m:r>
        <m:r>
          <m:t>1</m:t>
        </m:r>
      </m:oMath>
      <w:r>
        <w:t xml:space="preserve">, so the formula gives</w:t>
      </w:r>
      <w:r>
        <w:t xml:space="preserve"> </w:t>
      </w:r>
      <m:oMath>
        <m:r>
          <m:t>I</m:t>
        </m:r>
      </m:oMath>
      <w:r>
        <w:t xml:space="preserve">, as required. At</w:t>
      </w:r>
      <w:r>
        <w:t xml:space="preserve"> </w:t>
      </w:r>
      <m:oMath>
        <m:r>
          <m:t>k</m:t>
        </m:r>
        <m:r>
          <m:rPr>
            <m:sty m:val="p"/>
          </m:rPr>
          <m:t>=</m:t>
        </m:r>
        <m:r>
          <m:t>1</m:t>
        </m:r>
      </m:oMath>
      <w:r>
        <w:t xml:space="preserve">, it gives the original</w:t>
      </w:r>
      <w:r>
        <w:t xml:space="preserve"> </w:t>
      </w:r>
      <m:oMath>
        <m:r>
          <m:t>S</m:t>
        </m:r>
      </m:oMath>
      <w:r>
        <w:t xml:space="preserve">. These simple checks catch missing factors of one-half and swapped signs.</w:t>
      </w:r>
    </w:p>
    <w:p>
      <w:pPr>
        <w:pStyle w:val="BodyText"/>
      </w:pPr>
      <w:r>
        <w:rPr>
          <w:bCs/>
          <w:b/>
        </w:rPr>
        <w:t xml:space="preserve">Interpretation:</w:t>
      </w:r>
      <w:r>
        <w:t xml:space="preserve"> </w:t>
      </w:r>
      <w:r>
        <w:t xml:space="preserve">a component in the first eigendirection grows like</w:t>
      </w:r>
      <w:r>
        <w:t xml:space="preserve"> </w:t>
      </w:r>
      <m:oMath>
        <m:sSup>
          <m:e>
            <m:r>
              <m:t>3</m:t>
            </m:r>
          </m:e>
          <m:sup>
            <m:r>
              <m:t>k</m:t>
            </m:r>
          </m:sup>
        </m:sSup>
      </m:oMath>
      <w:r>
        <w:t xml:space="preserve">; the other stays constant. An initial vector entirely in the second eigendirection does not acquire the growing component under exact arithmetic.</w:t>
      </w:r>
    </w:p>
    <w:bookmarkEnd w:id="20"/>
    <w:bookmarkStart w:id="21" w:name="Xdd23dbbb1ce3a22dfe590a49848f47b2aeb9b4a"/>
    <w:p>
      <w:pPr>
        <w:pStyle w:val="Heading2"/>
      </w:pPr>
      <w:r>
        <w:t xml:space="preserve">Solution 4 - Growth without a complete eigenbasis</w:t>
      </w:r>
    </w:p>
    <w:p>
      <w:pPr>
        <w:pStyle w:val="FirstParagraph"/>
      </w:pPr>
      <w:r>
        <w:t xml:space="preserve">Write</w:t>
      </w:r>
      <w:r>
        <w:t xml:space="preserve"> </w:t>
      </w:r>
      <m:oMath>
        <m:r>
          <m:t>J</m:t>
        </m:r>
        <m:r>
          <m:rPr>
            <m:sty m:val="p"/>
          </m:rPr>
          <m:t>=</m:t>
        </m:r>
        <m:r>
          <m:t>I</m:t>
        </m:r>
        <m:r>
          <m:rPr>
            <m:sty m:val="p"/>
          </m:rPr>
          <m:t>+</m:t>
        </m:r>
        <m:r>
          <m:t>N</m:t>
        </m:r>
      </m:oMath>
      <w:r>
        <w:t xml:space="preserve">, where</w:t>
      </w:r>
      <w:r>
        <w:t xml:space="preserve"> </w:t>
      </w:r>
      <m:oMath>
        <m:r>
          <m:t>N</m:t>
        </m:r>
        <m:r>
          <m:rPr>
            <m:sty m:val="p"/>
          </m:rPr>
          <m:t>=</m:t>
        </m:r>
        <m:d>
          <m:dPr>
            <m:begChr m:val="("/>
            <m:endChr m:val=")"/>
            <m:sep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Multiplication shows</w:t>
      </w:r>
      <w:r>
        <w:t xml:space="preserve"> </w:t>
      </w:r>
      <m:oMath>
        <m:sSup>
          <m:e>
            <m:r>
              <m:t>N</m:t>
            </m:r>
          </m:e>
          <m:sup>
            <m:r>
              <m:t>2</m:t>
            </m:r>
          </m:sup>
        </m:sSup>
        <m:r>
          <m:rPr>
            <m:sty m:val="p"/>
          </m:rPr>
          <m:t>=</m:t>
        </m:r>
        <m:r>
          <m:t>0</m:t>
        </m:r>
      </m:oMath>
      <w:r>
        <w:t xml:space="preserve">. Since</w:t>
      </w:r>
      <w:r>
        <w:t xml:space="preserve"> </w:t>
      </w:r>
      <m:oMath>
        <m:r>
          <m:t>I</m:t>
        </m:r>
      </m:oMath>
      <w:r>
        <w:t xml:space="preserve"> </w:t>
      </w:r>
      <w:r>
        <w:t xml:space="preserve">commutes with</w:t>
      </w:r>
      <w:r>
        <w:t xml:space="preserve"> </w:t>
      </w:r>
      <m:oMath>
        <m:r>
          <m:t>N</m:t>
        </m:r>
      </m:oMath>
      <w:r>
        <w:t xml:space="preserve">, the binomial expansion applies and all terms containing</w:t>
      </w:r>
      <w:r>
        <w:t xml:space="preserve"> </w:t>
      </w:r>
      <m:oMath>
        <m:sSup>
          <m:e>
            <m:r>
              <m:t>N</m:t>
            </m:r>
          </m:e>
          <m:sup>
            <m:r>
              <m:t>2</m:t>
            </m:r>
          </m:sup>
        </m:sSup>
      </m:oMath>
      <w:r>
        <w:t xml:space="preserve"> </w:t>
      </w:r>
      <w:r>
        <w:t xml:space="preserve">or higher powers vanish:</w:t>
      </w:r>
    </w:p>
    <w:p>
      <w:pPr>
        <w:pStyle w:val="BodyText"/>
      </w:pPr>
      <m:oMathPara>
        <m:oMathParaPr>
          <m:jc m:val="center"/>
        </m:oMathParaPr>
        <m:oMath>
          <m:sSup>
            <m:e>
              <m:r>
                <m:t>J</m:t>
              </m:r>
            </m:e>
            <m:sup>
              <m:r>
                <m:t>k</m:t>
              </m:r>
            </m:sup>
          </m:sSup>
          <m:r>
            <m:rPr>
              <m:sty m:val="p"/>
            </m:rPr>
            <m:t>=</m:t>
          </m:r>
          <m:sSup>
            <m:e>
              <m:d>
                <m:dPr>
                  <m:begChr m:val="("/>
                  <m:endChr m:val=")"/>
                  <m:sepChr m:val=""/>
                  <m:grow/>
                </m:dPr>
                <m:e>
                  <m:r>
                    <m:t>I</m:t>
                  </m:r>
                  <m:r>
                    <m:rPr>
                      <m:sty m:val="p"/>
                    </m:rPr>
                    <m:t>+</m:t>
                  </m:r>
                  <m:r>
                    <m:t>N</m:t>
                  </m:r>
                </m:e>
              </m:d>
            </m:e>
            <m:sup>
              <m:r>
                <m:t>k</m:t>
              </m:r>
            </m:sup>
          </m:sSup>
          <m:r>
            <m:rPr>
              <m:sty m:val="p"/>
            </m:rPr>
            <m:t>=</m:t>
          </m:r>
          <m:r>
            <m:t>I</m:t>
          </m:r>
          <m:r>
            <m:rPr>
              <m:sty m:val="p"/>
            </m:rPr>
            <m:t>+</m:t>
          </m:r>
          <m:r>
            <m:t>k</m:t>
          </m:r>
          <m:r>
            <m:t>N</m:t>
          </m:r>
          <m:r>
            <m:rPr>
              <m:sty m:val="p"/>
            </m:rPr>
            <m:t>=</m:t>
          </m:r>
          <m:d>
            <m:dPr>
              <m:begChr m:val="("/>
              <m:endChr m:val=")"/>
              <m:sepChr m:val=""/>
              <m:grow/>
            </m:dPr>
            <m:e>
              <m:m>
                <m:mPr>
                  <m:baseJc m:val="center"/>
                  <m:plcHide m:val="on"/>
                  <m:mcs>
                    <m:mc>
                      <m:mcPr>
                        <m:mcJc m:val="center"/>
                        <m:count m:val="1"/>
                      </m:mcPr>
                    </m:mc>
                    <m:mc>
                      <m:mcPr>
                        <m:mcJc m:val="center"/>
                        <m:count m:val="1"/>
                      </m:mcPr>
                    </m:mc>
                  </m:mcs>
                </m:mPr>
                <m:mr>
                  <m:e>
                    <m:r>
                      <m:t>1</m:t>
                    </m:r>
                  </m:e>
                  <m:e>
                    <m:r>
                      <m:t>k</m:t>
                    </m:r>
                  </m:e>
                </m:mr>
                <m:mr>
                  <m:e>
                    <m:r>
                      <m:t>0</m:t>
                    </m:r>
                  </m:e>
                  <m:e>
                    <m:r>
                      <m:t>1</m:t>
                    </m:r>
                  </m:e>
                </m:mr>
              </m:m>
            </m:e>
          </m:d>
          <m:r>
            <m:rPr>
              <m:sty m:val="p"/>
            </m:rPr>
            <m:t>.</m:t>
          </m:r>
        </m:oMath>
      </m:oMathPara>
    </w:p>
    <w:p>
      <w:pPr>
        <w:pStyle w:val="FirstParagraph"/>
      </w:pPr>
      <w:r>
        <w:t xml:space="preserve">This includes</w:t>
      </w:r>
      <w:r>
        <w:t xml:space="preserve"> </w:t>
      </w:r>
      <m:oMath>
        <m:r>
          <m:t>k</m:t>
        </m:r>
        <m:r>
          <m:rPr>
            <m:sty m:val="p"/>
          </m:rPr>
          <m:t>=</m:t>
        </m:r>
        <m:r>
          <m:t>0</m:t>
        </m:r>
      </m:oMath>
      <w:r>
        <w:t xml:space="preserve">. The characteristic polynomial is</w:t>
      </w:r>
      <w:r>
        <w:t xml:space="preserve"> </w:t>
      </w:r>
      <m:oMath>
        <m:sSup>
          <m:e>
            <m:d>
              <m:dPr>
                <m:begChr m:val="("/>
                <m:endChr m:val=")"/>
                <m:sepChr m:val=""/>
                <m:grow/>
              </m:dPr>
              <m:e>
                <m:r>
                  <m:t>1</m:t>
                </m:r>
                <m:r>
                  <m:rPr>
                    <m:sty m:val="p"/>
                  </m:rPr>
                  <m:t>−</m:t>
                </m:r>
                <m:r>
                  <m:t>λ</m:t>
                </m:r>
              </m:e>
            </m:d>
          </m:e>
          <m:sup>
            <m:r>
              <m:t>2</m:t>
            </m:r>
          </m:sup>
        </m:sSup>
      </m:oMath>
      <w:r>
        <w:t xml:space="preserve">, so the only eigenvalue is one, with algebraic multiplicity two. But</w:t>
      </w:r>
      <w:r>
        <w:t xml:space="preserve"> </w:t>
      </w:r>
      <m:oMath>
        <m:d>
          <m:dPr>
            <m:begChr m:val="("/>
            <m:endChr m:val=")"/>
            <m:sepChr m:val=""/>
            <m:grow/>
          </m:dPr>
          <m:e>
            <m:r>
              <m:t>J</m:t>
            </m:r>
            <m:r>
              <m:rPr>
                <m:sty m:val="p"/>
              </m:rPr>
              <m:t>−</m:t>
            </m:r>
            <m:r>
              <m:t>I</m:t>
            </m:r>
          </m:e>
        </m:d>
        <m:r>
          <m:t>v</m:t>
        </m:r>
        <m:r>
          <m:rPr>
            <m:sty m:val="p"/>
          </m:rPr>
          <m:t>=</m:t>
        </m:r>
        <m:r>
          <m:t>0</m:t>
        </m:r>
      </m:oMath>
      <w:r>
        <w:t xml:space="preserve"> </w:t>
      </w:r>
      <w:r>
        <w:t xml:space="preserve">requires</w:t>
      </w:r>
      <w:r>
        <w:t xml:space="preserve"> </w:t>
      </w:r>
      <m:oMath>
        <m:sSub>
          <m:e>
            <m:r>
              <m:t>v</m:t>
            </m:r>
          </m:e>
          <m:sub>
            <m:r>
              <m:t>2</m:t>
            </m:r>
          </m:sub>
        </m:sSub>
        <m:r>
          <m:rPr>
            <m:sty m:val="p"/>
          </m:rPr>
          <m:t>=</m:t>
        </m:r>
        <m:r>
          <m:t>0</m:t>
        </m:r>
      </m:oMath>
      <w:r>
        <w:t xml:space="preserve">. Its eigenvectors span only the one-dimensional space generated by</w:t>
      </w:r>
      <w:r>
        <w:t xml:space="preserve"> </w:t>
      </w:r>
      <m:oMath>
        <m:sSup>
          <m:e>
            <m:d>
              <m:dPr>
                <m:begChr m:val="("/>
                <m:endChr m:val=")"/>
                <m:sepChr m:val=""/>
                <m:grow/>
              </m:dPr>
              <m:e>
                <m:r>
                  <m:t>1</m:t>
                </m:r>
                <m:r>
                  <m:rPr>
                    <m:sty m:val="p"/>
                  </m:rPr>
                  <m:t>,</m:t>
                </m:r>
                <m:r>
                  <m:t>0</m:t>
                </m:r>
              </m:e>
            </m:d>
          </m:e>
          <m:sup>
            <m:r>
              <m:t>T</m:t>
            </m:r>
          </m:sup>
        </m:sSup>
      </m:oMath>
      <w:r>
        <w:t xml:space="preserve">.</w:t>
      </w:r>
    </w:p>
    <w:p>
      <w:pPr>
        <w:pStyle w:val="BodyText"/>
      </w:pPr>
      <w:r>
        <w:t xml:space="preserve">A two-dimensional diagonalization needs two independent eigenvectors. There is only one independent eigendirection here, so no invertible eigenvector matrix exists.</w:t>
      </w:r>
    </w:p>
    <w:p>
      <w:pPr>
        <w:pStyle w:val="BodyText"/>
      </w:pPr>
      <w:r>
        <w:rPr>
          <w:bCs/>
          <w:b/>
        </w:rPr>
        <w:t xml:space="preserve">Interpretation:</w:t>
      </w:r>
      <w:r>
        <w:t xml:space="preserve"> </w:t>
      </w:r>
      <m:oMath>
        <m:sSup>
          <m:e>
            <m:r>
              <m:t>J</m:t>
            </m:r>
          </m:e>
          <m:sup>
            <m:r>
              <m:t>k</m:t>
            </m:r>
          </m:sup>
        </m:sSup>
        <m:sSup>
          <m:e>
            <m:d>
              <m:dPr>
                <m:begChr m:val="("/>
                <m:endChr m:val=")"/>
                <m:sepChr m:val=""/>
                <m:grow/>
              </m:dPr>
              <m:e>
                <m:r>
                  <m:t>0</m:t>
                </m:r>
                <m:r>
                  <m:rPr>
                    <m:sty m:val="p"/>
                  </m:rPr>
                  <m:t>,</m:t>
                </m:r>
                <m:r>
                  <m:t>1</m:t>
                </m:r>
              </m:e>
            </m:d>
          </m:e>
          <m:sup>
            <m:r>
              <m:t>T</m:t>
            </m:r>
          </m:sup>
        </m:sSup>
        <m:r>
          <m:rPr>
            <m:sty m:val="p"/>
          </m:rPr>
          <m:t>=</m:t>
        </m:r>
        <m:sSup>
          <m:e>
            <m:d>
              <m:dPr>
                <m:begChr m:val="("/>
                <m:endChr m:val=")"/>
                <m:sepChr m:val=""/>
                <m:grow/>
              </m:dPr>
              <m:e>
                <m:r>
                  <m:t>k</m:t>
                </m:r>
                <m:r>
                  <m:rPr>
                    <m:sty m:val="p"/>
                  </m:rPr>
                  <m:t>,</m:t>
                </m:r>
                <m:r>
                  <m:t>1</m:t>
                </m:r>
              </m:e>
            </m:d>
          </m:e>
          <m:sup>
            <m:r>
              <m:t>T</m:t>
            </m:r>
          </m:sup>
        </m:sSup>
      </m:oMath>
      <w:r>
        <w:t xml:space="preserve"> </w:t>
      </w:r>
      <w:r>
        <w:t xml:space="preserve">grows even though both eigenvalues equal one. At spectral radius one, eigenvalues alone do not settle boundedness: Jordan structure matters. This does not contradict the strict condition</w:t>
      </w:r>
      <w:r>
        <w:t xml:space="preserve"> </w:t>
      </w:r>
      <m:oMath>
        <m:r>
          <m:t>ρ</m:t>
        </m:r>
        <m:d>
          <m:dPr>
            <m:begChr m:val="("/>
            <m:endChr m:val=")"/>
            <m:sepChr m:val=""/>
            <m:grow/>
          </m:dPr>
          <m:e>
            <m:r>
              <m:t>A</m:t>
            </m:r>
          </m:e>
        </m:d>
        <m:r>
          <m:rPr>
            <m:sty m:val="p"/>
          </m:rPr>
          <m:t>&lt;</m:t>
        </m:r>
        <m:r>
          <m:t>1</m:t>
        </m:r>
      </m:oMath>
      <w:r>
        <w:t xml:space="preserve"> </w:t>
      </w:r>
      <w:r>
        <w:t xml:space="preserve">for decay of every state in a finite-dimensional autonomous discrete-time linear system.</w:t>
      </w:r>
    </w:p>
    <w:bookmarkEnd w:id="21"/>
    <w:bookmarkEnd w:id="22"/>
    <w:bookmarkStart w:id="23" w:name="worked-solutions-5-7"/>
    <w:p>
      <w:pPr>
        <w:pStyle w:val="Heading1"/>
      </w:pPr>
      <w:r>
        <w:t xml:space="preserve">Worked solutions 5-7</w:t>
      </w:r>
    </w:p>
    <w:bookmarkStart w:id="20" w:name="X2344ef74cb24e0c2c8f842115175e5c7d7cefdb"/>
    <w:p>
      <w:pPr>
        <w:pStyle w:val="Heading2"/>
      </w:pPr>
      <w:r>
        <w:t xml:space="preserve">Solution 5 - The quotient can stop changing too early</w:t>
      </w:r>
    </w:p>
    <w:p>
      <w:pPr>
        <w:pStyle w:val="FirstParagraph"/>
      </w:pPr>
      <w:r>
        <w:t xml:space="preserve">Multiplication flips the second coordinate without changing the length. Thus</w:t>
      </w:r>
      <w:r>
        <w:t xml:space="preserve"> </w:t>
      </w:r>
      <m:oMath>
        <m:sSub>
          <m:e>
            <m:r>
              <m:t>x</m:t>
            </m:r>
          </m:e>
          <m:sub>
            <m:r>
              <m:t>k</m:t>
            </m:r>
          </m:sub>
        </m:sSub>
        <m:r>
          <m:rPr>
            <m:sty m:val="p"/>
          </m:rPr>
          <m:t>=</m:t>
        </m:r>
        <m:sSup>
          <m:e>
            <m:d>
              <m:dPr>
                <m:begChr m:val="("/>
                <m:endChr m:val=")"/>
                <m:sepChr m:val=""/>
                <m:grow/>
              </m:dPr>
              <m:e>
                <m:r>
                  <m:t>1</m:t>
                </m:r>
                <m:r>
                  <m:rPr>
                    <m:sty m:val="p"/>
                  </m:rPr>
                  <m:t>,</m:t>
                </m:r>
                <m:sSup>
                  <m:e>
                    <m:d>
                      <m:dPr>
                        <m:begChr m:val="("/>
                        <m:endChr m:val=")"/>
                        <m:sepChr m:val=""/>
                        <m:grow/>
                      </m:dPr>
                      <m:e>
                        <m:r>
                          <m:rPr>
                            <m:sty m:val="p"/>
                          </m:rPr>
                          <m:t>−</m:t>
                        </m:r>
                        <m:r>
                          <m:t>1</m:t>
                        </m:r>
                      </m:e>
                    </m:d>
                  </m:e>
                  <m:sup>
                    <m:r>
                      <m:t>k</m:t>
                    </m:r>
                  </m:sup>
                </m:sSup>
              </m:e>
            </m:d>
          </m:e>
          <m:sup>
            <m:r>
              <m:t>T</m:t>
            </m:r>
          </m:sup>
        </m:sSup>
        <m:r>
          <m:rPr>
            <m:sty m:val="p"/>
          </m:rPr>
          <m:t>/</m:t>
        </m:r>
        <m:rad>
          <m:radPr>
            <m:degHide m:val="on"/>
          </m:radPr>
          <m:deg/>
          <m:e>
            <m:r>
              <m:t>2</m:t>
            </m:r>
          </m:e>
        </m:rad>
      </m:oMath>
      <w:r>
        <w:t xml:space="preserve">. The sequence alternates between two distinct directions. For every iterate,</w:t>
      </w:r>
    </w:p>
    <w:p>
      <w:pPr>
        <w:pStyle w:val="BodyText"/>
      </w:pPr>
      <m:oMathPara>
        <m:oMathParaPr>
          <m:jc m:val="center"/>
        </m:oMathParaPr>
        <m:oMath>
          <m:sSubSup>
            <m:e>
              <m:r>
                <m:t>x</m:t>
              </m:r>
            </m:e>
            <m:sub>
              <m:r>
                <m:t>k</m:t>
              </m:r>
            </m:sub>
            <m:sup>
              <m:r>
                <m:t>T</m:t>
              </m:r>
            </m:sup>
          </m:sSubSup>
          <m:r>
            <m:t>A</m:t>
          </m:r>
          <m:sSub>
            <m:e>
              <m:r>
                <m:t>x</m:t>
              </m:r>
            </m:e>
            <m:sub>
              <m:r>
                <m:t>k</m:t>
              </m:r>
            </m:sub>
          </m:sSub>
          <m:r>
            <m:rPr>
              <m:sty m:val="p"/>
            </m:rPr>
            <m:t>=</m:t>
          </m:r>
          <m:f>
            <m:fPr>
              <m:type m:val="lin"/>
            </m:fPr>
            <m:num>
              <m:r>
                <m:t>1</m:t>
              </m:r>
            </m:num>
            <m:den>
              <m:r>
                <m:t>2</m:t>
              </m:r>
            </m:den>
          </m:f>
          <m:d>
            <m:dPr>
              <m:begChr m:val="("/>
              <m:endChr m:val=")"/>
              <m:sepChr m:val=""/>
              <m:grow/>
            </m:dPr>
            <m:e>
              <m:r>
                <m:t>1</m:t>
              </m:r>
              <m:r>
                <m:rPr>
                  <m:sty m:val="p"/>
                </m:rPr>
                <m:t>−</m:t>
              </m:r>
              <m:r>
                <m:t>1</m:t>
              </m:r>
            </m:e>
          </m:d>
          <m:r>
            <m:rPr>
              <m:sty m:val="p"/>
            </m:rPr>
            <m:t>=</m:t>
          </m:r>
          <m:r>
            <m:t>0</m:t>
          </m:r>
          <m:r>
            <m:rPr>
              <m:sty m:val="p"/>
            </m:rPr>
            <m:t>.</m:t>
          </m:r>
        </m:oMath>
      </m:oMathPara>
    </w:p>
    <w:p>
      <w:pPr>
        <w:pStyle w:val="FirstParagraph"/>
      </w:pPr>
      <w:r>
        <w:t xml:space="preserve">Yet zero is not an eigenvalue of</w:t>
      </w:r>
      <w:r>
        <w:t xml:space="preserve"> </w:t>
      </w:r>
      <m:oMath>
        <m:r>
          <m:t>A</m:t>
        </m:r>
      </m:oMath>
      <w:r>
        <w:t xml:space="preserve">. Using the proposed</w:t>
      </w:r>
      <w:r>
        <w:t xml:space="preserve"> </w:t>
      </w:r>
      <m:oMath>
        <m:r>
          <m:t>λ</m:t>
        </m:r>
        <m:r>
          <m:rPr>
            <m:sty m:val="p"/>
          </m:rPr>
          <m:t>=</m:t>
        </m:r>
        <m:r>
          <m:t>0</m:t>
        </m:r>
      </m:oMath>
      <w:r>
        <w:t xml:space="preserve">,</w:t>
      </w:r>
      <w:r>
        <w:t xml:space="preserve"> </w:t>
      </w:r>
      <m:oMath>
        <m:r>
          <m:rPr>
            <m:sty m:val="p"/>
          </m:rPr>
          <m:t>∥</m:t>
        </m:r>
        <m:r>
          <m:t>A</m:t>
        </m:r>
        <m:sSub>
          <m:e>
            <m:r>
              <m:t>x</m:t>
            </m:r>
          </m:e>
          <m:sub>
            <m:r>
              <m:t>k</m:t>
            </m:r>
          </m:sub>
        </m:sSub>
        <m:r>
          <m:rPr>
            <m:sty m:val="p"/>
          </m:rPr>
          <m:t>−</m:t>
        </m:r>
        <m:r>
          <m:t>0</m:t>
        </m:r>
        <m:sSub>
          <m:e>
            <m:r>
              <m:t>x</m:t>
            </m:r>
          </m:e>
          <m:sub>
            <m:r>
              <m:t>k</m:t>
            </m:r>
          </m:sub>
        </m:sSub>
        <m:sSub>
          <m:e>
            <m:r>
              <m:rPr>
                <m:sty m:val="p"/>
              </m:rPr>
              <m:t>∥</m:t>
            </m:r>
          </m:e>
          <m:sub>
            <m:r>
              <m:t>2</m:t>
            </m:r>
          </m:sub>
        </m:sSub>
        <m:r>
          <m:rPr>
            <m:sty m:val="p"/>
          </m:rPr>
          <m:t>=</m:t>
        </m:r>
        <m:r>
          <m:t>1</m:t>
        </m:r>
      </m:oMath>
      <w:r>
        <w:t xml:space="preserve">. Since</w:t>
      </w:r>
      <w:r>
        <w:t xml:space="preserve"> </w:t>
      </w:r>
      <m:oMath>
        <m:r>
          <m:rPr>
            <m:sty m:val="p"/>
          </m:rPr>
          <m:t>∥</m:t>
        </m:r>
        <m:r>
          <m:t>A</m:t>
        </m:r>
        <m:sSub>
          <m:e>
            <m:r>
              <m:rPr>
                <m:sty m:val="p"/>
              </m:rPr>
              <m:t>∥</m:t>
            </m:r>
          </m:e>
          <m:sub>
            <m:r>
              <m:t>2</m:t>
            </m:r>
          </m:sub>
        </m:sSub>
        <m:r>
          <m:rPr>
            <m:sty m:val="p"/>
          </m:rPr>
          <m:t>=</m:t>
        </m:r>
        <m:r>
          <m:t>1</m:t>
        </m:r>
      </m:oMath>
      <w:r>
        <w:t xml:space="preserve">, the scaled residual is also 1, not small. Equal successive Rayleigh quotients therefore do not certify convergence. Use a residual-based check, an iteration limit and justified spectral assumptions.</w:t>
      </w:r>
    </w:p>
    <w:bookmarkEnd w:id="20"/>
    <w:bookmarkStart w:id="21" w:name="X74e0b51f3d528adc08ed22ffeee0072021a1df0"/>
    <w:p>
      <w:pPr>
        <w:pStyle w:val="Heading2"/>
      </w:pPr>
      <w:r>
        <w:t xml:space="preserve">Solution 6 - One trajectory can conceal instability</w:t>
      </w:r>
    </w:p>
    <w:p>
      <w:pPr>
        <w:pStyle w:val="FirstParagraph"/>
      </w:pPr>
      <w:r>
        <w:t xml:space="preserve">Choose</w:t>
      </w:r>
      <w:r>
        <w:t xml:space="preserve"> </w:t>
      </w:r>
      <m:oMath>
        <m:sSub>
          <m:e>
            <m:r>
              <m:t>x</m:t>
            </m:r>
          </m:e>
          <m:sub>
            <m:r>
              <m:t>0</m:t>
            </m:r>
          </m:sub>
        </m:sSub>
        <m:r>
          <m:rPr>
            <m:sty m:val="p"/>
          </m:rPr>
          <m:t>=</m:t>
        </m:r>
        <m:sSub>
          <m:e>
            <m:r>
              <m:t>e</m:t>
            </m:r>
          </m:e>
          <m:sub>
            <m:r>
              <m:t>2</m:t>
            </m:r>
          </m:sub>
        </m:sSub>
      </m:oMath>
      <w:r>
        <w:t xml:space="preserve">. Then</w:t>
      </w:r>
      <w:r>
        <w:t xml:space="preserve"> </w:t>
      </w:r>
      <m:oMath>
        <m:sSup>
          <m:e>
            <m:r>
              <m:t>U</m:t>
            </m:r>
          </m:e>
          <m:sup>
            <m:r>
              <m:t>k</m:t>
            </m:r>
          </m:sup>
        </m:sSup>
        <m:sSub>
          <m:e>
            <m:r>
              <m:t>x</m:t>
            </m:r>
          </m:e>
          <m:sub>
            <m:r>
              <m:t>0</m:t>
            </m:r>
          </m:sub>
        </m:sSub>
        <m:r>
          <m:rPr>
            <m:sty m:val="p"/>
          </m:rPr>
          <m:t>=</m:t>
        </m:r>
        <m:sSup>
          <m:e>
            <m:d>
              <m:dPr>
                <m:begChr m:val="("/>
                <m:endChr m:val=")"/>
                <m:sepChr m:val=""/>
                <m:grow/>
              </m:dPr>
              <m:e>
                <m:r>
                  <m:t>0</m:t>
                </m:r>
                <m:r>
                  <m:rPr>
                    <m:sty m:val="p"/>
                  </m:rPr>
                  <m:t>,</m:t>
                </m:r>
                <m:sSup>
                  <m:e>
                    <m:r>
                      <m:t>0.9</m:t>
                    </m:r>
                  </m:e>
                  <m:sup>
                    <m:r>
                      <m:t>k</m:t>
                    </m:r>
                  </m:sup>
                </m:sSup>
              </m:e>
            </m:d>
          </m:e>
          <m:sup>
            <m:r>
              <m:t>T</m:t>
            </m:r>
          </m:sup>
        </m:sSup>
        <m:r>
          <m:rPr>
            <m:sty m:val="p"/>
          </m:rPr>
          <m:t>→</m:t>
        </m:r>
        <m:r>
          <m:t>0</m:t>
        </m:r>
      </m:oMath>
      <w:r>
        <w:t xml:space="preserve">. In contrast, starting at</w:t>
      </w:r>
      <w:r>
        <w:t xml:space="preserve"> </w:t>
      </w:r>
      <m:oMath>
        <m:sSub>
          <m:e>
            <m:r>
              <m:t>e</m:t>
            </m:r>
          </m:e>
          <m:sub>
            <m:r>
              <m:t>1</m:t>
            </m:r>
          </m:sub>
        </m:sSub>
      </m:oMath>
      <w:r>
        <w:t xml:space="preserve"> </w:t>
      </w:r>
      <w:r>
        <w:t xml:space="preserve">gives</w:t>
      </w:r>
      <w:r>
        <w:t xml:space="preserve"> </w:t>
      </w:r>
      <m:oMath>
        <m:sSup>
          <m:e>
            <m:d>
              <m:dPr>
                <m:begChr m:val="("/>
                <m:endChr m:val=")"/>
                <m:sepChr m:val=""/>
                <m:grow/>
              </m:dPr>
              <m:e>
                <m:sSup>
                  <m:e>
                    <m:r>
                      <m:t>1.1</m:t>
                    </m:r>
                  </m:e>
                  <m:sup>
                    <m:r>
                      <m:t>k</m:t>
                    </m:r>
                  </m:sup>
                </m:sSup>
                <m:r>
                  <m:rPr>
                    <m:sty m:val="p"/>
                  </m:rPr>
                  <m:t>,</m:t>
                </m:r>
                <m:r>
                  <m:t>0</m:t>
                </m:r>
              </m:e>
            </m:d>
          </m:e>
          <m:sup>
            <m:r>
              <m:t>T</m:t>
            </m:r>
          </m:sup>
        </m:sSup>
      </m:oMath>
      <w:r>
        <w:t xml:space="preserve">, which grows. The spectral radius is 1.1, so the system does not decay for every initial state.</w:t>
      </w:r>
    </w:p>
    <w:p>
      <w:pPr>
        <w:pStyle w:val="BodyText"/>
      </w:pPr>
      <w:r>
        <w:t xml:space="preserve">Even</w:t>
      </w:r>
      <w:r>
        <w:t xml:space="preserve"> </w:t>
      </w:r>
      <m:oMath>
        <m:sSub>
          <m:e>
            <m:r>
              <m:t>x</m:t>
            </m:r>
          </m:e>
          <m:sub>
            <m:r>
              <m:t>0</m:t>
            </m:r>
          </m:sub>
        </m:sSub>
        <m:r>
          <m:rPr>
            <m:sty m:val="p"/>
          </m:rPr>
          <m:t>=</m:t>
        </m:r>
        <m:sSup>
          <m:e>
            <m:d>
              <m:dPr>
                <m:begChr m:val="("/>
                <m:endChr m:val=")"/>
                <m:sepChr m:val=""/>
                <m:grow/>
              </m:dPr>
              <m:e>
                <m:r>
                  <m:t>ε</m:t>
                </m:r>
                <m:r>
                  <m:rPr>
                    <m:sty m:val="p"/>
                  </m:rPr>
                  <m:t>,</m:t>
                </m:r>
                <m:r>
                  <m:t>1</m:t>
                </m:r>
              </m:e>
            </m:d>
          </m:e>
          <m:sup>
            <m:r>
              <m:t>T</m:t>
            </m:r>
          </m:sup>
        </m:sSup>
      </m:oMath>
      <w:r>
        <w:t xml:space="preserve"> </w:t>
      </w:r>
      <w:r>
        <w:t xml:space="preserve">with very small nonzero</w:t>
      </w:r>
      <w:r>
        <w:t xml:space="preserve"> </w:t>
      </w:r>
      <m:oMath>
        <m:r>
          <m:t>ε</m:t>
        </m:r>
      </m:oMath>
      <w:r>
        <w:t xml:space="preserve"> </w:t>
      </w:r>
      <w:r>
        <w:t xml:space="preserve">ultimately develops a growing first component:</w:t>
      </w:r>
      <w:r>
        <w:t xml:space="preserve"> </w:t>
      </w:r>
      <m:oMath>
        <m:sSup>
          <m:e>
            <m:d>
              <m:dPr>
                <m:begChr m:val="("/>
                <m:endChr m:val=")"/>
                <m:sepChr m:val=""/>
                <m:grow/>
              </m:dPr>
              <m:e>
                <m:r>
                  <m:t>ε</m:t>
                </m:r>
                <m:sSup>
                  <m:e>
                    <m:r>
                      <m:t>1.1</m:t>
                    </m:r>
                  </m:e>
                  <m:sup>
                    <m:r>
                      <m:t>k</m:t>
                    </m:r>
                  </m:sup>
                </m:sSup>
                <m:r>
                  <m:rPr>
                    <m:sty m:val="p"/>
                  </m:rPr>
                  <m:t>,</m:t>
                </m:r>
                <m:sSup>
                  <m:e>
                    <m:r>
                      <m:t>0.9</m:t>
                    </m:r>
                  </m:e>
                  <m:sup>
                    <m:r>
                      <m:t>k</m:t>
                    </m:r>
                  </m:sup>
                </m:sSup>
              </m:e>
            </m:d>
          </m:e>
          <m:sup>
            <m:r>
              <m:t>T</m:t>
            </m:r>
          </m:sup>
        </m:sSup>
      </m:oMath>
      <w:r>
        <w:t xml:space="preserve">. A short simulation can miss that behavior. One successful trajectory demonstrates only what happened for that start and time horizon.</w:t>
      </w:r>
    </w:p>
    <w:bookmarkEnd w:id="21"/>
    <w:bookmarkStart w:id="22" w:name="X107e8b2b9a4cc2cc97e12b7f202a57d77512a98"/>
    <w:p>
      <w:pPr>
        <w:pStyle w:val="Heading2"/>
      </w:pPr>
      <w:r>
        <w:t xml:space="preserve">Solution 7 - Eventual decay need not be monotone</w:t>
      </w:r>
    </w:p>
    <w:p>
      <w:pPr>
        <w:pStyle w:val="FirstParagraph"/>
      </w:pPr>
      <w:r>
        <w:t xml:space="preserve">The triangular matrix has eigenvalues 0.8 and 0.8. Thus</w:t>
      </w:r>
      <w:r>
        <w:t xml:space="preserve"> </w:t>
      </w:r>
      <m:oMath>
        <m:r>
          <m:t>ρ</m:t>
        </m:r>
        <m:d>
          <m:dPr>
            <m:begChr m:val="("/>
            <m:endChr m:val=")"/>
            <m:sepChr m:val=""/>
            <m:grow/>
          </m:dPr>
          <m:e>
            <m:r>
              <m:t>T</m:t>
            </m:r>
          </m:e>
        </m:d>
        <m:r>
          <m:rPr>
            <m:sty m:val="p"/>
          </m:rPr>
          <m:t>=</m:t>
        </m:r>
        <m:r>
          <m:t>0.8</m:t>
        </m:r>
        <m:r>
          <m:rPr>
            <m:sty m:val="p"/>
          </m:rPr>
          <m:t>&lt;</m:t>
        </m:r>
        <m:r>
          <m:t>1</m:t>
        </m:r>
      </m:oMath>
      <w:r>
        <w:t xml:space="preserve">. Write</w:t>
      </w:r>
      <w:r>
        <w:t xml:space="preserve"> </w:t>
      </w:r>
      <m:oMath>
        <m:r>
          <m:t>T</m:t>
        </m:r>
        <m:r>
          <m:rPr>
            <m:sty m:val="p"/>
          </m:rPr>
          <m:t>=</m:t>
        </m:r>
        <m:r>
          <m:t>0.8</m:t>
        </m:r>
        <m:r>
          <m:t>I</m:t>
        </m:r>
        <m:r>
          <m:rPr>
            <m:sty m:val="p"/>
          </m:rPr>
          <m:t>+</m:t>
        </m:r>
        <m:r>
          <m:t>4</m:t>
        </m:r>
        <m:r>
          <m:t>N</m:t>
        </m:r>
      </m:oMath>
      <w:r>
        <w:t xml:space="preserve"> </w:t>
      </w:r>
      <w:r>
        <w:t xml:space="preserve">using the same nilpotent</w:t>
      </w:r>
      <w:r>
        <w:t xml:space="preserve"> </w:t>
      </w:r>
      <m:oMath>
        <m:r>
          <m:t>N</m:t>
        </m:r>
      </m:oMath>
      <w:r>
        <w:t xml:space="preserve"> </w:t>
      </w:r>
      <w:r>
        <w:t xml:space="preserve">as in Solution 4. For</w:t>
      </w:r>
      <w:r>
        <w:t xml:space="preserve"> </w:t>
      </w:r>
      <m:oMath>
        <m:r>
          <m:t>k</m:t>
        </m:r>
        <m:r>
          <m:rPr>
            <m:sty m:val="p"/>
          </m:rPr>
          <m:t>≥</m:t>
        </m:r>
        <m:r>
          <m:t>1</m:t>
        </m:r>
      </m:oMath>
      <w:r>
        <w:t xml:space="preserve">,</w:t>
      </w:r>
    </w:p>
    <w:p>
      <w:pPr>
        <w:pStyle w:val="BodyText"/>
      </w:pPr>
      <m:oMathPara>
        <m:oMathParaPr>
          <m:jc m:val="center"/>
        </m:oMathParaPr>
        <m:oMath>
          <m:sSup>
            <m:e>
              <m:r>
                <m:t>T</m:t>
              </m:r>
            </m:e>
            <m:sup>
              <m:r>
                <m:t>k</m:t>
              </m:r>
            </m:sup>
          </m:sSup>
          <m:r>
            <m:rPr>
              <m:sty m:val="p"/>
            </m:rPr>
            <m:t>=</m:t>
          </m:r>
          <m:d>
            <m:dPr>
              <m:begChr m:val="("/>
              <m:endChr m:val=")"/>
              <m:sepChr m:val=""/>
              <m:grow/>
            </m:dPr>
            <m:e>
              <m:m>
                <m:mPr>
                  <m:baseJc m:val="center"/>
                  <m:plcHide m:val="on"/>
                  <m:mcs>
                    <m:mc>
                      <m:mcPr>
                        <m:mcJc m:val="center"/>
                        <m:count m:val="1"/>
                      </m:mcPr>
                    </m:mc>
                    <m:mc>
                      <m:mcPr>
                        <m:mcJc m:val="center"/>
                        <m:count m:val="1"/>
                      </m:mcPr>
                    </m:mc>
                  </m:mcs>
                </m:mPr>
                <m:mr>
                  <m:e>
                    <m:sSup>
                      <m:e>
                        <m:r>
                          <m:t>0.8</m:t>
                        </m:r>
                      </m:e>
                      <m:sup>
                        <m:r>
                          <m:t>k</m:t>
                        </m:r>
                      </m:sup>
                    </m:sSup>
                  </m:e>
                  <m:e>
                    <m:r>
                      <m:t>4</m:t>
                    </m:r>
                    <m:r>
                      <m:t>k</m:t>
                    </m:r>
                    <m:sSup>
                      <m:e>
                        <m:d>
                          <m:dPr>
                            <m:begChr m:val="("/>
                            <m:endChr m:val=")"/>
                            <m:sepChr m:val=""/>
                            <m:grow/>
                          </m:dPr>
                          <m:e>
                            <m:r>
                              <m:t>0.8</m:t>
                            </m:r>
                          </m:e>
                        </m:d>
                      </m:e>
                      <m:sup>
                        <m:r>
                          <m:t>k</m:t>
                        </m:r>
                        <m:r>
                          <m:rPr>
                            <m:sty m:val="p"/>
                          </m:rPr>
                          <m:t>−</m:t>
                        </m:r>
                        <m:r>
                          <m:t>1</m:t>
                        </m:r>
                      </m:sup>
                    </m:sSup>
                  </m:e>
                </m:mr>
                <m:mr>
                  <m:e>
                    <m:r>
                      <m:t>0</m:t>
                    </m:r>
                  </m:e>
                  <m:e>
                    <m:sSup>
                      <m:e>
                        <m:r>
                          <m:t>0.8</m:t>
                        </m:r>
                      </m:e>
                      <m:sup>
                        <m:r>
                          <m:t>k</m:t>
                        </m:r>
                      </m:sup>
                    </m:sSup>
                  </m:e>
                </m:mr>
              </m:m>
            </m:e>
          </m:d>
          <m:r>
            <m:rPr>
              <m:sty m:val="p"/>
            </m:rPr>
            <m:t>.</m:t>
          </m:r>
        </m:oMath>
      </m:oMathPara>
    </w:p>
    <w:p>
      <w:pPr>
        <w:pStyle w:val="FirstParagraph"/>
      </w:pPr>
      <w:r>
        <w:t xml:space="preserve">With</w:t>
      </w:r>
      <w:r>
        <w:t xml:space="preserve"> </w:t>
      </w:r>
      <m:oMath>
        <m:sSub>
          <m:e>
            <m:r>
              <m:t>x</m:t>
            </m:r>
          </m:e>
          <m:sub>
            <m:r>
              <m:t>0</m:t>
            </m:r>
          </m:sub>
        </m:sSub>
        <m:r>
          <m:rPr>
            <m:sty m:val="p"/>
          </m:rPr>
          <m:t>=</m:t>
        </m:r>
        <m:sSub>
          <m:e>
            <m:r>
              <m:t>e</m:t>
            </m:r>
          </m:e>
          <m:sub>
            <m:r>
              <m:t>2</m:t>
            </m:r>
          </m:sub>
        </m:sSub>
      </m:oMath>
      <w:r>
        <w:t xml:space="preserve">, the initial norm is 1. After one step</w:t>
      </w:r>
      <w:r>
        <w:t xml:space="preserve"> </w:t>
      </w:r>
      <m:oMath>
        <m:sSub>
          <m:e>
            <m:r>
              <m:t>x</m:t>
            </m:r>
          </m:e>
          <m:sub>
            <m:r>
              <m:t>1</m:t>
            </m:r>
          </m:sub>
        </m:sSub>
        <m:r>
          <m:rPr>
            <m:sty m:val="p"/>
          </m:rPr>
          <m:t>=</m:t>
        </m:r>
        <m:sSup>
          <m:e>
            <m:d>
              <m:dPr>
                <m:begChr m:val="("/>
                <m:endChr m:val=")"/>
                <m:sepChr m:val=""/>
                <m:grow/>
              </m:dPr>
              <m:e>
                <m:r>
                  <m:t>4</m:t>
                </m:r>
                <m:r>
                  <m:rPr>
                    <m:sty m:val="p"/>
                  </m:rPr>
                  <m:t>,</m:t>
                </m:r>
                <m:r>
                  <m:t>0.8</m:t>
                </m:r>
              </m:e>
            </m:d>
          </m:e>
          <m:sup>
            <m:r>
              <m:t>T</m:t>
            </m:r>
          </m:sup>
        </m:sSup>
      </m:oMath>
      <w:r>
        <w:t xml:space="preserve">, whose norm is</w:t>
      </w:r>
      <w:r>
        <w:t xml:space="preserve"> </w:t>
      </w:r>
      <m:oMath>
        <m:rad>
          <m:radPr>
            <m:degHide m:val="on"/>
          </m:radPr>
          <m:deg/>
          <m:e>
            <m:r>
              <m:t>16.64</m:t>
            </m:r>
          </m:e>
        </m:rad>
        <m:r>
          <m:rPr>
            <m:sty m:val="p"/>
          </m:rPr>
          <m:t>≈</m:t>
        </m:r>
        <m:r>
          <m:t>4.0792</m:t>
        </m:r>
      </m:oMath>
      <w:r>
        <w:t xml:space="preserve">. At step two</w:t>
      </w:r>
      <w:r>
        <w:t xml:space="preserve"> </w:t>
      </w:r>
      <m:oMath>
        <m:sSub>
          <m:e>
            <m:r>
              <m:t>x</m:t>
            </m:r>
          </m:e>
          <m:sub>
            <m:r>
              <m:t>2</m:t>
            </m:r>
          </m:sub>
        </m:sSub>
        <m:r>
          <m:rPr>
            <m:sty m:val="p"/>
          </m:rPr>
          <m:t>=</m:t>
        </m:r>
        <m:sSup>
          <m:e>
            <m:d>
              <m:dPr>
                <m:begChr m:val="("/>
                <m:endChr m:val=")"/>
                <m:sepChr m:val=""/>
                <m:grow/>
              </m:dPr>
              <m:e>
                <m:r>
                  <m:t>6.4</m:t>
                </m:r>
                <m:r>
                  <m:rPr>
                    <m:sty m:val="p"/>
                  </m:rPr>
                  <m:t>,</m:t>
                </m:r>
                <m:r>
                  <m:t>0.64</m:t>
                </m:r>
              </m:e>
            </m:d>
          </m:e>
          <m:sup>
            <m:r>
              <m:t>T</m:t>
            </m:r>
          </m:sup>
        </m:sSup>
      </m:oMath>
      <w:r>
        <w:t xml:space="preserve">. The coupling creates substantial transient amplification.</w:t>
      </w:r>
    </w:p>
    <w:p>
      <w:pPr>
        <w:pStyle w:val="BodyText"/>
      </w:pPr>
      <w:r>
        <w:t xml:space="preserve">Nevertheless, both</w:t>
      </w:r>
      <w:r>
        <w:t xml:space="preserve"> </w:t>
      </w:r>
      <m:oMath>
        <m:sSup>
          <m:e>
            <m:r>
              <m:t>0.8</m:t>
            </m:r>
          </m:e>
          <m:sup>
            <m:r>
              <m:t>k</m:t>
            </m:r>
          </m:sup>
        </m:sSup>
      </m:oMath>
      <w:r>
        <w:t xml:space="preserve"> </w:t>
      </w:r>
      <w:r>
        <w:t xml:space="preserve">and</w:t>
      </w:r>
      <w:r>
        <w:t xml:space="preserve"> </w:t>
      </w:r>
      <m:oMath>
        <m:r>
          <m:t>k</m:t>
        </m:r>
        <m:sSup>
          <m:e>
            <m:d>
              <m:dPr>
                <m:begChr m:val="("/>
                <m:endChr m:val=")"/>
                <m:sepChr m:val=""/>
                <m:grow/>
              </m:dPr>
              <m:e>
                <m:r>
                  <m:t>0.8</m:t>
                </m:r>
              </m:e>
            </m:d>
          </m:e>
          <m:sup>
            <m:r>
              <m:t>k</m:t>
            </m:r>
            <m:r>
              <m:rPr>
                <m:sty m:val="p"/>
              </m:rPr>
              <m:t>−</m:t>
            </m:r>
            <m:r>
              <m:t>1</m:t>
            </m:r>
          </m:sup>
        </m:sSup>
      </m:oMath>
      <w:r>
        <w:t xml:space="preserve"> </w:t>
      </w:r>
      <w:r>
        <w:t xml:space="preserve">tend to zero, so every state eventually decays.</w:t>
      </w:r>
      <w:r>
        <w:t xml:space="preserve"> </w:t>
      </w:r>
      <w:r>
        <w:rPr>
          <w:bCs/>
          <w:b/>
        </w:rPr>
        <w:t xml:space="preserve">Practical lesson:</w:t>
      </w:r>
      <w:r>
        <w:t xml:space="preserve"> </w:t>
      </w:r>
      <w:r>
        <w:t xml:space="preserve">a long-run stability claim does not guarantee acceptable short-run losses or loads. Examine trajectories, time horizons and operating limits as well as spectral radius.</w:t>
      </w:r>
    </w:p>
    <w:bookmarkEnd w:id="22"/>
    <w:bookmarkEnd w:id="23"/>
    <w:bookmarkStart w:id="24" w:name="worked-solution-8---covariance-and-pca"/>
    <w:p>
      <w:pPr>
        <w:pStyle w:val="Heading1"/>
      </w:pPr>
      <w:r>
        <w:t xml:space="preserve">Worked solution 8 - Covariance and PCA</w:t>
      </w:r>
    </w:p>
    <w:bookmarkStart w:id="20" w:name="center-the-observations"/>
    <w:p>
      <w:pPr>
        <w:pStyle w:val="Heading2"/>
      </w:pPr>
      <w:r>
        <w:t xml:space="preserve">Center the observations</w:t>
      </w:r>
    </w:p>
    <w:p>
      <w:pPr>
        <w:pStyle w:val="FirstParagraph"/>
      </w:pPr>
      <w:r>
        <w:t xml:space="preserve">The column means are</w:t>
      </w:r>
      <w:r>
        <w:t xml:space="preserve"> </w:t>
      </w:r>
      <m:oMath>
        <m:acc>
          <m:accPr>
            <m:chr m:val="‾"/>
          </m:accPr>
          <m:e>
            <m:r>
              <m:t>x</m:t>
            </m:r>
          </m:e>
        </m:acc>
        <m:r>
          <m:rPr>
            <m:sty m:val="p"/>
          </m:rPr>
          <m:t>=</m:t>
        </m:r>
        <m:d>
          <m:dPr>
            <m:begChr m:val="("/>
            <m:endChr m:val=")"/>
            <m:sepChr m:val=""/>
            <m:grow/>
          </m:dPr>
          <m:e>
            <m:r>
              <m:t>3.5</m:t>
            </m:r>
            <m:r>
              <m:rPr>
                <m:sty m:val="p"/>
              </m:rPr>
              <m:t>,</m:t>
            </m:r>
            <m:r>
              <m:t>2.375</m:t>
            </m:r>
          </m:e>
        </m:d>
      </m:oMath>
      <w:r>
        <w:t xml:space="preserve">. Subtract them from each row:</w:t>
      </w:r>
    </w:p>
    <w:p>
      <w:pPr>
        <w:pStyle w:val="BodyText"/>
      </w:pPr>
      <m:oMathPara>
        <m:oMathParaPr>
          <m:jc m:val="center"/>
        </m:oMathParaPr>
        <m:oMath>
          <m:sSub>
            <m:e>
              <m:r>
                <m:t>X</m:t>
              </m:r>
            </m:e>
            <m:sub>
              <m:r>
                <m:t>c</m:t>
              </m:r>
            </m:sub>
          </m:sSub>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1.5</m:t>
                    </m:r>
                  </m:e>
                  <m:e>
                    <m:r>
                      <m:rPr>
                        <m:sty m:val="p"/>
                      </m:rPr>
                      <m:t>−</m:t>
                    </m:r>
                    <m:r>
                      <m:t>1.375</m:t>
                    </m:r>
                  </m:e>
                </m:mr>
                <m:mr>
                  <m:e>
                    <m:r>
                      <m:rPr>
                        <m:sty m:val="p"/>
                      </m:rPr>
                      <m:t>−</m:t>
                    </m:r>
                    <m:r>
                      <m:t>0.5</m:t>
                    </m:r>
                  </m:e>
                  <m:e>
                    <m:r>
                      <m:rPr>
                        <m:sty m:val="p"/>
                      </m:rPr>
                      <m:t>−</m:t>
                    </m:r>
                    <m:r>
                      <m:t>0.375</m:t>
                    </m:r>
                  </m:e>
                </m:mr>
                <m:mr>
                  <m:e>
                    <m:r>
                      <m:t>0.5</m:t>
                    </m:r>
                  </m:e>
                  <m:e>
                    <m:r>
                      <m:t>0.125</m:t>
                    </m:r>
                  </m:e>
                </m:mr>
                <m:mr>
                  <m:e>
                    <m:r>
                      <m:t>1.5</m:t>
                    </m:r>
                  </m:e>
                  <m:e>
                    <m:r>
                      <m:t>1.625</m:t>
                    </m:r>
                  </m:e>
                </m:mr>
              </m:m>
            </m:e>
          </m:d>
          <m:r>
            <m:rPr>
              <m:sty m:val="p"/>
            </m:rPr>
            <m:t>.</m:t>
          </m:r>
        </m:oMath>
      </m:oMathPara>
    </w:p>
    <w:p>
      <w:pPr>
        <w:pStyle w:val="FirstParagraph"/>
      </w:pPr>
      <w:r>
        <w:t xml:space="preserve">The first centered sum of squares is 5; the second is 4.6875; the cross-product sum is 4.75. Since</w:t>
      </w:r>
      <w:r>
        <w:t xml:space="preserve"> </w:t>
      </w:r>
      <m:oMath>
        <m:r>
          <m:t>n</m:t>
        </m:r>
        <m:r>
          <m:rPr>
            <m:sty m:val="p"/>
          </m:rPr>
          <m:t>=</m:t>
        </m:r>
        <m:r>
          <m:t>4</m:t>
        </m:r>
      </m:oMath>
      <w:r>
        <w:t xml:space="preserve">, divide by 3:</w:t>
      </w:r>
    </w:p>
    <w:p>
      <w:pPr>
        <w:pStyle w:val="BodyText"/>
      </w:pPr>
      <m:oMathPara>
        <m:oMathParaPr>
          <m:jc m:val="center"/>
        </m:oMathParaPr>
        <m:oMath>
          <m:r>
            <m:t>C</m:t>
          </m:r>
          <m:r>
            <m:rPr>
              <m:sty m:val="p"/>
            </m:rPr>
            <m:t>=</m:t>
          </m:r>
          <m:f>
            <m:fPr>
              <m:type m:val="bar"/>
            </m:fPr>
            <m:num>
              <m:sSubSup>
                <m:e>
                  <m:r>
                    <m:t>X</m:t>
                  </m:r>
                </m:e>
                <m:sub>
                  <m:r>
                    <m:t>c</m:t>
                  </m:r>
                </m:sub>
                <m:sup>
                  <m:r>
                    <m:t>T</m:t>
                  </m:r>
                </m:sup>
              </m:sSubSup>
              <m:sSub>
                <m:e>
                  <m:r>
                    <m:t>X</m:t>
                  </m:r>
                </m:e>
                <m:sub>
                  <m:r>
                    <m:t>c</m:t>
                  </m:r>
                </m:sub>
              </m:sSub>
            </m:num>
            <m:den>
              <m:r>
                <m:t>3</m:t>
              </m:r>
            </m:den>
          </m:f>
          <m:r>
            <m:rPr>
              <m:sty m:val="p"/>
            </m:rPr>
            <m:t>=</m:t>
          </m:r>
          <m:d>
            <m:dPr>
              <m:begChr m:val="("/>
              <m:endChr m:val=")"/>
              <m:sepChr m:val=""/>
              <m:grow/>
            </m:dPr>
            <m:e>
              <m:m>
                <m:mPr>
                  <m:baseJc m:val="center"/>
                  <m:plcHide m:val="on"/>
                  <m:mcs>
                    <m:mc>
                      <m:mcPr>
                        <m:mcJc m:val="center"/>
                        <m:count m:val="1"/>
                      </m:mcPr>
                    </m:mc>
                    <m:mc>
                      <m:mcPr>
                        <m:mcJc m:val="center"/>
                        <m:count m:val="1"/>
                      </m:mcPr>
                    </m:mc>
                  </m:mcs>
                </m:mPr>
                <m:mr>
                  <m:e>
                    <m:r>
                      <m:t>5</m:t>
                    </m:r>
                    <m:r>
                      <m:rPr>
                        <m:sty m:val="p"/>
                      </m:rPr>
                      <m:t>/</m:t>
                    </m:r>
                    <m:r>
                      <m:t>3</m:t>
                    </m:r>
                  </m:e>
                  <m:e>
                    <m:r>
                      <m:t>19</m:t>
                    </m:r>
                    <m:r>
                      <m:rPr>
                        <m:sty m:val="p"/>
                      </m:rPr>
                      <m:t>/</m:t>
                    </m:r>
                    <m:r>
                      <m:t>12</m:t>
                    </m:r>
                  </m:e>
                </m:mr>
                <m:mr>
                  <m:e>
                    <m:r>
                      <m:t>19</m:t>
                    </m:r>
                    <m:r>
                      <m:rPr>
                        <m:sty m:val="p"/>
                      </m:rPr>
                      <m:t>/</m:t>
                    </m:r>
                    <m:r>
                      <m:t>12</m:t>
                    </m:r>
                  </m:e>
                  <m:e>
                    <m:r>
                      <m:t>25</m:t>
                    </m:r>
                    <m:r>
                      <m:rPr>
                        <m:sty m:val="p"/>
                      </m:rPr>
                      <m:t>/</m:t>
                    </m:r>
                    <m:r>
                      <m:t>16</m:t>
                    </m:r>
                  </m:e>
                </m:mr>
              </m:m>
            </m:e>
          </m:d>
          <m:r>
            <m:rPr>
              <m:sty m:val="p"/>
            </m:rPr>
            <m:t>.</m:t>
          </m:r>
        </m:oMath>
      </m:oMathPara>
    </w:p>
    <w:bookmarkEnd w:id="20"/>
    <w:bookmarkStart w:id="21" w:name="calculate-the-eigenvalues"/>
    <w:p>
      <w:pPr>
        <w:pStyle w:val="Heading2"/>
      </w:pPr>
      <w:r>
        <w:t xml:space="preserve">Calculate the eigenvalues</w:t>
      </w:r>
    </w:p>
    <w:p>
      <w:pPr>
        <w:pStyle w:val="FirstParagraph"/>
      </w:pPr>
      <w:r>
        <w:t xml:space="preserve">The trace is</w:t>
      </w:r>
      <w:r>
        <w:t xml:space="preserve"> </w:t>
      </w:r>
      <m:oMath>
        <m:r>
          <m:t>155</m:t>
        </m:r>
        <m:r>
          <m:rPr>
            <m:sty m:val="p"/>
          </m:rPr>
          <m:t>/</m:t>
        </m:r>
        <m:r>
          <m:t>48</m:t>
        </m:r>
      </m:oMath>
      <w:r>
        <w:t xml:space="preserve"> </w:t>
      </w:r>
      <w:r>
        <w:t xml:space="preserve">and the determinant is</w:t>
      </w:r>
      <w:r>
        <w:t xml:space="preserve"> </w:t>
      </w:r>
      <m:oMath>
        <m:r>
          <m:t>7</m:t>
        </m:r>
        <m:r>
          <m:rPr>
            <m:sty m:val="p"/>
          </m:rPr>
          <m:t>/</m:t>
        </m:r>
        <m:r>
          <m:t>72</m:t>
        </m:r>
      </m:oMath>
      <w:r>
        <w:t xml:space="preserve">. For a two-by-two matrix, the roots satisfy</w:t>
      </w:r>
      <w:r>
        <w:t xml:space="preserve"> </w:t>
      </w:r>
      <m:oMath>
        <m:sSup>
          <m:e>
            <m:r>
              <m:t>λ</m:t>
            </m:r>
          </m:e>
          <m:sup>
            <m:r>
              <m:t>2</m:t>
            </m:r>
          </m:sup>
        </m:sSup>
        <m:r>
          <m:rPr>
            <m:sty m:val="p"/>
          </m:rPr>
          <m:t>−</m:t>
        </m:r>
        <m:r>
          <m:rPr>
            <m:sty m:val="p"/>
          </m:rPr>
          <m:t>tr</m:t>
        </m:r>
        <m:d>
          <m:dPr>
            <m:begChr m:val="("/>
            <m:endChr m:val=")"/>
            <m:sepChr m:val=""/>
            <m:grow/>
          </m:dPr>
          <m:e>
            <m:r>
              <m:t>C</m:t>
            </m:r>
          </m:e>
        </m:d>
        <m:r>
          <m:t>λ</m:t>
        </m:r>
        <m:r>
          <m:rPr>
            <m:sty m:val="p"/>
          </m:rPr>
          <m:t>+</m:t>
        </m:r>
        <m:r>
          <m:rPr>
            <m:sty m:val="p"/>
          </m:rPr>
          <m:t>det</m:t>
        </m:r>
        <m:d>
          <m:dPr>
            <m:begChr m:val="("/>
            <m:endChr m:val=")"/>
            <m:sepChr m:val=""/>
            <m:grow/>
          </m:dPr>
          <m:e>
            <m:r>
              <m:t>C</m:t>
            </m:r>
          </m:e>
        </m:d>
        <m:r>
          <m:rPr>
            <m:sty m:val="p"/>
          </m:rPr>
          <m:t>=</m:t>
        </m:r>
        <m:r>
          <m:t>0</m:t>
        </m:r>
      </m:oMath>
      <w:r>
        <w:t xml:space="preserve">. Substitution yields</w:t>
      </w:r>
    </w:p>
    <w:p>
      <w:pPr>
        <w:pStyle w:val="BodyText"/>
      </w:pPr>
      <m:oMathPara>
        <m:oMathParaPr>
          <m:jc m:val="center"/>
        </m:oMathParaPr>
        <m:oMath>
          <m:sSub>
            <m:e>
              <m:r>
                <m:t>λ</m:t>
              </m:r>
            </m:e>
            <m:sub>
              <m:r>
                <m:t>1</m:t>
              </m:r>
              <m:r>
                <m:rPr>
                  <m:sty m:val="p"/>
                </m:rPr>
                <m:t>,</m:t>
              </m:r>
              <m:r>
                <m:t>2</m:t>
              </m:r>
            </m:sub>
          </m:sSub>
          <m:r>
            <m:rPr>
              <m:sty m:val="p"/>
            </m:rPr>
            <m:t>=</m:t>
          </m:r>
          <m:f>
            <m:fPr>
              <m:type m:val="bar"/>
            </m:fPr>
            <m:num>
              <m:r>
                <m:t>155</m:t>
              </m:r>
              <m:r>
                <m:rPr>
                  <m:sty m:val="p"/>
                </m:rPr>
                <m:t>±</m:t>
              </m:r>
              <m:rad>
                <m:radPr>
                  <m:degHide m:val="on"/>
                </m:radPr>
                <m:deg/>
                <m:e>
                  <m:r>
                    <m:t>23129</m:t>
                  </m:r>
                </m:e>
              </m:rad>
            </m:num>
            <m:den>
              <m:r>
                <m:t>96</m:t>
              </m:r>
            </m:den>
          </m:f>
          <m:r>
            <m:rPr>
              <m:sty m:val="p"/>
            </m:rPr>
            <m:t>,</m:t>
          </m:r>
        </m:oMath>
      </m:oMathPara>
    </w:p>
    <w:p>
      <w:pPr>
        <w:pStyle w:val="FirstParagraph"/>
      </w:pPr>
      <w:r>
        <w:t xml:space="preserve">or approximately 3.19877307 and 0.03039360. Their sum equals the trace and their product equals the determinant; these are independent arithmetic checks. Both are positive, as expected for this full-rank sample covariance matrix.</w:t>
      </w:r>
    </w:p>
    <w:bookmarkEnd w:id="21"/>
    <w:bookmarkStart w:id="22" w:name="interpret-the-proportions-carefully"/>
    <w:p>
      <w:pPr>
        <w:pStyle w:val="Heading2"/>
      </w:pPr>
      <w:r>
        <w:t xml:space="preserve">Interpret the proportions carefully</w:t>
      </w:r>
    </w:p>
    <w:p>
      <w:pPr>
        <w:pStyle w:val="FirstParagraph"/>
      </w:pPr>
      <w:r>
        <w:t xml:space="preserve">Divide each eigenvalue by the total variance</w:t>
      </w:r>
      <w:r>
        <w:t xml:space="preserve"> </w:t>
      </w:r>
      <m:oMath>
        <m:r>
          <m:t>155</m:t>
        </m:r>
        <m:r>
          <m:rPr>
            <m:sty m:val="p"/>
          </m:rPr>
          <m:t>/</m:t>
        </m:r>
        <m:r>
          <m:t>48</m:t>
        </m:r>
      </m:oMath>
      <w:r>
        <w:t xml:space="preserve">. The proportions are approximately 0.99058779 and 0.00941221, or 99.0588% and 0.9412%. The first principal component retains almost all of the variance in these four centered observations, using the supplied units.</w:t>
      </w:r>
    </w:p>
    <w:p>
      <w:pPr>
        <w:pStyle w:val="BodyText"/>
      </w:pPr>
      <w:r>
        <w:t xml:space="preserve">For a unit covariance eigenvector</w:t>
      </w:r>
      <w:r>
        <w:t xml:space="preserve"> </w:t>
      </w:r>
      <m:oMath>
        <m:r>
          <m:t>q</m:t>
        </m:r>
      </m:oMath>
      <w:r>
        <w:t xml:space="preserve">, the score column is</w:t>
      </w:r>
      <w:r>
        <w:t xml:space="preserve"> </w:t>
      </w:r>
      <m:oMath>
        <m:sSub>
          <m:e>
            <m:r>
              <m:t>X</m:t>
            </m:r>
          </m:e>
          <m:sub>
            <m:r>
              <m:t>c</m:t>
            </m:r>
          </m:sub>
        </m:sSub>
        <m:r>
          <m:t>q</m:t>
        </m:r>
      </m:oMath>
      <w:r>
        <w:t xml:space="preserve">, and its sample variance is</w:t>
      </w:r>
      <w:r>
        <w:t xml:space="preserve"> </w:t>
      </w:r>
      <m:oMath>
        <m:sSup>
          <m:e>
            <m:r>
              <m:t>q</m:t>
            </m:r>
          </m:e>
          <m:sup>
            <m:r>
              <m:t>T</m:t>
            </m:r>
          </m:sup>
        </m:sSup>
        <m:r>
          <m:t>C</m:t>
        </m:r>
        <m:r>
          <m:t>q</m:t>
        </m:r>
        <m:r>
          <m:rPr>
            <m:sty m:val="p"/>
          </m:rPr>
          <m:t>=</m:t>
        </m:r>
        <m:r>
          <m:t>λ</m:t>
        </m:r>
      </m:oMath>
      <w:r>
        <w:t xml:space="preserve">. This connects the algebra to the statistical interpretation.</w:t>
      </w:r>
    </w:p>
    <w:bookmarkEnd w:id="22"/>
    <w:bookmarkStart w:id="23" w:name="why-divide-by-n-minus-one"/>
    <w:p>
      <w:pPr>
        <w:pStyle w:val="Heading2"/>
      </w:pPr>
      <w:r>
        <w:t xml:space="preserve">Why divide by n minus one?</w:t>
      </w:r>
    </w:p>
    <w:p>
      <w:pPr>
        <w:pStyle w:val="FirstParagraph"/>
      </w:pPr>
      <w:r>
        <w:t xml:space="preserve">Estimating the mean from the sample imposes a centered-sum constraint, leaving</w:t>
      </w:r>
      <w:r>
        <w:t xml:space="preserve"> </w:t>
      </w:r>
      <m:oMath>
        <m:r>
          <m:t>n</m:t>
        </m:r>
        <m:r>
          <m:rPr>
            <m:sty m:val="p"/>
          </m:rPr>
          <m:t>−</m:t>
        </m:r>
        <m:r>
          <m:t>1</m:t>
        </m:r>
      </m:oMath>
      <w:r>
        <w:t xml:space="preserve"> </w:t>
      </w:r>
      <w:r>
        <w:t xml:space="preserve">degrees of freedom for each variable. Under independent, identically distributed sampling with finite second moments, this correction makes the sample covariance unbiased for population covariance. It does not cure selection bias, dependence or measurement error.</w:t>
      </w:r>
    </w:p>
    <w:p>
      <w:pPr>
        <w:pStyle w:val="BodyText"/>
      </w:pPr>
      <w:r>
        <w:rPr>
          <w:bCs/>
          <w:b/>
        </w:rPr>
        <w:t xml:space="preserve">Limits:</w:t>
      </w:r>
      <w:r>
        <w:t xml:space="preserve"> </w:t>
      </w:r>
      <w:r>
        <w:t xml:space="preserve">four synthetic observations do not establish reliable population structure or predictive performance. PCA maximizes retained variance, not causal relevance. Rescaling one variable changes covariance PCA; standardizing is a separate modeling choice that must be disclosed. A high variance ratio is not an out-of-sample accuracy score.</w:t>
      </w:r>
    </w:p>
    <w:bookmarkEnd w:id="23"/>
    <w:bookmarkEnd w:id="24"/>
    <w:bookmarkStart w:id="22" w:name="worked-solutions-9-10"/>
    <w:p>
      <w:pPr>
        <w:pStyle w:val="Heading1"/>
      </w:pPr>
      <w:r>
        <w:t xml:space="preserve">Worked solutions 9-10</w:t>
      </w:r>
    </w:p>
    <w:bookmarkStart w:id="20" w:name="Xece22e275b3fc008a2db0546a16211cb3212fe0"/>
    <w:p>
      <w:pPr>
        <w:pStyle w:val="Heading2"/>
      </w:pPr>
      <w:r>
        <w:t xml:space="preserve">Solution 9 - A model direction, not a spending formula</w:t>
      </w:r>
    </w:p>
    <w:p>
      <w:pPr>
        <w:pStyle w:val="FirstParagraph"/>
      </w:pPr>
      <w:r>
        <w:t xml:space="preserve">Under the stated convention,</w:t>
      </w:r>
      <w:r>
        <w:t xml:space="preserve"> </w:t>
      </w:r>
      <m:oMath>
        <m:sSub>
          <m:e>
            <m:r>
              <m:t>M</m:t>
            </m:r>
          </m:e>
          <m:sub>
            <m:r>
              <m:t>i</m:t>
            </m:r>
            <m:r>
              <m:t>j</m:t>
            </m:r>
          </m:sub>
        </m:sSub>
      </m:oMath>
      <w:r>
        <w:t xml:space="preserve"> </w:t>
      </w:r>
      <w:r>
        <w:t xml:space="preserve">maps component</w:t>
      </w:r>
      <w:r>
        <w:t xml:space="preserve"> </w:t>
      </w:r>
      <m:oMath>
        <m:r>
          <m:t>j</m:t>
        </m:r>
      </m:oMath>
      <w:r>
        <w:t xml:space="preserve"> </w:t>
      </w:r>
      <w:r>
        <w:t xml:space="preserve">into next-period component</w:t>
      </w:r>
      <w:r>
        <w:t xml:space="preserve"> </w:t>
      </w:r>
      <m:oMath>
        <m:r>
          <m:t>i</m:t>
        </m:r>
      </m:oMath>
      <w:r>
        <w:t xml:space="preserve">. Multiplying</w:t>
      </w:r>
      <w:r>
        <w:t xml:space="preserve"> </w:t>
      </w:r>
      <m:oMath>
        <m:r>
          <m:t>M</m:t>
        </m:r>
      </m:oMath>
      <w:r>
        <w:t xml:space="preserve"> </w:t>
      </w:r>
      <w:r>
        <w:t xml:space="preserve">by the reported positive vector gives approximately 1.31148205 times that vector. Along this direction the model scales by about 31.15% per step. The time step and units are hypothetical; this is not a forecast of annual economic growth.</w:t>
      </w:r>
    </w:p>
    <w:p>
      <w:pPr>
        <w:pStyle w:val="BodyText"/>
      </w:pPr>
      <w:r>
        <w:t xml:space="preserve">Row sums are</w:t>
      </w:r>
      <w:r>
        <w:t xml:space="preserve"> </w:t>
      </w:r>
      <m:oMath>
        <m:d>
          <m:dPr>
            <m:begChr m:val="("/>
            <m:endChr m:val=")"/>
            <m:sepChr m:val=""/>
            <m:grow/>
          </m:dPr>
          <m:e>
            <m:r>
              <m:t>1.15</m:t>
            </m:r>
            <m:r>
              <m:rPr>
                <m:sty m:val="p"/>
              </m:rPr>
              <m:t>,</m:t>
            </m:r>
            <m:r>
              <m:t>1.25</m:t>
            </m:r>
            <m:r>
              <m:rPr>
                <m:sty m:val="p"/>
              </m:rPr>
              <m:t>,</m:t>
            </m:r>
            <m:r>
              <m:t>1.40</m:t>
            </m:r>
            <m:r>
              <m:rPr>
                <m:sty m:val="p"/>
              </m:rPr>
              <m:t>,</m:t>
            </m:r>
            <m:r>
              <m:t>1.40</m:t>
            </m:r>
          </m:e>
        </m:d>
      </m:oMath>
      <w:r>
        <w:t xml:space="preserve"> </w:t>
      </w:r>
      <w:r>
        <w:t xml:space="preserve">and column sums are</w:t>
      </w:r>
      <w:r>
        <w:t xml:space="preserve"> </w:t>
      </w:r>
      <m:oMath>
        <m:d>
          <m:dPr>
            <m:begChr m:val="("/>
            <m:endChr m:val=")"/>
            <m:sepChr m:val=""/>
            <m:grow/>
          </m:dPr>
          <m:e>
            <m:r>
              <m:t>1.25</m:t>
            </m:r>
            <m:r>
              <m:rPr>
                <m:sty m:val="p"/>
              </m:rPr>
              <m:t>,</m:t>
            </m:r>
            <m:r>
              <m:t>1.15</m:t>
            </m:r>
            <m:r>
              <m:rPr>
                <m:sty m:val="p"/>
              </m:rPr>
              <m:t>,</m:t>
            </m:r>
            <m:r>
              <m:t>1.55</m:t>
            </m:r>
            <m:r>
              <m:rPr>
                <m:sty m:val="p"/>
              </m:rPr>
              <m:t>,</m:t>
            </m:r>
            <m:r>
              <m:t>1.25</m:t>
            </m:r>
          </m:e>
        </m:d>
      </m:oMath>
      <w:r>
        <w:t xml:space="preserve">. Neither set is all ones, so the matrix is neither row-stochastic nor column-stochastic. Normalizing an eigenvector does not turn the matrix into a transition-probability model.</w:t>
      </w:r>
    </w:p>
    <w:p>
      <w:pPr>
        <w:pStyle w:val="BodyText"/>
      </w:pPr>
      <w:r>
        <w:t xml:space="preserve">The displayed components sum to approximately one (rounding causes a tiny discrepancy). Energy and Transport have the larger components of this particular mode. Their values are not optimal budget shares, probabilities of success or estimated causal effects.</w:t>
      </w:r>
    </w:p>
    <w:p>
      <w:pPr>
        <w:pStyle w:val="BodyText"/>
      </w:pPr>
      <w:r>
        <w:t xml:space="preserve">Three separate missing ingredients prevent an allocation recommendation: the coefficients are invented rather than validated against observations; interventions are not causally identified; and the model contains no explicit objective, costs, budget constraints or distributional requirements. A fourth concern is sensitivity to uncertain coefficients and an uncertain time horizon.</w:t>
      </w:r>
    </w:p>
    <w:p>
      <w:pPr>
        <w:pStyle w:val="BodyText"/>
      </w:pPr>
      <w:r>
        <w:rPr>
          <w:bCs/>
          <w:b/>
        </w:rPr>
        <w:t xml:space="preserve">Defensible conclusion:</w:t>
      </w:r>
      <w:r>
        <w:t xml:space="preserve"> </w:t>
      </w:r>
      <w:r>
        <w:t xml:space="preserve">this specified synthetic linear system has an amplifying dominant mode. Further empirical and decision analysis would be needed before operational use.</w:t>
      </w:r>
    </w:p>
    <w:bookmarkEnd w:id="20"/>
    <w:bookmarkStart w:id="21" w:name="Xc87785af0b978380d8048b0306c80f16e63644a"/>
    <w:p>
      <w:pPr>
        <w:pStyle w:val="Heading2"/>
      </w:pPr>
      <w:r>
        <w:t xml:space="preserve">Solution 10 - A correct eigenpair may not be dominant</w:t>
      </w:r>
    </w:p>
    <w:p>
      <w:pPr>
        <w:pStyle w:val="FirstParagraph"/>
      </w:pPr>
      <w:r>
        <w:t xml:space="preserve">The numerator measures the failure of the eigenpair equation for a unit vector. Scaling by matrix and eigenvalue magnitudes makes the residual easier to compare across examples. A small value supports numerical consistency with an approximate eigenpair; it does not, alone, prove dominance or small eigenvector error for an ill-conditioned problem.</w:t>
      </w:r>
    </w:p>
    <w:p>
      <w:pPr>
        <w:pStyle w:val="BodyText"/>
      </w:pPr>
      <w:r>
        <w:t xml:space="preserve">Take</w:t>
      </w:r>
      <w:r>
        <w:t xml:space="preserve"> </w:t>
      </w:r>
      <m:oMath>
        <m:r>
          <m:t>A</m:t>
        </m:r>
        <m:r>
          <m:rPr>
            <m:sty m:val="p"/>
          </m:rPr>
          <m:t>=</m:t>
        </m:r>
        <m:r>
          <m:rPr>
            <m:sty m:val="p"/>
          </m:rPr>
          <m:t>diag</m:t>
        </m:r>
        <m:d>
          <m:dPr>
            <m:begChr m:val="("/>
            <m:endChr m:val=")"/>
            <m:sepChr m:val=""/>
            <m:grow/>
          </m:dPr>
          <m:e>
            <m:r>
              <m:t>3</m:t>
            </m:r>
            <m:r>
              <m:rPr>
                <m:sty m:val="p"/>
              </m:rPr>
              <m:t>,</m:t>
            </m:r>
            <m:r>
              <m:t>1</m:t>
            </m:r>
          </m:e>
        </m:d>
      </m:oMath>
      <w:r>
        <w:t xml:space="preserve">,</w:t>
      </w:r>
      <w:r>
        <w:t xml:space="preserve"> </w:t>
      </w:r>
      <m:oMath>
        <m:r>
          <m:t>u</m:t>
        </m:r>
        <m:r>
          <m:rPr>
            <m:sty m:val="p"/>
          </m:rPr>
          <m:t>=</m:t>
        </m:r>
        <m:sSub>
          <m:e>
            <m:r>
              <m:t>e</m:t>
            </m:r>
          </m:e>
          <m:sub>
            <m:r>
              <m:t>2</m:t>
            </m:r>
          </m:sub>
        </m:sSub>
      </m:oMath>
      <w:r>
        <w:t xml:space="preserve"> </w:t>
      </w:r>
      <w:r>
        <w:t xml:space="preserve">and</w:t>
      </w:r>
      <w:r>
        <w:t xml:space="preserve"> </w:t>
      </w:r>
      <m:oMath>
        <m:r>
          <m:t>λ</m:t>
        </m:r>
        <m:r>
          <m:rPr>
            <m:sty m:val="p"/>
          </m:rPr>
          <m:t>=</m:t>
        </m:r>
        <m:r>
          <m:t>1</m:t>
        </m:r>
      </m:oMath>
      <w:r>
        <w:t xml:space="preserve">. Then</w:t>
      </w:r>
      <w:r>
        <w:t xml:space="preserve"> </w:t>
      </w:r>
      <m:oMath>
        <m:r>
          <m:t>A</m:t>
        </m:r>
        <m:r>
          <m:t>u</m:t>
        </m:r>
        <m:r>
          <m:rPr>
            <m:sty m:val="p"/>
          </m:rPr>
          <m:t>−</m:t>
        </m:r>
        <m:r>
          <m:t>λ</m:t>
        </m:r>
        <m:r>
          <m:t>u</m:t>
        </m:r>
        <m:r>
          <m:rPr>
            <m:sty m:val="p"/>
          </m:rPr>
          <m:t>=</m:t>
        </m:r>
        <m:r>
          <m:t>0</m:t>
        </m:r>
      </m:oMath>
      <w:r>
        <w:t xml:space="preserve">, so</w:t>
      </w:r>
      <w:r>
        <w:t xml:space="preserve"> </w:t>
      </w:r>
      <m:oMath>
        <m:r>
          <m:t>r</m:t>
        </m:r>
        <m:r>
          <m:rPr>
            <m:sty m:val="p"/>
          </m:rPr>
          <m:t>=</m:t>
        </m:r>
        <m:r>
          <m:t>0</m:t>
        </m:r>
      </m:oMath>
      <w:r>
        <w:t xml:space="preserve">. Nevertheless, the spectral radius is 3 and this eigenpair is nondominant. Power iteration started exactly at</w:t>
      </w:r>
      <w:r>
        <w:t xml:space="preserve"> </w:t>
      </w:r>
      <m:oMath>
        <m:sSub>
          <m:e>
            <m:r>
              <m:t>e</m:t>
            </m:r>
          </m:e>
          <m:sub>
            <m:r>
              <m:t>2</m:t>
            </m:r>
          </m:sub>
        </m:sSub>
      </m:oMath>
      <w:r>
        <w:t xml:space="preserve"> </w:t>
      </w:r>
      <w:r>
        <w:t xml:space="preserve">can remain there.</w:t>
      </w:r>
    </w:p>
    <w:p>
      <w:pPr>
        <w:pStyle w:val="BodyText"/>
      </w:pPr>
      <w:r>
        <w:t xml:space="preserve">For these small examples, compute all eigenvalues with a dense eigensolver and compare magnitudes, then check the residual separately. For larger problems, use justified convergence assumptions or an appropriate spectral method. A unique largest modulus and a suitable initial component are important assumptions, not automatic facts.</w:t>
      </w:r>
    </w:p>
    <w:p>
      <w:pPr>
        <w:pStyle w:val="BodyText"/>
      </w:pPr>
      <w:r>
        <w:t xml:space="preserve">If the denominator is zero,</w:t>
      </w:r>
      <w:r>
        <w:t xml:space="preserve"> </w:t>
      </w:r>
      <m:oMath>
        <m:r>
          <m:t>A</m:t>
        </m:r>
        <m:r>
          <m:rPr>
            <m:sty m:val="p"/>
          </m:rPr>
          <m:t>=</m:t>
        </m:r>
        <m:r>
          <m:t>0</m:t>
        </m:r>
      </m:oMath>
      <w:r>
        <w:t xml:space="preserve"> </w:t>
      </w:r>
      <w:r>
        <w:t xml:space="preserve">and</w:t>
      </w:r>
      <w:r>
        <w:t xml:space="preserve"> </w:t>
      </w:r>
      <m:oMath>
        <m:r>
          <m:t>λ</m:t>
        </m:r>
        <m:r>
          <m:rPr>
            <m:sty m:val="p"/>
          </m:rPr>
          <m:t>=</m:t>
        </m:r>
        <m:r>
          <m:t>0</m:t>
        </m:r>
      </m:oMath>
      <w:r>
        <w:t xml:space="preserve">; using the numerator avoids division by zero. Always reject a zero candidate vector before normalization. A successful arithmetic check is not evidence that the underlying model represents reality.</w:t>
      </w:r>
    </w:p>
    <w:bookmarkEnd w:id="21"/>
    <w:bookmarkEnd w:id="22"/>
    <w:bookmarkStart w:id="24" w:name="laboratory-verification-and-review"/>
    <w:p>
      <w:pPr>
        <w:pStyle w:val="Heading1"/>
      </w:pPr>
      <w:r>
        <w:t xml:space="preserve">Laboratory verification and review</w:t>
      </w:r>
    </w:p>
    <w:bookmarkStart w:id="20" w:name="work-from-the-tested-notebook"/>
    <w:p>
      <w:pPr>
        <w:pStyle w:val="Heading2"/>
      </w:pPr>
      <w:r>
        <w:t xml:space="preserve">Work from the tested notebook</w:t>
      </w:r>
    </w:p>
    <w:p>
      <w:pPr>
        <w:pStyle w:val="FirstParagraph"/>
      </w:pPr>
      <w:r>
        <w:t xml:space="preserve">Use</w:t>
      </w:r>
      <w:r>
        <w:t xml:space="preserve"> </w:t>
      </w:r>
      <w:r>
        <w:rPr>
          <w:bCs/>
          <w:b/>
        </w:rPr>
        <w:t xml:space="preserve">M1_N06_eigenvalues_eigenvectors_spectral_intuition_v0.1.0.ipynb</w:t>
      </w:r>
      <w:r>
        <w:t xml:space="preserve"> </w:t>
      </w:r>
      <w:r>
        <w:t xml:space="preserve">and its matching dependency package. Start a fresh kernel or Colab runtime and run all cells in order, including setup and the final checks. Do not replace the bundled srai_math package, change its hashes, skip assertions or disable checks merely to obtain a pass.</w:t>
      </w:r>
    </w:p>
    <w:p>
      <w:pPr>
        <w:pStyle w:val="BodyText"/>
      </w:pPr>
      <w:r>
        <w:t xml:space="preserve">The notebook’s explicit reference iteration and residual safeguards address limitations in the bundled prerelease runtime. A generic call to another power-iteration routine is not an equivalent acceptance test. Preserve the versioned dependency instructions.</w:t>
      </w:r>
    </w:p>
    <w:bookmarkEnd w:id="20"/>
    <w:bookmarkStart w:id="21" w:name="independent-arithmetic-cross-check"/>
    <w:p>
      <w:pPr>
        <w:pStyle w:val="Heading2"/>
      </w:pPr>
      <w:r>
        <w:t xml:space="preserve">Independent arithmetic cross-check</w:t>
      </w:r>
    </w:p>
    <w:p>
      <w:pPr>
        <w:pStyle w:val="FirstParagraph"/>
      </w:pPr>
      <w:r>
        <w:t xml:space="preserve">The following optional cell uses NumPy already available in the notebook environment. It does not replace the notebook’s srai_math checks.</w:t>
      </w:r>
    </w:p>
    <w:p>
      <w:pPr>
        <w:pStyle w:val="SourceCode"/>
        <w:spacing w:line="240" w:lineRule="auto"/>
      </w:pPr>
      <w:r>
        <w:rPr>
          <w:rStyle w:val="ImportTok"/>
          <w:rFonts w:ascii="Consolas" w:hAnsi="Consolas"/>
          <w:sz w:val="18"/>
        </w:rPr>
        <w:t xml:space="preserve">import</w:t>
      </w:r>
      <w:r>
        <w:rPr>
          <w:rStyle w:val="NormalTok"/>
          <w:rFonts w:ascii="Consolas" w:hAnsi="Consolas"/>
          <w:sz w:val="18"/>
        </w:rPr>
        <w:t xml:space="preserve"> numpy </w:t>
      </w:r>
      <w:r>
        <w:rPr>
          <w:rStyle w:val="ImportTok"/>
          <w:rFonts w:ascii="Consolas" w:hAnsi="Consolas"/>
          <w:sz w:val="18"/>
        </w:rPr>
        <w:t xml:space="preserve">as</w:t>
      </w:r>
      <w:r>
        <w:rPr>
          <w:rStyle w:val="NormalTok"/>
          <w:rFonts w:ascii="Consolas" w:hAnsi="Consolas"/>
          <w:sz w:val="18"/>
        </w:rPr>
        <w:t xml:space="preserve"> np</w:t>
      </w:r>
      <w:r>
        <w:rPr>
          <w:rFonts w:ascii="Consolas" w:hAnsi="Consolas"/>
          <w:sz w:val="18"/>
        </w:rPr>
        <w:br/>
      </w:r>
      <w:r>
        <w:rPr>
          <w:rStyle w:val="NormalTok"/>
          <w:rFonts w:ascii="Consolas" w:hAnsi="Consolas"/>
          <w:sz w:val="18"/>
        </w:rPr>
        <w:t xml:space="preserve">S </w:t>
      </w:r>
      <w:r>
        <w:rPr>
          <w:rStyle w:val="OperatorTok"/>
          <w:rFonts w:ascii="Consolas" w:hAnsi="Consolas"/>
          <w:sz w:val="18"/>
        </w:rPr>
        <w:t xml:space="preserve">=</w:t>
      </w:r>
      <w:r>
        <w:rPr>
          <w:rStyle w:val="NormalTok"/>
          <w:rFonts w:ascii="Consolas" w:hAnsi="Consolas"/>
          <w:sz w:val="18"/>
        </w:rPr>
        <w:t xml:space="preserve"> np.array([[</w:t>
      </w:r>
      <w:r>
        <w:rPr>
          <w:rStyle w:val="FloatTok"/>
          <w:rFonts w:ascii="Consolas" w:hAnsi="Consolas"/>
          <w:sz w:val="18"/>
        </w:rPr>
        <w:t xml:space="preserve">2.</w:t>
      </w:r>
      <w:r>
        <w:rPr>
          <w:rStyle w:val="NormalTok"/>
          <w:rFonts w:ascii="Consolas" w:hAnsi="Consolas"/>
          <w:sz w:val="18"/>
        </w:rPr>
        <w:t xml:space="preserve">, </w:t>
      </w:r>
      <w:r>
        <w:rPr>
          <w:rStyle w:val="FloatTok"/>
          <w:rFonts w:ascii="Consolas" w:hAnsi="Consolas"/>
          <w:sz w:val="18"/>
        </w:rPr>
        <w:t xml:space="preserve">1.</w:t>
      </w:r>
      <w:r>
        <w:rPr>
          <w:rStyle w:val="NormalTok"/>
          <w:rFonts w:ascii="Consolas" w:hAnsi="Consolas"/>
          <w:sz w:val="18"/>
        </w:rPr>
        <w:t xml:space="preserve">], [</w:t>
      </w:r>
      <w:r>
        <w:rPr>
          <w:rStyle w:val="FloatTok"/>
          <w:rFonts w:ascii="Consolas" w:hAnsi="Consolas"/>
          <w:sz w:val="18"/>
        </w:rPr>
        <w:t xml:space="preserve">1.</w:t>
      </w:r>
      <w:r>
        <w:rPr>
          <w:rStyle w:val="NormalTok"/>
          <w:rFonts w:ascii="Consolas" w:hAnsi="Consolas"/>
          <w:sz w:val="18"/>
        </w:rPr>
        <w:t xml:space="preserve">, </w:t>
      </w:r>
      <w:r>
        <w:rPr>
          <w:rStyle w:val="FloatTok"/>
          <w:rFonts w:ascii="Consolas" w:hAnsi="Consolas"/>
          <w:sz w:val="18"/>
        </w:rPr>
        <w:t xml:space="preserve">2.</w:t>
      </w:r>
      <w:r>
        <w:rPr>
          <w:rStyle w:val="NormalTok"/>
          <w:rFonts w:ascii="Consolas" w:hAnsi="Consolas"/>
          <w:sz w:val="18"/>
        </w:rPr>
        <w:t xml:space="preserve">]])</w:t>
      </w:r>
      <w:r>
        <w:rPr>
          <w:rFonts w:ascii="Consolas" w:hAnsi="Consolas"/>
          <w:sz w:val="18"/>
        </w:rPr>
        <w:br/>
      </w:r>
      <w:r>
        <w:rPr>
          <w:rStyle w:val="ControlFlowTok"/>
          <w:rFonts w:ascii="Consolas" w:hAnsi="Consolas"/>
          <w:sz w:val="18"/>
        </w:rPr>
        <w:t xml:space="preserve">assert</w:t>
      </w:r>
      <w:r>
        <w:rPr>
          <w:rStyle w:val="NormalTok"/>
          <w:rFonts w:ascii="Consolas" w:hAnsi="Consolas"/>
          <w:sz w:val="18"/>
        </w:rPr>
        <w:t xml:space="preserve"> np.allclose(np.linalg.matrix_power(S, </w:t>
      </w:r>
      <w:r>
        <w:rPr>
          <w:rStyle w:val="DecValTok"/>
          <w:rFonts w:ascii="Consolas" w:hAnsi="Consolas"/>
          <w:sz w:val="18"/>
        </w:rPr>
        <w:t xml:space="preserve">10</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                   [[</w:t>
      </w:r>
      <w:r>
        <w:rPr>
          <w:rStyle w:val="DecValTok"/>
          <w:rFonts w:ascii="Consolas" w:hAnsi="Consolas"/>
          <w:sz w:val="18"/>
        </w:rPr>
        <w:t xml:space="preserve">29525</w:t>
      </w:r>
      <w:r>
        <w:rPr>
          <w:rStyle w:val="NormalTok"/>
          <w:rFonts w:ascii="Consolas" w:hAnsi="Consolas"/>
          <w:sz w:val="18"/>
        </w:rPr>
        <w:t xml:space="preserve">, </w:t>
      </w:r>
      <w:r>
        <w:rPr>
          <w:rStyle w:val="DecValTok"/>
          <w:rFonts w:ascii="Consolas" w:hAnsi="Consolas"/>
          <w:sz w:val="18"/>
        </w:rPr>
        <w:t xml:space="preserve">29524</w:t>
      </w:r>
      <w:r>
        <w:rPr>
          <w:rStyle w:val="NormalTok"/>
          <w:rFonts w:ascii="Consolas" w:hAnsi="Consolas"/>
          <w:sz w:val="18"/>
        </w:rPr>
        <w:t xml:space="preserve">], [</w:t>
      </w:r>
      <w:r>
        <w:rPr>
          <w:rStyle w:val="DecValTok"/>
          <w:rFonts w:ascii="Consolas" w:hAnsi="Consolas"/>
          <w:sz w:val="18"/>
        </w:rPr>
        <w:t xml:space="preserve">29524</w:t>
      </w:r>
      <w:r>
        <w:rPr>
          <w:rStyle w:val="NormalTok"/>
          <w:rFonts w:ascii="Consolas" w:hAnsi="Consolas"/>
          <w:sz w:val="18"/>
        </w:rPr>
        <w:t xml:space="preserve">, </w:t>
      </w:r>
      <w:r>
        <w:rPr>
          <w:rStyle w:val="DecValTok"/>
          <w:rFonts w:ascii="Consolas" w:hAnsi="Consolas"/>
          <w:sz w:val="18"/>
        </w:rPr>
        <w:t xml:space="preserve">29525</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X </w:t>
      </w:r>
      <w:r>
        <w:rPr>
          <w:rStyle w:val="OperatorTok"/>
          <w:rFonts w:ascii="Consolas" w:hAnsi="Consolas"/>
          <w:sz w:val="18"/>
        </w:rPr>
        <w:t xml:space="preserve">=</w:t>
      </w:r>
      <w:r>
        <w:rPr>
          <w:rStyle w:val="NormalTok"/>
          <w:rFonts w:ascii="Consolas" w:hAnsi="Consolas"/>
          <w:sz w:val="18"/>
        </w:rPr>
        <w:t xml:space="preserve"> np.array([[</w:t>
      </w:r>
      <w:r>
        <w:rPr>
          <w:rStyle w:val="FloatTok"/>
          <w:rFonts w:ascii="Consolas" w:hAnsi="Consolas"/>
          <w:sz w:val="18"/>
        </w:rPr>
        <w:t xml:space="preserve">2.</w:t>
      </w:r>
      <w:r>
        <w:rPr>
          <w:rStyle w:val="NormalTok"/>
          <w:rFonts w:ascii="Consolas" w:hAnsi="Consolas"/>
          <w:sz w:val="18"/>
        </w:rPr>
        <w:t xml:space="preserve">, </w:t>
      </w:r>
      <w:r>
        <w:rPr>
          <w:rStyle w:val="FloatTok"/>
          <w:rFonts w:ascii="Consolas" w:hAnsi="Consolas"/>
          <w:sz w:val="18"/>
        </w:rPr>
        <w:t xml:space="preserve">1.</w:t>
      </w:r>
      <w:r>
        <w:rPr>
          <w:rStyle w:val="NormalTok"/>
          <w:rFonts w:ascii="Consolas" w:hAnsi="Consolas"/>
          <w:sz w:val="18"/>
        </w:rPr>
        <w:t xml:space="preserve">], [</w:t>
      </w:r>
      <w:r>
        <w:rPr>
          <w:rStyle w:val="FloatTok"/>
          <w:rFonts w:ascii="Consolas" w:hAnsi="Consolas"/>
          <w:sz w:val="18"/>
        </w:rPr>
        <w:t xml:space="preserve">3.</w:t>
      </w:r>
      <w:r>
        <w:rPr>
          <w:rStyle w:val="NormalTok"/>
          <w:rFonts w:ascii="Consolas" w:hAnsi="Consolas"/>
          <w:sz w:val="18"/>
        </w:rPr>
        <w:t xml:space="preserve">, </w:t>
      </w:r>
      <w:r>
        <w:rPr>
          <w:rStyle w:val="FloatTok"/>
          <w:rFonts w:ascii="Consolas" w:hAnsi="Consolas"/>
          <w:sz w:val="18"/>
        </w:rPr>
        <w:t xml:space="preserve">2.</w:t>
      </w:r>
      <w:r>
        <w:rPr>
          <w:rStyle w:val="NormalTok"/>
          <w:rFonts w:ascii="Consolas" w:hAnsi="Consolas"/>
          <w:sz w:val="18"/>
        </w:rPr>
        <w:t xml:space="preserve">], [</w:t>
      </w:r>
      <w:r>
        <w:rPr>
          <w:rStyle w:val="FloatTok"/>
          <w:rFonts w:ascii="Consolas" w:hAnsi="Consolas"/>
          <w:sz w:val="18"/>
        </w:rPr>
        <w:t xml:space="preserve">4.</w:t>
      </w:r>
      <w:r>
        <w:rPr>
          <w:rStyle w:val="NormalTok"/>
          <w:rFonts w:ascii="Consolas" w:hAnsi="Consolas"/>
          <w:sz w:val="18"/>
        </w:rPr>
        <w:t xml:space="preserve">, </w:t>
      </w:r>
      <w:r>
        <w:rPr>
          <w:rStyle w:val="FloatTok"/>
          <w:rFonts w:ascii="Consolas" w:hAnsi="Consolas"/>
          <w:sz w:val="18"/>
        </w:rPr>
        <w:t xml:space="preserve">2.5</w:t>
      </w:r>
      <w:r>
        <w:rPr>
          <w:rStyle w:val="NormalTok"/>
          <w:rFonts w:ascii="Consolas" w:hAnsi="Consolas"/>
          <w:sz w:val="18"/>
        </w:rPr>
        <w:t xml:space="preserve">], [</w:t>
      </w:r>
      <w:r>
        <w:rPr>
          <w:rStyle w:val="FloatTok"/>
          <w:rFonts w:ascii="Consolas" w:hAnsi="Consolas"/>
          <w:sz w:val="18"/>
        </w:rPr>
        <w:t xml:space="preserve">5.</w:t>
      </w:r>
      <w:r>
        <w:rPr>
          <w:rStyle w:val="NormalTok"/>
          <w:rFonts w:ascii="Consolas" w:hAnsi="Consolas"/>
          <w:sz w:val="18"/>
        </w:rPr>
        <w:t xml:space="preserve">, </w:t>
      </w:r>
      <w:r>
        <w:rPr>
          <w:rStyle w:val="FloatTok"/>
          <w:rFonts w:ascii="Consolas" w:hAnsi="Consolas"/>
          <w:sz w:val="18"/>
        </w:rPr>
        <w:t xml:space="preserve">4.</w:t>
      </w:r>
      <w:r>
        <w:rPr>
          <w:rStyle w:val="NormalTok"/>
          <w:rFonts w:ascii="Consolas" w:hAnsi="Consolas"/>
          <w:sz w:val="18"/>
        </w:rPr>
        <w:t xml:space="preserve">]])</w:t>
      </w:r>
      <w:r>
        <w:rPr>
          <w:rFonts w:ascii="Consolas" w:hAnsi="Consolas"/>
          <w:sz w:val="18"/>
        </w:rPr>
        <w:br/>
      </w:r>
      <w:r>
        <w:rPr>
          <w:rStyle w:val="NormalTok"/>
          <w:rFonts w:ascii="Consolas" w:hAnsi="Consolas"/>
          <w:sz w:val="18"/>
        </w:rPr>
        <w:t xml:space="preserve">C </w:t>
      </w:r>
      <w:r>
        <w:rPr>
          <w:rStyle w:val="OperatorTok"/>
          <w:rFonts w:ascii="Consolas" w:hAnsi="Consolas"/>
          <w:sz w:val="18"/>
        </w:rPr>
        <w:t xml:space="preserve">=</w:t>
      </w:r>
      <w:r>
        <w:rPr>
          <w:rStyle w:val="NormalTok"/>
          <w:rFonts w:ascii="Consolas" w:hAnsi="Consolas"/>
          <w:sz w:val="18"/>
        </w:rPr>
        <w:t xml:space="preserve"> np.cov(X, rowvar</w:t>
      </w:r>
      <w:r>
        <w:rPr>
          <w:rStyle w:val="OperatorTok"/>
          <w:rFonts w:ascii="Consolas" w:hAnsi="Consolas"/>
          <w:sz w:val="18"/>
        </w:rPr>
        <w:t xml:space="preserve">=</w:t>
      </w:r>
      <w:r>
        <w:rPr>
          <w:rStyle w:val="VariableTok"/>
          <w:rFonts w:ascii="Consolas" w:hAnsi="Consolas"/>
          <w:sz w:val="18"/>
        </w:rPr>
        <w:t xml:space="preserve">False</w:t>
      </w:r>
      <w:r>
        <w:rPr>
          <w:rStyle w:val="NormalTok"/>
          <w:rFonts w:ascii="Consolas" w:hAnsi="Consolas"/>
          <w:sz w:val="18"/>
        </w:rPr>
        <w:t xml:space="preserve">, ddof</w:t>
      </w:r>
      <w:r>
        <w:rPr>
          <w:rStyle w:val="OperatorTok"/>
          <w:rFonts w:ascii="Consolas" w:hAnsi="Consolas"/>
          <w:sz w:val="18"/>
        </w:rPr>
        <w:t xml:space="preserve">=</w:t>
      </w:r>
      <w:r>
        <w:rPr>
          <w:rStyle w:val="DecValTok"/>
          <w:rFonts w:ascii="Consolas" w:hAnsi="Consolas"/>
          <w:sz w:val="18"/>
        </w:rPr>
        <w:t xml:space="preserve">1</w:t>
      </w:r>
      <w:r>
        <w:rPr>
          <w:rStyle w:val="NormalTok"/>
          <w:rFonts w:ascii="Consolas" w:hAnsi="Consolas"/>
          <w:sz w:val="18"/>
        </w:rPr>
        <w:t xml:space="preserve">)</w:t>
      </w:r>
      <w:r>
        <w:rPr>
          <w:rFonts w:ascii="Consolas" w:hAnsi="Consolas"/>
          <w:sz w:val="18"/>
        </w:rPr>
        <w:br/>
      </w:r>
      <w:r>
        <w:rPr>
          <w:rStyle w:val="ControlFlowTok"/>
          <w:rFonts w:ascii="Consolas" w:hAnsi="Consolas"/>
          <w:sz w:val="18"/>
        </w:rPr>
        <w:t xml:space="preserve">assert</w:t>
      </w:r>
      <w:r>
        <w:rPr>
          <w:rStyle w:val="NormalTok"/>
          <w:rFonts w:ascii="Consolas" w:hAnsi="Consolas"/>
          <w:sz w:val="18"/>
        </w:rPr>
        <w:t xml:space="preserve"> np.allclose(C, [[</w:t>
      </w:r>
      <w:r>
        <w:rPr>
          <w:rStyle w:val="DecValTok"/>
          <w:rFonts w:ascii="Consolas" w:hAnsi="Consolas"/>
          <w:sz w:val="18"/>
        </w:rPr>
        <w:t xml:space="preserve">5</w:t>
      </w:r>
      <w:r>
        <w:rPr>
          <w:rStyle w:val="OperatorTok"/>
          <w:rFonts w:ascii="Consolas" w:hAnsi="Consolas"/>
          <w:sz w:val="18"/>
        </w:rPr>
        <w:t xml:space="preserve">/</w:t>
      </w:r>
      <w:r>
        <w:rPr>
          <w:rStyle w:val="DecValTok"/>
          <w:rFonts w:ascii="Consolas" w:hAnsi="Consolas"/>
          <w:sz w:val="18"/>
        </w:rPr>
        <w:t xml:space="preserve">3</w:t>
      </w:r>
      <w:r>
        <w:rPr>
          <w:rStyle w:val="NormalTok"/>
          <w:rFonts w:ascii="Consolas" w:hAnsi="Consolas"/>
          <w:sz w:val="18"/>
        </w:rPr>
        <w:t xml:space="preserve">, </w:t>
      </w:r>
      <w:r>
        <w:rPr>
          <w:rStyle w:val="DecValTok"/>
          <w:rFonts w:ascii="Consolas" w:hAnsi="Consolas"/>
          <w:sz w:val="18"/>
        </w:rPr>
        <w:t xml:space="preserve">19</w:t>
      </w:r>
      <w:r>
        <w:rPr>
          <w:rStyle w:val="OperatorTok"/>
          <w:rFonts w:ascii="Consolas" w:hAnsi="Consolas"/>
          <w:sz w:val="18"/>
        </w:rPr>
        <w:t xml:space="preserve">/</w:t>
      </w:r>
      <w:r>
        <w:rPr>
          <w:rStyle w:val="DecValTok"/>
          <w:rFonts w:ascii="Consolas" w:hAnsi="Consolas"/>
          <w:sz w:val="18"/>
        </w:rPr>
        <w:t xml:space="preserve">12</w:t>
      </w:r>
      <w:r>
        <w:rPr>
          <w:rStyle w:val="NormalTok"/>
          <w:rFonts w:ascii="Consolas" w:hAnsi="Consolas"/>
          <w:sz w:val="18"/>
        </w:rPr>
        <w:t xml:space="preserve">], [</w:t>
      </w:r>
      <w:r>
        <w:rPr>
          <w:rStyle w:val="DecValTok"/>
          <w:rFonts w:ascii="Consolas" w:hAnsi="Consolas"/>
          <w:sz w:val="18"/>
        </w:rPr>
        <w:t xml:space="preserve">19</w:t>
      </w:r>
      <w:r>
        <w:rPr>
          <w:rStyle w:val="OperatorTok"/>
          <w:rFonts w:ascii="Consolas" w:hAnsi="Consolas"/>
          <w:sz w:val="18"/>
        </w:rPr>
        <w:t xml:space="preserve">/</w:t>
      </w:r>
      <w:r>
        <w:rPr>
          <w:rStyle w:val="DecValTok"/>
          <w:rFonts w:ascii="Consolas" w:hAnsi="Consolas"/>
          <w:sz w:val="18"/>
        </w:rPr>
        <w:t xml:space="preserve">12</w:t>
      </w:r>
      <w:r>
        <w:rPr>
          <w:rStyle w:val="NormalTok"/>
          <w:rFonts w:ascii="Consolas" w:hAnsi="Consolas"/>
          <w:sz w:val="18"/>
        </w:rPr>
        <w:t xml:space="preserve">, </w:t>
      </w:r>
      <w:r>
        <w:rPr>
          <w:rStyle w:val="DecValTok"/>
          <w:rFonts w:ascii="Consolas" w:hAnsi="Consolas"/>
          <w:sz w:val="18"/>
        </w:rPr>
        <w:t xml:space="preserve">25</w:t>
      </w:r>
      <w:r>
        <w:rPr>
          <w:rStyle w:val="OperatorTok"/>
          <w:rFonts w:ascii="Consolas" w:hAnsi="Consolas"/>
          <w:sz w:val="18"/>
        </w:rPr>
        <w:t xml:space="preserve">/</w:t>
      </w:r>
      <w:r>
        <w:rPr>
          <w:rStyle w:val="DecValTok"/>
          <w:rFonts w:ascii="Consolas" w:hAnsi="Consolas"/>
          <w:sz w:val="18"/>
        </w:rPr>
        <w:t xml:space="preserve">16</w:t>
      </w:r>
      <w:r>
        <w:rPr>
          <w:rStyle w:val="NormalTok"/>
          <w:rFonts w:ascii="Consolas" w:hAnsi="Consolas"/>
          <w:sz w:val="18"/>
        </w:rPr>
        <w:t xml:space="preserve">]])</w:t>
      </w:r>
      <w:r>
        <w:rPr>
          <w:rFonts w:ascii="Consolas" w:hAnsi="Consolas"/>
          <w:sz w:val="18"/>
        </w:rPr>
        <w:br/>
      </w:r>
      <w:r>
        <w:rPr>
          <w:rStyle w:val="ControlFlowTok"/>
          <w:rFonts w:ascii="Consolas" w:hAnsi="Consolas"/>
          <w:sz w:val="18"/>
        </w:rPr>
        <w:t xml:space="preserve">assert</w:t>
      </w:r>
      <w:r>
        <w:rPr>
          <w:rStyle w:val="NormalTok"/>
          <w:rFonts w:ascii="Consolas" w:hAnsi="Consolas"/>
          <w:sz w:val="18"/>
        </w:rPr>
        <w:t xml:space="preserve"> np.allclose(np.linalg.eigvalsh(C),</w:t>
      </w:r>
      <w:r>
        <w:rPr>
          <w:rFonts w:ascii="Consolas" w:hAnsi="Consolas"/>
          <w:sz w:val="18"/>
        </w:rPr>
        <w:br/>
      </w:r>
      <w:r>
        <w:rPr>
          <w:rStyle w:val="NormalTok"/>
          <w:rFonts w:ascii="Consolas" w:hAnsi="Consolas"/>
          <w:sz w:val="18"/>
        </w:rPr>
        <w:t xml:space="preserve">                   [</w:t>
      </w:r>
      <w:r>
        <w:rPr>
          <w:rStyle w:val="FloatTok"/>
          <w:rFonts w:ascii="Consolas" w:hAnsi="Consolas"/>
          <w:sz w:val="18"/>
        </w:rPr>
        <w:t xml:space="preserve">0.03039360</w:t>
      </w:r>
      <w:r>
        <w:rPr>
          <w:rStyle w:val="NormalTok"/>
          <w:rFonts w:ascii="Consolas" w:hAnsi="Consolas"/>
          <w:sz w:val="18"/>
        </w:rPr>
        <w:t xml:space="preserve">, </w:t>
      </w:r>
      <w:r>
        <w:rPr>
          <w:rStyle w:val="FloatTok"/>
          <w:rFonts w:ascii="Consolas" w:hAnsi="Consolas"/>
          <w:sz w:val="18"/>
        </w:rPr>
        <w:t xml:space="preserve">3.19877307</w:t>
      </w:r>
      <w:r>
        <w:rPr>
          <w:rStyle w:val="NormalTok"/>
          <w:rFonts w:ascii="Consolas" w:hAnsi="Consolas"/>
          <w:sz w:val="18"/>
        </w:rPr>
        <w:t xml:space="preserve">])</w:t>
      </w:r>
      <w:r>
        <w:rPr>
          <w:rFonts w:ascii="Consolas" w:hAnsi="Consolas"/>
          <w:sz w:val="18"/>
        </w:rPr>
        <w:br/>
      </w:r>
      <w:r>
        <w:rPr>
          <w:rStyle w:val="BuiltInTok"/>
          <w:rFonts w:ascii="Consolas" w:hAnsi="Consolas"/>
          <w:sz w:val="18"/>
        </w:rPr>
        <w:t xml:space="preserve">print</w:t>
      </w:r>
      <w:r>
        <w:rPr>
          <w:rStyle w:val="NormalTok"/>
          <w:rFonts w:ascii="Consolas" w:hAnsi="Consolas"/>
          <w:sz w:val="18"/>
        </w:rPr>
        <w:t xml:space="preserve">(</w:t>
      </w:r>
      <w:r>
        <w:rPr>
          <w:rStyle w:val="StringTok"/>
          <w:rFonts w:ascii="Consolas" w:hAnsi="Consolas"/>
          <w:sz w:val="18"/>
        </w:rPr>
        <w:t xml:space="preserve">"Independent arithmetic checks: PASS"</w:t>
      </w:r>
      <w:r>
        <w:rPr>
          <w:rStyle w:val="NormalTok"/>
          <w:rFonts w:ascii="Consolas" w:hAnsi="Consolas"/>
          <w:sz w:val="18"/>
        </w:rPr>
        <w:t xml:space="preserve">)</w:t>
      </w:r>
    </w:p>
    <w:p>
      <w:pPr>
        <w:pStyle w:val="FirstParagraph"/>
      </w:pPr>
      <w:r>
        <w:t xml:space="preserve">Expected output:</w:t>
      </w:r>
      <w:r>
        <w:t xml:space="preserve"> </w:t>
      </w:r>
      <w:r>
        <w:rPr>
          <w:bCs/>
          <w:b/>
        </w:rPr>
        <w:t xml:space="preserve">Independent arithmetic checks: PASS</w:t>
      </w:r>
      <w:r>
        <w:t xml:space="preserve">. An assertion failure means stop and compare the inputs, centering, denominator and operation with the stated problem. For a missing NumPy import, select the intended kernel and rerun the notebook’s approved setup. Do not install an unrelated package named srai_math.</w:t>
      </w:r>
    </w:p>
    <w:bookmarkEnd w:id="21"/>
    <w:bookmarkStart w:id="22" w:name="what-to-retain"/>
    <w:p>
      <w:pPr>
        <w:pStyle w:val="Heading2"/>
      </w:pPr>
      <w:r>
        <w:t xml:space="preserve">What to retain</w:t>
      </w:r>
    </w:p>
    <w:p>
      <w:pPr>
        <w:pStyle w:val="FirstParagraph"/>
      </w:pPr>
      <w:r>
        <w:t xml:space="preserve">Keep your written derivations, the executed notebook, its filename/version, Python and package versions, and the complete final test output. Check that formulas and figures render correctly, not only that code executes. Never include passwords, environment-file contents or database backups in the submission.</w:t>
      </w:r>
    </w:p>
    <w:bookmarkEnd w:id="22"/>
    <w:bookmarkStart w:id="23" w:name="completion-standard"/>
    <w:p>
      <w:pPr>
        <w:pStyle w:val="Heading2"/>
      </w:pPr>
      <w:r>
        <w:t xml:space="preserve">Completion standard</w:t>
      </w:r>
    </w:p>
    <w:p>
      <w:pPr>
        <w:pStyle w:val="FirstParagraph"/>
      </w:pPr>
      <w:r>
        <w:t xml:space="preserve">A complete response gives the ten answers with reasoning, distinguishes norm index from squaring, explains the two convergence counterexamples, and states why the sector weights are not allocations. Report failed checks honestly. The previously reported VS Code and Colab passes concern the notebook; they do not constitute independent review of this new companion.</w:t>
      </w:r>
    </w:p>
    <w:p>
      <w:pPr>
        <w:pStyle w:val="BodyText"/>
      </w:pPr>
      <w:r>
        <w:t xml:space="preserve">Source: approved Lesson 6 chapter v0.1.0, sections 6.3-6.9, and its matching notebook, sections 2-9. This companion is a new review candidate. The approved chapter and tested notebook have not been modified; companion approval and publication authorization remain pending.</w:t>
      </w:r>
    </w:p>
    <w:bookmarkEnd w:id="23"/>
    <w:bookmarkEnd w:id="24"/>
    <w:sectPr>
      <w:headerReference w:type="default" r:id="rId9"/>
      <w:footerReference w:type="default" r:id="rId10"/>
      <w:pgSz w:w="12240" w:h="15840"/>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PU-B01-C06 | Exercises and Solutions | v0.1.0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SRAI | BOOK 1: MATHEMATICAL FOUNDATIONS</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8116">
    <w:nsid w:val="A998116"/>
    <w:multiLevelType w:val="multilevel"/>
    <w:lvl w:ilvl="0">
      <w:start w:val="16"/>
      <w:numFmt w:val="upperLetter"/>
      <w:lvlText w:val="%1."/>
      <w:lvlJc w:val="left"/>
      <w:pPr>
        <w:ind w:left="720" w:hanging="480"/>
      </w:pPr>
    </w:lvl>
    <w:lvl w:ilvl="1">
      <w:start w:val="16"/>
      <w:numFmt w:val="upperLetter"/>
      <w:lvlText w:val="%2."/>
      <w:lvlJc w:val="left"/>
      <w:pPr>
        <w:ind w:left="1440" w:hanging="480"/>
      </w:pPr>
    </w:lvl>
    <w:lvl w:ilvl="2">
      <w:start w:val="16"/>
      <w:numFmt w:val="upperLetter"/>
      <w:lvlText w:val="%3."/>
      <w:lvlJc w:val="left"/>
      <w:pPr>
        <w:ind w:left="2160" w:hanging="480"/>
      </w:pPr>
    </w:lvl>
    <w:lvl w:ilvl="3">
      <w:start w:val="16"/>
      <w:numFmt w:val="upperLetter"/>
      <w:lvlText w:val="%4."/>
      <w:lvlJc w:val="left"/>
      <w:pPr>
        <w:ind w:left="2880" w:hanging="480"/>
      </w:pPr>
    </w:lvl>
    <w:lvl w:ilvl="4">
      <w:start w:val="16"/>
      <w:numFmt w:val="upperLetter"/>
      <w:lvlText w:val="%5."/>
      <w:lvlJc w:val="left"/>
      <w:pPr>
        <w:ind w:left="3600" w:hanging="480"/>
      </w:pPr>
    </w:lvl>
    <w:lvl w:ilvl="5">
      <w:start w:val="16"/>
      <w:numFmt w:val="upperLetter"/>
      <w:lvlText w:val="%6."/>
      <w:lvlJc w:val="left"/>
      <w:pPr>
        <w:ind w:left="4320" w:hanging="480"/>
      </w:pPr>
    </w:lvl>
    <w:lvl w:ilvl="6">
      <w:start w:val="16"/>
      <w:numFmt w:val="upperLetter"/>
      <w:lvlText w:val="%7."/>
      <w:lvlJc w:val="left"/>
      <w:pPr>
        <w:ind w:left="5040" w:hanging="480"/>
      </w:pPr>
    </w:lvl>
    <w:lvl w:ilvl="7">
      <w:start w:val="16"/>
      <w:numFmt w:val="upperLetter"/>
      <w:lvlText w:val="%8."/>
      <w:lvlJc w:val="left"/>
      <w:pPr>
        <w:ind w:left="5760" w:hanging="480"/>
      </w:pPr>
    </w:lvl>
    <w:lvl w:ilvl="8">
      <w:start w:val="16"/>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1"/>
  </w:num>
  <w:num w:numId="103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2">
    <w:abstractNumId w:val="998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53">
    <w:abstractNumId w:val="991"/>
  </w:num>
  <w:num w:numId="105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5">
    <w:abstractNumId w:val="991"/>
  </w:num>
  <w:num w:numId="105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1"/>
  </w:num>
  <w:num w:numId="106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1"/>
  </w:num>
  <w:num w:numId="10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2">
    <w:abstractNumId w:val="991"/>
  </w:num>
  <w:num w:numId="107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1"/>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1"/>
  </w:num>
  <w:num w:numId="109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1"/>
  </w:num>
  <w:num w:numId="109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7">
    <w:abstractNumId w:val="991"/>
  </w:num>
  <w:num w:numId="11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9">
    <w:abstractNumId w:val="991"/>
  </w:num>
  <w:num w:numId="111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1"/>
  </w:num>
  <w:num w:numId="11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9">
    <w:abstractNumId w:val="991"/>
  </w:num>
  <w:num w:numId="11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1">
    <w:abstractNumId w:val="991"/>
  </w:num>
  <w:num w:numId="112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9">
    <w:abstractNumId w:val="991"/>
  </w:num>
  <w:num w:numId="11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1">
    <w:abstractNumId w:val="991"/>
  </w:num>
  <w:num w:numId="113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3">
    <w:abstractNumId w:val="991"/>
  </w:num>
  <w:num w:numId="11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2">
    <w:abstractNumId w:val="991"/>
  </w:num>
  <w:num w:numId="114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1"/>
  </w:num>
  <w:num w:numId="11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6">
    <w:abstractNumId w:val="991"/>
  </w:num>
  <w:num w:numId="114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1"/>
  </w:num>
  <w:num w:numId="11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7">
    <w:abstractNumId w:val="991"/>
  </w:num>
  <w:num w:numId="115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1"/>
  </w:num>
  <w:num w:numId="116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1"/>
  </w:num>
  <w:num w:numId="116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9">
    <w:abstractNumId w:val="991"/>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9">
    <w:abstractNumId w:val="991"/>
  </w:num>
  <w:num w:numId="118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1">
    <w:abstractNumId w:val="991"/>
  </w:num>
  <w:num w:numId="118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83">
    <w:abstractNumId w:val="991"/>
  </w:num>
  <w:num w:numId="118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85">
    <w:abstractNumId w:val="991"/>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1">
    <w:abstractNumId w:val="991"/>
  </w:num>
  <w:num w:numId="119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3">
    <w:abstractNumId w:val="991"/>
  </w:num>
  <w:num w:numId="119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5">
    <w:abstractNumId w:val="991"/>
  </w:num>
  <w:num w:numId="119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3">
    <w:abstractNumId w:val="991"/>
  </w:num>
  <w:num w:numId="12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05">
    <w:abstractNumId w:val="991"/>
  </w:num>
  <w:num w:numId="12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7">
    <w:abstractNumId w:val="991"/>
  </w:num>
  <w:num w:numId="12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9">
    <w:abstractNumId w:val="991"/>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6">
    <w:abstractNumId w:val="991"/>
  </w:num>
  <w:num w:numId="12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18">
    <w:abstractNumId w:val="991"/>
  </w:num>
  <w:num w:numId="12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20">
    <w:abstractNumId w:val="991"/>
  </w:num>
  <w:num w:numId="12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1"/>
  </w:num>
  <w:num w:numId="12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8">
    <w:abstractNumId w:val="991"/>
  </w:num>
  <w:num w:numId="12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30">
    <w:abstractNumId w:val="991"/>
  </w:num>
  <w:num w:numId="12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32">
    <w:abstractNumId w:val="991"/>
  </w:num>
  <w:num w:numId="12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40">
    <w:abstractNumId w:val="991"/>
  </w:num>
  <w:num w:numId="12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42">
    <w:abstractNumId w:val="991"/>
  </w:num>
  <w:num w:numId="124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44">
    <w:abstractNumId w:val="991"/>
  </w:num>
  <w:num w:numId="124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52">
    <w:abstractNumId w:val="991"/>
  </w:num>
  <w:num w:numId="12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4">
    <w:abstractNumId w:val="991"/>
  </w:num>
  <w:num w:numId="125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56">
    <w:abstractNumId w:val="991"/>
  </w:num>
  <w:num w:numId="125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64">
    <w:abstractNumId w:val="991"/>
  </w:num>
  <w:num w:numId="126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66">
    <w:abstractNumId w:val="991"/>
  </w:num>
  <w:num w:numId="126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68">
    <w:abstractNumId w:val="991"/>
  </w:num>
  <w:num w:numId="12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6">
    <w:abstractNumId w:val="991"/>
  </w:num>
  <w:num w:numId="127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8">
    <w:abstractNumId w:val="991"/>
  </w:num>
  <w:num w:numId="127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80">
    <w:abstractNumId w:val="991"/>
  </w:num>
  <w:num w:numId="128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8">
    <w:abstractNumId w:val="991"/>
  </w:num>
  <w:num w:numId="12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90">
    <w:abstractNumId w:val="991"/>
  </w:num>
  <w:num w:numId="12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92">
    <w:abstractNumId w:val="991"/>
  </w:num>
  <w:num w:numId="12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01">
    <w:abstractNumId w:val="991"/>
  </w:num>
  <w:num w:numId="13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03">
    <w:abstractNumId w:val="991"/>
  </w:num>
  <w:num w:numId="13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05">
    <w:abstractNumId w:val="991"/>
  </w:num>
  <w:num w:numId="13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13">
    <w:abstractNumId w:val="991"/>
  </w:num>
  <w:num w:numId="13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15">
    <w:abstractNumId w:val="991"/>
  </w:num>
  <w:num w:numId="13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17">
    <w:abstractNumId w:val="991"/>
  </w:num>
  <w:num w:numId="131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19">
    <w:abstractNumId w:val="991"/>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5">
    <w:abstractNumId w:val="991"/>
  </w:num>
  <w:num w:numId="13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7">
    <w:abstractNumId w:val="991"/>
  </w:num>
  <w:num w:numId="13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9">
    <w:abstractNumId w:val="991"/>
  </w:num>
  <w:num w:numId="13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1"/>
  </w:num>
  <w:num w:numId="133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7">
    <w:abstractNumId w:val="991"/>
  </w:num>
  <w:num w:numId="133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9">
    <w:abstractNumId w:val="991"/>
  </w:num>
  <w:num w:numId="134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41">
    <w:abstractNumId w:val="991"/>
  </w:num>
  <w:num w:numId="13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43">
    <w:abstractNumId w:val="991"/>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9">
    <w:abstractNumId w:val="991"/>
  </w:num>
  <w:num w:numId="135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1">
    <w:abstractNumId w:val="991"/>
  </w:num>
  <w:num w:numId="13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53">
    <w:abstractNumId w:val="991"/>
  </w:num>
  <w:num w:numId="135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61">
    <w:abstractNumId w:val="991"/>
  </w:num>
  <w:num w:numId="136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63">
    <w:abstractNumId w:val="991"/>
  </w:num>
  <w:num w:numId="136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65">
    <w:abstractNumId w:val="991"/>
  </w:num>
  <w:num w:numId="136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67">
    <w:abstractNumId w:val="991"/>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4">
    <w:abstractNumId w:val="991"/>
  </w:num>
  <w:num w:numId="13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76">
    <w:abstractNumId w:val="991"/>
  </w:num>
  <w:num w:numId="13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78">
    <w:abstractNumId w:val="991"/>
  </w:num>
  <w:num w:numId="137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86">
    <w:abstractNumId w:val="991"/>
  </w:num>
  <w:num w:numId="138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88">
    <w:abstractNumId w:val="991"/>
  </w:num>
  <w:num w:numId="138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90">
    <w:abstractNumId w:val="991"/>
  </w:num>
  <w:num w:numId="139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92">
    <w:abstractNumId w:val="991"/>
  </w:num>
  <w:num w:numId="13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99">
    <w:abstractNumId w:val="991"/>
  </w:num>
  <w:num w:numId="140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01">
    <w:abstractNumId w:val="991"/>
  </w:num>
  <w:num w:numId="14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03">
    <w:abstractNumId w:val="991"/>
  </w:num>
  <w:num w:numId="14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05">
    <w:abstractNumId w:val="991"/>
  </w:num>
  <w:num w:numId="14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1"/>
  </w:num>
  <w:num w:numId="14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10">
    <w:abstractNumId w:val="991"/>
  </w:num>
  <w:num w:numId="14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12">
    <w:abstractNumId w:val="991"/>
  </w:num>
  <w:num w:numId="14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14">
    <w:abstractNumId w:val="991"/>
  </w:num>
  <w:num w:numId="14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16">
    <w:abstractNumId w:val="991"/>
  </w:num>
  <w:num w:numId="1417">
    <w:abstractNumId w:val="991"/>
  </w:num>
  <w:num w:numId="14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pageBreakBefore w:val="0"/>
      <w:spacing w:after="140" w:line="269" w:lineRule="auto"/>
    </w:pPr>
    <w:rPr>
      <w:rFonts w:ascii="Calibri" w:hAnsi="Calibri"/>
      <w:sz w:val="22"/>
    </w:rPr>
  </w:style>
  <w:style w:styleId="BodyText" w:type="paragraph">
    <w:name w:val="Body Text"/>
    <w:basedOn w:val="Normal"/>
    <w:link w:val="BodyTextChar"/>
    <w:pPr>
      <w:keepNext w:val="0"/>
      <w:pageBreakBefore w:val="0"/>
      <w:spacing w:after="140" w:before="180" w:line="269" w:lineRule="auto"/>
    </w:pPr>
    <w:qFormat/>
    <w:rPr>
      <w:rFonts w:ascii="Calibri" w:hAnsi="Calibri"/>
      <w:sz w:val="22"/>
    </w:rPr>
  </w:style>
  <w:style w:customStyle="1" w:styleId="FirstParagraph" w:type="paragraph">
    <w:name w:val="First Paragraph"/>
    <w:basedOn w:val="BodyText"/>
    <w:next w:val="BodyText"/>
    <w:qFormat/>
    <w:pPr>
      <w:keepNext w:val="0"/>
      <w:pageBreakBefore w:val="0"/>
      <w:spacing w:line="269" w:lineRule="auto" w:after="140"/>
    </w:pPr>
    <w:rPr>
      <w:rFonts w:ascii="Calibri" w:hAnsi="Calibri"/>
      <w:sz w:val="22"/>
    </w:rPr>
  </w:style>
  <w:style w:customStyle="1" w:styleId="Compact" w:type="paragraph">
    <w:name w:val="Compact"/>
    <w:basedOn w:val="BodyText"/>
    <w:qFormat/>
    <w:pPr>
      <w:keepNext w:val="0"/>
      <w:pageBreakBefore w:val="0"/>
      <w:spacing w:after="140" w:before="36" w:line="269" w:lineRule="auto"/>
    </w:pPr>
    <w:rPr>
      <w:rFonts w:ascii="Calibri" w:hAnsi="Calibri"/>
      <w:sz w:val="22"/>
    </w:rPr>
  </w:style>
  <w:style w:styleId="Title" w:type="paragraph">
    <w:name w:val="Title"/>
    <w:basedOn w:val="Normal"/>
    <w:next w:val="BodyText"/>
    <w:qFormat/>
    <w:pPr>
      <w:keepNext/>
      <w:keepLines/>
      <w:pageBreakBefore w:val="0"/>
      <w:spacing w:after="140" w:before="280" w:line="269" w:lineRule="auto"/>
      <w:jc w:val="center"/>
    </w:pPr>
    <w:rPr>
      <w:rFonts w:asciiTheme="majorHAnsi" w:cstheme="majorBidi" w:eastAsiaTheme="majorEastAsia" w:hAnsiTheme="majorHAnsi" w:ascii="Calibri" w:hAnsi="Calibri"/>
      <w:b/>
      <w:bCs/>
      <w:color w:val="175D86"/>
      <w:sz w:val="56"/>
      <w:szCs w:val="36"/>
    </w:rPr>
  </w:style>
  <w:style w:styleId="Subtitle" w:type="paragraph">
    <w:name w:val="Subtitle"/>
    <w:basedOn w:val="Title"/>
    <w:next w:val="BodyText"/>
    <w:qFormat/>
    <w:pPr>
      <w:keepNext w:val="0"/>
      <w:keepLines/>
      <w:pageBreakBefore w:val="0"/>
      <w:spacing w:after="140" w:before="240" w:line="269" w:lineRule="auto"/>
      <w:jc w:val="center"/>
    </w:pPr>
    <w:rPr>
      <w:rFonts w:ascii="Calibri" w:hAnsi="Calibri"/>
      <w:sz w:val="22"/>
      <w:szCs w:val="30"/>
    </w:rPr>
  </w:style>
  <w:style w:customStyle="1" w:styleId="Author" w:type="paragraph">
    <w:name w:val="Author"/>
    <w:next w:val="BodyText"/>
    <w:qFormat/>
    <w:pPr>
      <w:keepNext w:val="0"/>
      <w:keepLines/>
      <w:pageBreakBefore w:val="0"/>
      <w:spacing w:line="269" w:lineRule="auto" w:after="140"/>
      <w:jc w:val="center"/>
    </w:pPr>
    <w:rPr>
      <w:rFonts w:ascii="Calibri" w:hAnsi="Calibri"/>
      <w:sz w:val="22"/>
    </w:rPr>
  </w:style>
  <w:style w:styleId="Date" w:type="paragraph">
    <w:name w:val="Date"/>
    <w:next w:val="BodyText"/>
    <w:qFormat/>
    <w:pPr>
      <w:keepNext w:val="0"/>
      <w:keepLines/>
      <w:pageBreakBefore w:val="0"/>
      <w:spacing w:line="269" w:lineRule="auto" w:after="140"/>
      <w:jc w:val="center"/>
    </w:pPr>
    <w:rPr>
      <w:rFonts w:ascii="Calibri" w:hAnsi="Calibri"/>
      <w:sz w:val="22"/>
    </w:rPr>
  </w:style>
  <w:style w:customStyle="1" w:styleId="AbstractTitle" w:type="paragraph">
    <w:name w:val="Abstract Title"/>
    <w:basedOn w:val="Normal"/>
    <w:next w:val="Abstract"/>
    <w:qFormat/>
    <w:pPr>
      <w:keepNext w:val="0"/>
      <w:keepLines/>
      <w:jc w:val="center"/>
      <w:pageBreakBefore w:val="0"/>
      <w:spacing w:after="140" w:before="300" w:line="269" w:lineRule="auto"/>
    </w:pPr>
    <w:rPr>
      <w:sz w:val="22"/>
      <w:szCs w:val="20"/>
      <w:rFonts w:ascii="Calibri" w:hAnsi="Calibri"/>
      <w:b/>
      <w:color w:val="345A8A"/>
      &gt;
    </w:rPr>
  </w:style>
  <w:style w:customStyle="1" w:styleId="Abstract" w:type="paragraph">
    <w:name w:val="Abstract"/>
    <w:basedOn w:val="Normal"/>
    <w:next w:val="BodyText"/>
    <w:qFormat/>
    <w:pPr>
      <w:keepNext w:val="0"/>
      <w:keepLines/>
      <w:pageBreakBefore w:val="0"/>
      <w:spacing w:after="140" w:before="100" w:line="269" w:lineRule="auto"/>
    </w:pPr>
    <w:rPr>
      <w:rFonts w:ascii="Calibri" w:hAnsi="Calibri"/>
      <w:sz w:val="22"/>
      <w:szCs w:val="20"/>
    </w:rPr>
  </w:style>
  <w:style w:styleId="Bibliography" w:type="paragraph">
    <w:name w:val="Bibliography"/>
    <w:basedOn w:val="Normal"/>
    <w:next w:val="Bibliography"/>
    <w:qFormat/>
    <w:pPr>
      <w:keepNext w:val="0"/>
      <w:pageBreakBefore w:val="0"/>
      <w:spacing w:line="269" w:lineRule="auto" w:after="140"/>
    </w:pPr>
    <w:rPr>
      <w:rFonts w:ascii="Calibri" w:hAnsi="Calibri"/>
      <w:sz w:val="22"/>
    </w:rPr>
  </w:style>
  <w:style w:styleId="Heading1" w:type="paragraph">
    <w:name w:val="Heading 1"/>
    <w:basedOn w:val="Normal"/>
    <w:next w:val="BodyText"/>
    <w:uiPriority w:val="9"/>
    <w:qFormat/>
    <w:pPr>
      <w:keepNext/>
      <w:keepLines/>
      <w:pageBreakBefore w:val="0"/>
      <w:spacing w:after="140" w:before="280" w:line="269" w:lineRule="auto"/>
      <w:outlineLvl w:val="0"/>
    </w:pPr>
    <w:rPr>
      <w:rFonts w:asciiTheme="majorHAnsi" w:cstheme="majorBidi" w:eastAsiaTheme="majorEastAsia" w:hAnsiTheme="majorHAnsi" w:ascii="Calibri" w:hAnsi="Calibri"/>
      <w:b/>
      <w:bCs/>
      <w:color w:val="175D86"/>
      <w:sz w:val="32"/>
      <w:szCs w:val="32"/>
    </w:rPr>
  </w:style>
  <w:style w:styleId="Heading2" w:type="paragraph">
    <w:name w:val="Heading 2"/>
    <w:basedOn w:val="Normal"/>
    <w:next w:val="BodyText"/>
    <w:uiPriority w:val="9"/>
    <w:unhideWhenUsed/>
    <w:qFormat/>
    <w:pPr>
      <w:keepNext/>
      <w:keepLines/>
      <w:pageBreakBefore w:val="0"/>
      <w:spacing w:after="140" w:before="280" w:line="269" w:lineRule="auto"/>
      <w:outlineLvl w:val="1"/>
    </w:pPr>
    <w:rPr>
      <w:rFonts w:asciiTheme="majorHAnsi" w:cstheme="majorBidi" w:eastAsiaTheme="majorEastAsia" w:hAnsiTheme="majorHAnsi" w:ascii="Calibri" w:hAnsi="Calibri"/>
      <w:b/>
      <w:bCs/>
      <w:color w:val="175D86"/>
      <w:sz w:val="26"/>
      <w:szCs w:val="28"/>
    </w:rPr>
  </w:style>
  <w:style w:styleId="Heading3" w:type="paragraph">
    <w:name w:val="Heading 3"/>
    <w:basedOn w:val="Normal"/>
    <w:next w:val="BodyText"/>
    <w:uiPriority w:val="9"/>
    <w:unhideWhenUsed/>
    <w:qFormat/>
    <w:pPr>
      <w:keepNext/>
      <w:keepLines/>
      <w:pageBreakBefore w:val="0"/>
      <w:spacing w:after="140" w:before="280" w:line="269" w:lineRule="auto"/>
      <w:outlineLvl w:val="2"/>
    </w:pPr>
    <w:rPr>
      <w:rFonts w:asciiTheme="majorHAnsi" w:cstheme="majorBidi" w:eastAsiaTheme="majorEastAsia" w:hAnsiTheme="majorHAnsi" w:ascii="Calibri" w:hAnsi="Calibri"/>
      <w:b/>
      <w:bCs/>
      <w:color w:val="175D86"/>
      <w:sz w:val="22"/>
      <w:szCs w:val="24"/>
    </w:rPr>
  </w:style>
  <w:style w:styleId="Heading4" w:type="paragraph">
    <w:name w:val="Heading 4"/>
    <w:basedOn w:val="Normal"/>
    <w:next w:val="BodyText"/>
    <w:uiPriority w:val="9"/>
    <w:unhideWhenUsed/>
    <w:qFormat/>
    <w:pPr>
      <w:keepNext w:val="0"/>
      <w:keepLines/>
      <w:pageBreakBefore w:val="0"/>
      <w:spacing w:after="140" w:before="200" w:line="269" w:lineRule="auto"/>
      <w:outlineLvl w:val="3"/>
    </w:pPr>
    <w:rPr>
      <w:rFonts w:asciiTheme="majorHAnsi" w:cstheme="majorBidi" w:eastAsiaTheme="majorEastAsia" w:hAnsiTheme="majorHAnsi" w:ascii="Calibri" w:hAnsi="Calibri"/>
      <w:i/>
      <w:bCs/>
      <w:color w:themeColor="accent1" w:val="4F81BD"/>
      <w:sz w:val="22"/>
      <w:szCs w:val="24"/>
    </w:rPr>
  </w:style>
  <w:style w:styleId="Heading5" w:type="paragraph">
    <w:name w:val="Heading 5"/>
    <w:basedOn w:val="Normal"/>
    <w:next w:val="BodyText"/>
    <w:uiPriority w:val="9"/>
    <w:unhideWhenUsed/>
    <w:qFormat/>
    <w:pPr>
      <w:keepNext w:val="0"/>
      <w:keepLines/>
      <w:pageBreakBefore w:val="0"/>
      <w:spacing w:after="140" w:before="200" w:line="269" w:lineRule="auto"/>
      <w:outlineLvl w:val="4"/>
    </w:pPr>
    <w:rPr>
      <w:rFonts w:asciiTheme="majorHAnsi" w:cstheme="majorBidi" w:eastAsiaTheme="majorEastAsia" w:hAnsiTheme="majorHAnsi" w:ascii="Calibri" w:hAnsi="Calibri"/>
      <w:iCs/>
      <w:color w:themeColor="accent1" w:val="4F81BD"/>
      <w:sz w:val="22"/>
      <w:szCs w:val="24"/>
    </w:rPr>
  </w:style>
  <w:style w:styleId="Heading6" w:type="paragraph">
    <w:name w:val="Heading 6"/>
    <w:basedOn w:val="Normal"/>
    <w:next w:val="BodyText"/>
    <w:uiPriority w:val="9"/>
    <w:unhideWhenUsed/>
    <w:qFormat/>
    <w:pPr>
      <w:keepNext w:val="0"/>
      <w:keepLines/>
      <w:pageBreakBefore w:val="0"/>
      <w:spacing w:after="140" w:before="200" w:line="269" w:lineRule="auto"/>
      <w:outlineLvl w:val="5"/>
    </w:pPr>
    <w:rPr>
      <w:rFonts w:asciiTheme="majorHAnsi" w:cstheme="majorBidi" w:eastAsiaTheme="majorEastAsia" w:hAnsiTheme="majorHAnsi" w:ascii="Calibri" w:hAnsi="Calibri"/>
      <w:color w:themeColor="accent1" w:val="4F81BD"/>
      <w:sz w:val="22"/>
      <w:szCs w:val="24"/>
    </w:rPr>
  </w:style>
  <w:style w:styleId="Heading7" w:type="paragraph">
    <w:name w:val="Heading 7"/>
    <w:basedOn w:val="Normal"/>
    <w:next w:val="BodyText"/>
    <w:uiPriority w:val="9"/>
    <w:unhideWhenUsed/>
    <w:qFormat/>
    <w:pPr>
      <w:keepNext w:val="0"/>
      <w:keepLines/>
      <w:pageBreakBefore w:val="0"/>
      <w:spacing w:after="140" w:before="200" w:line="269" w:lineRule="auto"/>
      <w:outlineLvl w:val="6"/>
    </w:pPr>
    <w:rPr>
      <w:rFonts w:asciiTheme="majorHAnsi" w:cstheme="majorBidi" w:eastAsiaTheme="majorEastAsia" w:hAnsiTheme="majorHAnsi" w:ascii="Calibri" w:hAnsi="Calibri"/>
      <w:color w:themeColor="accent1" w:val="4F81BD"/>
      <w:sz w:val="22"/>
      <w:szCs w:val="24"/>
    </w:rPr>
  </w:style>
  <w:style w:styleId="Heading8" w:type="paragraph">
    <w:name w:val="Heading 8"/>
    <w:basedOn w:val="Normal"/>
    <w:next w:val="BodyText"/>
    <w:uiPriority w:val="9"/>
    <w:unhideWhenUsed/>
    <w:qFormat/>
    <w:pPr>
      <w:keepNext w:val="0"/>
      <w:keepLines/>
      <w:pageBreakBefore w:val="0"/>
      <w:spacing w:after="140" w:before="200" w:line="269" w:lineRule="auto"/>
      <w:outlineLvl w:val="7"/>
    </w:pPr>
    <w:rPr>
      <w:rFonts w:asciiTheme="majorHAnsi" w:cstheme="majorBidi" w:eastAsiaTheme="majorEastAsia" w:hAnsiTheme="majorHAnsi" w:ascii="Calibri" w:hAnsi="Calibri"/>
      <w:color w:themeColor="accent1" w:val="4F81BD"/>
      <w:sz w:val="22"/>
      <w:szCs w:val="24"/>
    </w:rPr>
  </w:style>
  <w:style w:styleId="Heading9" w:type="paragraph">
    <w:name w:val="Heading 9"/>
    <w:basedOn w:val="Normal"/>
    <w:next w:val="BodyText"/>
    <w:uiPriority w:val="9"/>
    <w:unhideWhenUsed/>
    <w:qFormat/>
    <w:pPr>
      <w:keepNext w:val="0"/>
      <w:keepLines/>
      <w:pageBreakBefore w:val="0"/>
      <w:spacing w:after="140" w:before="200" w:line="269" w:lineRule="auto"/>
      <w:outlineLvl w:val="8"/>
    </w:pPr>
    <w:rPr>
      <w:rFonts w:asciiTheme="majorHAnsi" w:cstheme="majorBidi" w:eastAsiaTheme="majorEastAsia" w:hAnsiTheme="majorHAnsi" w:ascii="Calibri" w:hAnsi="Calibri"/>
      <w:color w:themeColor="accent1" w:val="4F81BD"/>
      <w:sz w:val="22"/>
      <w:szCs w:val="24"/>
    </w:rPr>
  </w:style>
  <w:style w:styleId="BlockText" w:type="paragraph">
    <w:name w:val="Block Text"/>
    <w:basedOn w:val="BodyText"/>
    <w:next w:val="BodyText"/>
    <w:uiPriority w:val="9"/>
    <w:unhideWhenUsed/>
    <w:qFormat/>
    <w:pPr>
      <w:keepNext w:val="0"/>
      <w:pageBreakBefore w:val="0"/>
      <w:spacing w:after="140" w:before="100" w:line="269" w:lineRule="auto"/>
      <w:ind w:firstLine="0" w:left="480" w:right="480"/>
    </w:pPr>
    <w:rPr>
      <w:rFonts w:ascii="Calibri" w:hAnsi="Calibri"/>
      <w:sz w:val="22"/>
    </w:rPr>
  </w:style>
  <w:style w:styleId="FootnoteText" w:type="paragraph">
    <w:name w:val="Footnote Text"/>
    <w:basedOn w:val="Normal"/>
    <w:next w:val="FootnoteText"/>
    <w:uiPriority w:val="9"/>
    <w:unhideWhenUsed/>
    <w:qFormat/>
    <w:pPr>
      <w:keepNext w:val="0"/>
      <w:pageBreakBefore w:val="0"/>
      <w:spacing w:line="269" w:lineRule="auto" w:after="140"/>
    </w:pPr>
    <w:rPr>
      <w:rFonts w:ascii="Calibri" w:hAnsi="Calibri"/>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val="0"/>
      <w:keepLines/>
      <w:pageBreakBefore w:val="0"/>
      <w:spacing w:after="140" w:line="269" w:lineRule="auto"/>
    </w:pPr>
    <w:rPr>
      <w:rFonts w:ascii="Calibri" w:hAnsi="Calibri"/>
      <w:b/>
      <w:sz w:val="22"/>
    </w:rPr>
  </w:style>
  <w:style w:customStyle="1" w:styleId="Definition" w:type="paragraph">
    <w:name w:val="Definition"/>
    <w:basedOn w:val="Normal"/>
    <w:pPr>
      <w:keepNext w:val="0"/>
      <w:pageBreakBefore w:val="0"/>
      <w:spacing w:line="269" w:lineRule="auto" w:after="140"/>
    </w:pPr>
    <w:rPr>
      <w:rFonts w:ascii="Calibri" w:hAnsi="Calibri"/>
      <w:sz w:val="22"/>
    </w:rPr>
  </w:style>
  <w:style w:styleId="Caption" w:type="paragraph">
    <w:name w:val="Caption"/>
    <w:basedOn w:val="Normal"/>
    <w:link w:val="BodyTextChar"/>
    <w:pPr>
      <w:keepNext w:val="0"/>
      <w:pageBreakBefore w:val="0"/>
      <w:spacing w:after="140" w:before="0" w:line="269" w:lineRule="auto"/>
    </w:pPr>
    <w:rPr>
      <w:rFonts w:ascii="Calibri" w:hAnsi="Calibri"/>
      <w:i/>
      <w:sz w:val="22"/>
    </w:rPr>
  </w:style>
  <w:style w:customStyle="1" w:styleId="TableCaption" w:type="paragraph">
    <w:name w:val="Table Caption"/>
    <w:basedOn w:val="Caption"/>
    <w:pPr>
      <w:keepNext w:val="0"/>
      <w:pageBreakBefore w:val="0"/>
      <w:spacing w:line="269" w:lineRule="auto" w:after="140"/>
    </w:pPr>
    <w:rPr>
      <w:rFonts w:ascii="Calibri" w:hAnsi="Calibri"/>
      <w:sz w:val="22"/>
    </w:rPr>
  </w:style>
  <w:style w:customStyle="1" w:styleId="ImageCaption" w:type="paragraph">
    <w:name w:val="Image Caption"/>
    <w:basedOn w:val="Caption"/>
    <w:pPr>
      <w:keepNext w:val="0"/>
      <w:pageBreakBefore w:val="0"/>
      <w:spacing w:line="269" w:lineRule="auto" w:after="140"/>
    </w:pPr>
    <w:rPr>
      <w:rFonts w:ascii="Calibri" w:hAnsi="Calibri"/>
      <w:sz w:val="22"/>
    </w:rPr>
  </w:style>
  <w:style w:customStyle="1" w:styleId="Figure" w:type="paragraph">
    <w:name w:val="Figure"/>
    <w:basedOn w:val="Normal"/>
    <w:pPr>
      <w:keepNext w:val="0"/>
      <w:pageBreakBefore w:val="0"/>
      <w:spacing w:line="269" w:lineRule="auto" w:after="140"/>
    </w:pPr>
    <w:rPr>
      <w:rFonts w:ascii="Calibri" w:hAnsi="Calibri"/>
      <w:sz w:val="22"/>
    </w:rPr>
  </w:style>
  <w:style w:customStyle="1" w:styleId="CaptionedFigure" w:type="paragraph">
    <w:name w:val="Captioned Figure"/>
    <w:basedOn w:val="Figure"/>
    <w:pPr>
      <w:keepNext w:val="0"/>
      <w:pageBreakBefore w:val="0"/>
      <w:spacing w:line="269" w:lineRule="auto" w:after="140"/>
    </w:pPr>
    <w:rPr>
      <w:rFonts w:ascii="Calibri" w:hAnsi="Calibri"/>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pageBreakBefore w:val="0"/>
      <w:spacing w:before="240" w:line="269" w:lineRule="auto" w:after="140"/>
      <w:outlineLvl w:val="9"/>
    </w:pPr>
    <w:rPr>
      <w:rFonts w:asciiTheme="majorHAnsi" w:cstheme="majorBidi" w:eastAsiaTheme="majorEastAsia" w:hAnsiTheme="majorHAnsi" w:ascii="Calibri" w:hAnsi="Calibri"/>
      <w:b w:val="0"/>
      <w:bCs w:val="0"/>
      <w:color w:themeColor="accent1" w:themeShade="BF" w:val="365F91"/>
      <w:sz w:val="22"/>
    </w:rPr>
  </w:style>
  <w:style w:type="paragraph" w:customStyle="1" w:styleId="SourceCode">
    <w:name w:val="Source Code"/>
    <w:basedOn w:val="Normal"/>
    <w:link w:val="VerbatimChar"/>
    <w:pPr>
      <w:keepNext w:val="0"/>
      <w:pageBreakBefore w:val="0"/>
      <w:wordWrap w:val="off"/>
      <w:spacing w:line="269" w:lineRule="auto" w:after="140"/>
    </w:pPr>
    <w:rPr>
      <w:rFonts w:ascii="Calibri" w:hAnsi="Calibri"/>
      <w:sz w:val="22"/>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character" w:customStyle="1" w:styleId="CodeInline">
    <w:name w:val="Code Inline"/>
    <w:rPr>
      <w:rFonts w:ascii="Consolas" w:hAnsi="Consolas"/>
      <w:color w:val="1F4D78"/>
      <w:sz w:val="19"/>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6 - Exercises and Solutions</dc:title>
  <dc:creator>Mbaye Kebe | SRAI</dc:creator>
  <cp:keywords/>
  <dcterms:created xsi:type="dcterms:W3CDTF">2026-07-28T15:17:18Z</dcterms:created>
  <dcterms:modified xsi:type="dcterms:W3CDTF">2026-07-28T15:17:18Z</dcterms:modified>
  <dc:subject>Complete controlled publication master edition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28 July 2026</vt:lpwstr>
  </property>
  <property fmtid="{D5CDD505-2E9C-101B-9397-08002B2CF9AE}" pid="3" name="subtitle">
    <vt:lpwstr>Book 1 Complete Controlled Master Edition</vt:lpwstr>
  </property>
  <property fmtid="{D5CDD505-2E9C-101B-9397-08002B2CF9AE}" pid="4" name="toc-title">
    <vt:lpwstr>Contents</vt:lpwstr>
  </property>
</Properties>
</file>