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i w:val="0"/>
          <w:color w:val="BE912A"/>
          <w:sz w:val="20"/>
        </w:rPr>
        <w:t>PRACTICE AND ASSESSMENT</w:t>
      </w:r>
    </w:p>
    <w:p>
      <w:pPr>
        <w:spacing w:after="160"/>
        <w:jc w:val="center"/>
      </w:pPr>
      <w:r>
        <w:rPr>
          <w:rFonts w:ascii="Arial" w:hAnsi="Arial"/>
          <w:b/>
          <w:i w:val="0"/>
          <w:color w:val="132D48"/>
          <w:sz w:val="52"/>
        </w:rPr>
        <w:t>Lesson 7 Exercises and Explained Solutions</w:t>
      </w:r>
    </w:p>
    <w:p>
      <w:pPr>
        <w:spacing w:after="480"/>
        <w:jc w:val="center"/>
      </w:pPr>
      <w:r>
        <w:rPr>
          <w:rFonts w:ascii="Arial" w:hAnsi="Arial"/>
          <w:b w:val="0"/>
          <w:i w:val="0"/>
          <w:color w:val="1F6FB2"/>
          <w:sz w:val="28"/>
        </w:rPr>
        <w:t>SVD, PCA, low-rank approximation and responsible interpretation</w:t>
      </w:r>
    </w:p>
    <w:p>
      <w:pPr>
        <w:jc w:val="center"/>
      </w:pPr>
      <w:r>
        <w:rPr>
          <w:rFonts w:ascii="Arial" w:hAnsi="Arial"/>
          <w:b/>
          <w:i w:val="0"/>
          <w:color w:val="5A626A"/>
          <w:sz w:val="20"/>
        </w:rPr>
        <w:t>SRAI - Statistics, Reasoning and Artificial Intelligence</w:t>
      </w:r>
    </w:p>
    <w:p>
      <w:pPr>
        <w:jc w:val="center"/>
      </w:pPr>
      <w:r>
        <w:rPr>
          <w:rFonts w:ascii="Arial" w:hAnsi="Arial"/>
          <w:b w:val="0"/>
          <w:i w:val="0"/>
          <w:color w:val="5A626A"/>
          <w:sz w:val="20"/>
        </w:rPr>
        <w:t>Book 1: Mathematical Foundations | Lesson 7</w:t>
      </w:r>
    </w:p>
    <w:p>
      <w:r>
        <w:br w:type="page"/>
      </w:r>
    </w:p>
    <w:p>
      <w:pPr>
        <w:pStyle w:val="Heading1"/>
      </w:pPr>
      <w:r>
        <w:t>Instructions</w:t>
      </w:r>
    </w:p>
    <w:p>
      <w:r>
        <w:rPr>
          <w:rFonts w:ascii="Arial" w:hAnsi="Arial"/>
          <w:b w:val="0"/>
          <w:i w:val="0"/>
          <w:sz w:val="21"/>
        </w:rPr>
        <w:t>Complete the reasoning, calculations and interpretation. Numerical answers should include tolerances and reproducible evidence. Governance answers must identify what evidence is insufficient.</w:t>
      </w:r>
    </w:p>
    <w:p>
      <w:pPr>
        <w:pStyle w:val="Heading2"/>
      </w:pPr>
      <w:r>
        <w:t>1. SVD reconstruction</w:t>
      </w:r>
    </w:p>
    <w:p>
      <w:r>
        <w:rPr>
          <w:rFonts w:ascii="Arial" w:hAnsi="Arial"/>
          <w:b w:val="0"/>
          <w:i w:val="0"/>
          <w:sz w:val="21"/>
        </w:rPr>
        <w:t>For A = [[3,1],[1,3]], compute or obtain U, Σ and Vᵀ. Reconstruct A and verify both orthogonality identities.</w:t>
      </w:r>
    </w:p>
    <w:p>
      <w:pPr>
        <w:pStyle w:val="Heading2"/>
      </w:pPr>
      <w:r>
        <w:t>2. Rank-one approximation</w:t>
      </w:r>
    </w:p>
    <w:p>
      <w:r>
        <w:rPr>
          <w:rFonts w:ascii="Arial" w:hAnsi="Arial"/>
          <w:b w:val="0"/>
          <w:i w:val="0"/>
          <w:sz w:val="21"/>
        </w:rPr>
        <w:t>Construct the rank-one approximation of the same matrix and calculate its Frobenius reconstruction error.</w:t>
      </w:r>
    </w:p>
    <w:p>
      <w:pPr>
        <w:pStyle w:val="Heading2"/>
      </w:pPr>
      <w:r>
        <w:t>3. Choosing k</w:t>
      </w:r>
    </w:p>
    <w:p>
      <w:r>
        <w:rPr>
          <w:rFonts w:ascii="Arial" w:hAnsi="Arial"/>
          <w:b w:val="0"/>
          <w:i w:val="0"/>
          <w:sz w:val="21"/>
        </w:rPr>
        <w:t>Explain why choosing k solely because cumulative explained variance exceeds 90% can be unsafe.</w:t>
      </w:r>
    </w:p>
    <w:p>
      <w:pPr>
        <w:pStyle w:val="Heading2"/>
      </w:pPr>
      <w:r>
        <w:t>4. Centering</w:t>
      </w:r>
    </w:p>
    <w:p>
      <w:r>
        <w:rPr>
          <w:rFonts w:ascii="Arial" w:hAnsi="Arial"/>
          <w:b w:val="0"/>
          <w:i w:val="0"/>
          <w:sz w:val="21"/>
        </w:rPr>
        <w:t>What happens if PCA is applied without centering?</w:t>
      </w:r>
    </w:p>
    <w:p>
      <w:pPr>
        <w:pStyle w:val="Heading2"/>
      </w:pPr>
      <w:r>
        <w:t>5. Standardization</w:t>
      </w:r>
    </w:p>
    <w:p>
      <w:r>
        <w:rPr>
          <w:rFonts w:ascii="Arial" w:hAnsi="Arial"/>
          <w:b w:val="0"/>
          <w:i w:val="0"/>
          <w:sz w:val="21"/>
        </w:rPr>
        <w:t>When should variables be standardized before PCA?</w:t>
      </w:r>
    </w:p>
    <w:p>
      <w:pPr>
        <w:pStyle w:val="Heading2"/>
      </w:pPr>
      <w:r>
        <w:t>6. Signs</w:t>
      </w:r>
    </w:p>
    <w:p>
      <w:r>
        <w:rPr>
          <w:rFonts w:ascii="Arial" w:hAnsi="Arial"/>
          <w:b w:val="0"/>
          <w:i w:val="0"/>
          <w:sz w:val="21"/>
        </w:rPr>
        <w:t>Two software packages return opposite signs for PC1. Is one wrong?</w:t>
      </w:r>
    </w:p>
    <w:p>
      <w:pPr>
        <w:pStyle w:val="Heading2"/>
      </w:pPr>
      <w:r>
        <w:t>7. Loadings</w:t>
      </w:r>
    </w:p>
    <w:p>
      <w:r>
        <w:rPr>
          <w:rFonts w:ascii="Arial" w:hAnsi="Arial"/>
          <w:b w:val="0"/>
          <w:i w:val="0"/>
          <w:sz w:val="21"/>
        </w:rPr>
        <w:t>A component loads positively on electricity, health and transport. May it be called “development”?</w:t>
      </w:r>
    </w:p>
    <w:p>
      <w:pPr>
        <w:pStyle w:val="Heading2"/>
      </w:pPr>
      <w:r>
        <w:t>8. Leakage</w:t>
      </w:r>
    </w:p>
    <w:p>
      <w:r>
        <w:rPr>
          <w:rFonts w:ascii="Arial" w:hAnsi="Arial"/>
          <w:b w:val="0"/>
          <w:i w:val="0"/>
          <w:sz w:val="21"/>
        </w:rPr>
        <w:t>Describe a leakage-safe train/test PCA workflow.</w:t>
      </w:r>
    </w:p>
    <w:p>
      <w:pPr>
        <w:pStyle w:val="Heading2"/>
      </w:pPr>
      <w:r>
        <w:t>9. Equity audit</w:t>
      </w:r>
    </w:p>
    <w:p>
      <w:r>
        <w:rPr>
          <w:rFonts w:ascii="Arial" w:hAnsi="Arial"/>
          <w:b w:val="0"/>
          <w:i w:val="0"/>
          <w:sz w:val="21"/>
        </w:rPr>
        <w:t>Name three checks before deploying compressed indicators in a public-sector model.</w:t>
      </w:r>
    </w:p>
    <w:p>
      <w:pPr>
        <w:pStyle w:val="Heading2"/>
      </w:pPr>
      <w:r>
        <w:t>10. Decision statement</w:t>
      </w:r>
    </w:p>
    <w:p>
      <w:r>
        <w:rPr>
          <w:rFonts w:ascii="Arial" w:hAnsi="Arial"/>
          <w:b w:val="0"/>
          <w:i w:val="0"/>
          <w:sz w:val="21"/>
        </w:rPr>
        <w:t>Write a preservation-and-loss statement for a two-component national-indicator model.</w:t>
      </w:r>
    </w:p>
    <w:p>
      <w:r>
        <w:br w:type="page"/>
      </w:r>
    </w:p>
    <w:p>
      <w:pPr>
        <w:pStyle w:val="Heading1"/>
      </w:pPr>
      <w:r>
        <w:t>Explained solutions and marking guidance</w:t>
      </w:r>
    </w:p>
    <w:p>
      <w:pPr>
        <w:pStyle w:val="Heading2"/>
      </w:pPr>
      <w:r>
        <w:t>1. SVD reconstruction</w:t>
      </w:r>
    </w:p>
    <w:p>
      <w:r>
        <w:rPr>
          <w:rFonts w:ascii="Arial" w:hAnsi="Arial"/>
          <w:b w:val="0"/>
          <w:i w:val="0"/>
          <w:sz w:val="21"/>
        </w:rPr>
        <w:t>A numerical SVD has singular values 4 and 2. Multiplying UΣVᵀ returns A to floating-point tolerance. Verify UᵀU = I and VᵀV = I. Sign-flipped singular-vector pairs are equivalent.</w:t>
      </w:r>
    </w:p>
    <w:p>
      <w:r>
        <w:rPr>
          <w:rFonts w:ascii="Arial" w:hAnsi="Arial"/>
          <w:b w:val="0"/>
          <w:i w:val="0"/>
          <w:sz w:val="21"/>
        </w:rPr>
        <w:t>Suggested marking: 4 - correct and fully reasoned; 3 - correct with limited justification; 2 - partial structure; 1 - relevant attempt; 0 - absent or unrelated.</w:t>
      </w:r>
    </w:p>
    <w:p>
      <w:pPr>
        <w:pStyle w:val="Heading2"/>
      </w:pPr>
      <w:r>
        <w:t>2. Rank-one approximation</w:t>
      </w:r>
    </w:p>
    <w:p>
      <w:r>
        <w:rPr>
          <w:rFonts w:ascii="Arial" w:hAnsi="Arial"/>
          <w:b w:val="0"/>
          <w:i w:val="0"/>
          <w:sz w:val="21"/>
        </w:rPr>
        <w:t>Retain only σ₁ and its singular-vector pair. The discarded singular value is 2, so the optimal rank-one Frobenius error is 2.</w:t>
      </w:r>
    </w:p>
    <w:p>
      <w:r>
        <w:rPr>
          <w:rFonts w:ascii="Arial" w:hAnsi="Arial"/>
          <w:b w:val="0"/>
          <w:i w:val="0"/>
          <w:sz w:val="21"/>
        </w:rPr>
        <w:t>Suggested marking: 4 - correct and fully reasoned; 3 - correct with limited justification; 2 - partial structure; 1 - relevant attempt; 0 - absent or unrelated.</w:t>
      </w:r>
    </w:p>
    <w:p>
      <w:pPr>
        <w:pStyle w:val="Heading2"/>
      </w:pPr>
      <w:r>
        <w:t>3. Choosing k</w:t>
      </w:r>
    </w:p>
    <w:p>
      <w:r>
        <w:rPr>
          <w:rFonts w:ascii="Arial" w:hAnsi="Arial"/>
          <w:b w:val="0"/>
          <w:i w:val="0"/>
          <w:sz w:val="21"/>
        </w:rPr>
        <w:t>Variance measures reconstruction, not harm or decision importance. Low-variance directions can encode minority groups, anomalies or thresholds. Choose k using reconstruction, downstream performance, subgroup checks and decision consequences.</w:t>
      </w:r>
    </w:p>
    <w:p>
      <w:r>
        <w:rPr>
          <w:rFonts w:ascii="Arial" w:hAnsi="Arial"/>
          <w:b w:val="0"/>
          <w:i w:val="0"/>
          <w:sz w:val="21"/>
        </w:rPr>
        <w:t>Suggested marking: 4 - correct and fully reasoned; 3 - correct with limited justification; 2 - partial structure; 1 - relevant attempt; 0 - absent or unrelated.</w:t>
      </w:r>
    </w:p>
    <w:p>
      <w:pPr>
        <w:pStyle w:val="Heading2"/>
      </w:pPr>
      <w:r>
        <w:t>4. Centering</w:t>
      </w:r>
    </w:p>
    <w:p>
      <w:r>
        <w:rPr>
          <w:rFonts w:ascii="Arial" w:hAnsi="Arial"/>
          <w:b w:val="0"/>
          <w:i w:val="0"/>
          <w:sz w:val="21"/>
        </w:rPr>
        <w:t>The origin rather than the sample mean anchors the directions. Components may reflect the mean offset instead of covariance structure, so standard PCA interpretation is invalid.</w:t>
      </w:r>
    </w:p>
    <w:p>
      <w:r>
        <w:rPr>
          <w:rFonts w:ascii="Arial" w:hAnsi="Arial"/>
          <w:b w:val="0"/>
          <w:i w:val="0"/>
          <w:sz w:val="21"/>
        </w:rPr>
        <w:t>Suggested marking: 4 - correct and fully reasoned; 3 - correct with limited justification; 2 - partial structure; 1 - relevant attempt; 0 - absent or unrelated.</w:t>
      </w:r>
    </w:p>
    <w:p>
      <w:pPr>
        <w:pStyle w:val="Heading2"/>
      </w:pPr>
      <w:r>
        <w:t>5. Standardization</w:t>
      </w:r>
    </w:p>
    <w:p>
      <w:r>
        <w:rPr>
          <w:rFonts w:ascii="Arial" w:hAnsi="Arial"/>
          <w:b w:val="0"/>
          <w:i w:val="0"/>
          <w:sz w:val="21"/>
        </w:rPr>
        <w:t>Standardize when scale differences are measurement artifacts or when comparable variance weighting is intended. Do not standardize automatically when absolute scale carries legitimate substantive meaning.</w:t>
      </w:r>
    </w:p>
    <w:p>
      <w:r>
        <w:rPr>
          <w:rFonts w:ascii="Arial" w:hAnsi="Arial"/>
          <w:b w:val="0"/>
          <w:i w:val="0"/>
          <w:sz w:val="21"/>
        </w:rPr>
        <w:t>Suggested marking: 4 - correct and fully reasoned; 3 - correct with limited justification; 2 - partial structure; 1 - relevant attempt; 0 - absent or unrelated.</w:t>
      </w:r>
    </w:p>
    <w:p>
      <w:pPr>
        <w:pStyle w:val="Heading2"/>
      </w:pPr>
      <w:r>
        <w:t>6. Signs</w:t>
      </w:r>
    </w:p>
    <w:p>
      <w:r>
        <w:rPr>
          <w:rFonts w:ascii="Arial" w:hAnsi="Arial"/>
          <w:b w:val="0"/>
          <w:i w:val="0"/>
          <w:sz w:val="21"/>
        </w:rPr>
        <w:t>Not necessarily. A direction and its negative span the same axis. Compare subspaces, explained variance and reconstructed values rather than raw signs.</w:t>
      </w:r>
    </w:p>
    <w:p>
      <w:r>
        <w:rPr>
          <w:rFonts w:ascii="Arial" w:hAnsi="Arial"/>
          <w:b w:val="0"/>
          <w:i w:val="0"/>
          <w:sz w:val="21"/>
        </w:rPr>
        <w:t>Suggested marking: 4 - correct and fully reasoned; 3 - correct with limited justification; 2 - partial structure; 1 - relevant attempt; 0 - absent or unrelated.</w:t>
      </w:r>
    </w:p>
    <w:p>
      <w:pPr>
        <w:pStyle w:val="Heading2"/>
      </w:pPr>
      <w:r>
        <w:t>7. Loadings</w:t>
      </w:r>
    </w:p>
    <w:p>
      <w:r>
        <w:rPr>
          <w:rFonts w:ascii="Arial" w:hAnsi="Arial"/>
          <w:b w:val="0"/>
          <w:i w:val="0"/>
          <w:sz w:val="21"/>
        </w:rPr>
        <w:t>Only with independent domain evidence. Loadings show mathematical association. A substantive label should be justified, bounded and tested against excluded variables and alternative interpretations.</w:t>
      </w:r>
    </w:p>
    <w:p>
      <w:r>
        <w:rPr>
          <w:rFonts w:ascii="Arial" w:hAnsi="Arial"/>
          <w:b w:val="0"/>
          <w:i w:val="0"/>
          <w:sz w:val="21"/>
        </w:rPr>
        <w:t>Suggested marking: 4 - correct and fully reasoned; 3 - correct with limited justification; 2 - partial structure; 1 - relevant attempt; 0 - absent or unrelated.</w:t>
      </w:r>
    </w:p>
    <w:p>
      <w:pPr>
        <w:pStyle w:val="Heading2"/>
      </w:pPr>
      <w:r>
        <w:t>8. Leakage</w:t>
      </w:r>
    </w:p>
    <w:p>
      <w:r>
        <w:rPr>
          <w:rFonts w:ascii="Arial" w:hAnsi="Arial"/>
          <w:b w:val="0"/>
          <w:i w:val="0"/>
          <w:sz w:val="21"/>
        </w:rPr>
        <w:t>Split first. Fit centering, scaling and PCA only on training data. Apply the fitted transformations to validation/test data. Never refit using test observations.</w:t>
      </w:r>
    </w:p>
    <w:p>
      <w:r>
        <w:rPr>
          <w:rFonts w:ascii="Arial" w:hAnsi="Arial"/>
          <w:b w:val="0"/>
          <w:i w:val="0"/>
          <w:sz w:val="21"/>
        </w:rPr>
        <w:t>Suggested marking: 4 - correct and fully reasoned; 3 - correct with limited justification; 2 - partial structure; 1 - relevant attempt; 0 - absent or unrelated.</w:t>
      </w:r>
    </w:p>
    <w:p>
      <w:pPr>
        <w:pStyle w:val="Heading2"/>
      </w:pPr>
      <w:r>
        <w:t>9. Equity audit</w:t>
      </w:r>
    </w:p>
    <w:p>
      <w:r>
        <w:rPr>
          <w:rFonts w:ascii="Arial" w:hAnsi="Arial"/>
          <w:b w:val="0"/>
          <w:i w:val="0"/>
          <w:sz w:val="21"/>
        </w:rPr>
        <w:t>Compare reconstruction error by subgroup; inspect rare or high-impact observations; test downstream performance and decisions with and without compression. Also document ownership and escalation thresholds.</w:t>
      </w:r>
    </w:p>
    <w:p>
      <w:r>
        <w:rPr>
          <w:rFonts w:ascii="Arial" w:hAnsi="Arial"/>
          <w:b w:val="0"/>
          <w:i w:val="0"/>
          <w:sz w:val="21"/>
        </w:rPr>
        <w:t>Suggested marking: 4 - correct and fully reasoned; 3 - correct with limited justification; 2 - partial structure; 1 - relevant attempt; 0 - absent or unrelated.</w:t>
      </w:r>
    </w:p>
    <w:p>
      <w:pPr>
        <w:pStyle w:val="Heading2"/>
      </w:pPr>
      <w:r>
        <w:t>10. Decision statement</w:t>
      </w:r>
    </w:p>
    <w:p>
      <w:r>
        <w:rPr>
          <w:rFonts w:ascii="Arial" w:hAnsi="Arial"/>
          <w:b w:val="0"/>
          <w:i w:val="0"/>
          <w:sz w:val="21"/>
        </w:rPr>
        <w:t>Example: The two components retain the dominant shared variation among five standardized service indicators and reproduce most regional profiles. They remove residual patterns, including possible sector-specific and subgroup differences; original indicators remain available, residuals are reviewed by region, and compression is not used alone for resource allocation.</w:t>
      </w:r>
    </w:p>
    <w:p>
      <w:r>
        <w:rPr>
          <w:rFonts w:ascii="Arial" w:hAnsi="Arial"/>
          <w:b w:val="0"/>
          <w:i w:val="0"/>
          <w:sz w:val="21"/>
        </w:rPr>
        <w:t>Suggested marking: 4 - correct and fully reasoned; 3 - correct with limited justification; 2 - partial structure; 1 - relevant attempt; 0 - absent or unrelated.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A626A"/>
        <w:sz w:val="16"/>
      </w:rPr>
      <w:t xml:space="preserve">PU-B01-C07 | Controlled publication candidate v0.1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5A626A"/>
        <w:sz w:val="16"/>
      </w:rPr>
      <w:t>SRAI | Book 1 | Exercises and Solutions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32D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6F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BE91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