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974C1" w14:textId="77777777" w:rsidR="008734F4" w:rsidRPr="009A51A9" w:rsidRDefault="008734F4">
      <w:pPr>
        <w:pStyle w:val="Heading1"/>
        <w:pageBreakBefore/>
        <w:rPr>
          <w:lang w:val="en-US"/>
        </w:rPr>
      </w:pPr>
      <w:bookmarkStart w:id="0" w:name="_Toc238927729"/>
      <w:bookmarkStart w:id="1" w:name="Chapter_3"/>
      <w:bookmarkStart w:id="2" w:name="chapter-3---vector-foundations"/>
      <w:r w:rsidRPr="009A51A9">
        <w:rPr>
          <w:lang w:val="en-US"/>
        </w:rPr>
        <w:t>Chapter 3 — Vector Foundations</w:t>
      </w:r>
      <w:bookmarkEnd w:id="0"/>
      <w:r>
        <w:fldChar w:fldCharType="begin"/>
      </w:r>
      <w:r w:rsidRPr="009A51A9">
        <w:rPr>
          <w:lang w:val="en-US"/>
        </w:rPr>
        <w:instrText xml:space="preserve"> XE "vector" </w:instrText>
      </w:r>
      <w:r>
        <w:fldChar w:fldCharType="end"/>
      </w:r>
      <w:bookmarkEnd w:id="1"/>
    </w:p>
    <w:p w14:paraId="1BB0F246" w14:textId="77777777" w:rsidR="008734F4" w:rsidRPr="009A51A9" w:rsidRDefault="008734F4">
      <w:pPr>
        <w:pStyle w:val="Heading2"/>
        <w:rPr>
          <w:lang w:val="en-US"/>
        </w:rPr>
      </w:pPr>
      <w:bookmarkStart w:id="3" w:name="_Toc238927730"/>
      <w:bookmarkStart w:id="4" w:name="transforming-information-into-geometry"/>
      <w:r w:rsidRPr="009A51A9">
        <w:rPr>
          <w:rStyle w:val="SectionNumber"/>
          <w:lang w:val="en-US"/>
        </w:rPr>
        <w:t>3.1</w:t>
      </w:r>
      <w:r w:rsidRPr="009A51A9">
        <w:rPr>
          <w:lang w:val="en-US"/>
        </w:rPr>
        <w:tab/>
        <w:t>Transforming Information into Geometry</w:t>
      </w:r>
      <w:bookmarkEnd w:id="3"/>
    </w:p>
    <w:p w14:paraId="6E4B18F4" w14:textId="77777777" w:rsidR="008734F4" w:rsidRDefault="008734F4">
      <w:pPr>
        <w:pStyle w:val="FirstParagraph"/>
      </w:pPr>
      <w:r>
        <w:rPr>
          <w:b/>
          <w:bCs/>
        </w:rPr>
        <w:t>Provenance:</w:t>
      </w:r>
      <w:r>
        <w:t xml:space="preserve"> NEWLY DEVELOPED FROM VALIDATED NOTEBOOK</w:t>
      </w:r>
      <w:r>
        <w:br/>
      </w:r>
      <w:r>
        <w:rPr>
          <w:b/>
          <w:bCs/>
        </w:rPr>
        <w:t>Canonical companion:</w:t>
      </w:r>
      <w:r>
        <w:t xml:space="preserve"> </w:t>
      </w:r>
      <w:r>
        <w:rPr>
          <w:rStyle w:val="CodeInline"/>
        </w:rPr>
        <w:t>M1_N03_vector_</w:t>
      </w:r>
      <w:proofErr w:type="gramStart"/>
      <w:r>
        <w:rPr>
          <w:rStyle w:val="CodeInline"/>
        </w:rPr>
        <w:t>foundations.ipynb</w:t>
      </w:r>
      <w:proofErr w:type="gramEnd"/>
    </w:p>
    <w:p w14:paraId="52094B51" w14:textId="77777777" w:rsidR="008734F4" w:rsidRDefault="008734F4">
      <w:pPr>
        <w:pStyle w:val="BlockText"/>
      </w:pPr>
      <w:r>
        <w:t>Once information becomes a vector, questions about similarity, direction, magnitude and projection become mathematical questions.</w:t>
      </w:r>
      <w:r>
        <w:fldChar w:fldCharType="begin"/>
      </w:r>
      <w:r>
        <w:instrText xml:space="preserve"> XE "projection" </w:instrText>
      </w:r>
      <w:r>
        <w:fldChar w:fldCharType="end"/>
      </w:r>
    </w:p>
    <w:p w14:paraId="499B33DF" w14:textId="77777777" w:rsidR="008734F4" w:rsidRPr="009A51A9" w:rsidRDefault="008734F4">
      <w:pPr>
        <w:pStyle w:val="Heading2"/>
        <w:rPr>
          <w:lang w:val="en-US"/>
        </w:rPr>
      </w:pPr>
      <w:bookmarkStart w:id="5" w:name="_Toc238927731"/>
      <w:bookmarkStart w:id="6" w:name="learning-objectives-2"/>
      <w:bookmarkEnd w:id="4"/>
      <w:r w:rsidRPr="009A51A9">
        <w:rPr>
          <w:rStyle w:val="SectionNumber"/>
          <w:lang w:val="en-US"/>
        </w:rPr>
        <w:t>3.2</w:t>
      </w:r>
      <w:r w:rsidRPr="009A51A9">
        <w:rPr>
          <w:lang w:val="en-US"/>
        </w:rPr>
        <w:tab/>
        <w:t>Learning Objectives</w:t>
      </w:r>
      <w:bookmarkEnd w:id="5"/>
    </w:p>
    <w:p w14:paraId="6221DCDC" w14:textId="77777777" w:rsidR="008734F4" w:rsidRDefault="008734F4">
      <w:pPr>
        <w:pStyle w:val="FirstParagraph"/>
      </w:pPr>
      <w:r>
        <w:t>The reader will learn to distinguish scalars, points and vectors; calculate vector operations and norms; interpret distance, dot products and cosine similarity; compute projections; understand span and orthogonality; construct an orthonormal basis; and represent observations, embeddings and decision states as vectors.</w:t>
      </w:r>
      <w:r>
        <w:fldChar w:fldCharType="begin"/>
      </w:r>
      <w:r>
        <w:instrText xml:space="preserve"> XE "basis" </w:instrText>
      </w:r>
      <w:r>
        <w:fldChar w:fldCharType="end"/>
      </w:r>
      <w:r>
        <w:fldChar w:fldCharType="begin"/>
      </w:r>
      <w:r>
        <w:instrText xml:space="preserve"> XE "distance" </w:instrText>
      </w:r>
      <w:r>
        <w:fldChar w:fldCharType="end"/>
      </w:r>
      <w:r>
        <w:fldChar w:fldCharType="begin"/>
      </w:r>
      <w:r>
        <w:instrText xml:space="preserve"> XE "orthogonality" </w:instrText>
      </w:r>
      <w:r>
        <w:fldChar w:fldCharType="end"/>
      </w:r>
      <w:r>
        <w:fldChar w:fldCharType="begin"/>
      </w:r>
      <w:r>
        <w:instrText xml:space="preserve"> XE "span" </w:instrText>
      </w:r>
      <w:r>
        <w:fldChar w:fldCharType="end"/>
      </w:r>
    </w:p>
    <w:p w14:paraId="4822BE83" w14:textId="77777777" w:rsidR="008734F4" w:rsidRPr="009A51A9" w:rsidRDefault="008734F4">
      <w:pPr>
        <w:pStyle w:val="Heading2"/>
        <w:rPr>
          <w:lang w:val="en-US"/>
        </w:rPr>
      </w:pPr>
      <w:bookmarkStart w:id="7" w:name="_Toc238927732"/>
      <w:bookmarkStart w:id="8" w:name="X0a271541cc069c02fd4bfd44bda577c004027b9"/>
      <w:bookmarkEnd w:id="6"/>
      <w:r w:rsidRPr="009A51A9">
        <w:rPr>
          <w:rStyle w:val="SectionNumber"/>
          <w:lang w:val="en-US"/>
        </w:rPr>
        <w:t>3.3</w:t>
      </w:r>
      <w:r w:rsidRPr="009A51A9">
        <w:rPr>
          <w:lang w:val="en-US"/>
        </w:rPr>
        <w:tab/>
        <w:t>Opening Story — Two Districts That Look Similar</w:t>
      </w:r>
      <w:bookmarkEnd w:id="7"/>
    </w:p>
    <w:p w14:paraId="77F37237" w14:textId="77777777" w:rsidR="008734F4" w:rsidRDefault="008734F4">
      <w:pPr>
        <w:pStyle w:val="FirstParagraph"/>
      </w:pPr>
      <w:r>
        <w:t>Two agricultural districts have similar total cereal production. A quick comparison suggests they face the same policy situation.</w:t>
      </w:r>
    </w:p>
    <w:p w14:paraId="5171A4E3" w14:textId="77777777" w:rsidR="008734F4" w:rsidRDefault="008734F4">
      <w:pPr>
        <w:pStyle w:val="BodyText"/>
      </w:pPr>
      <w:r>
        <w:t xml:space="preserve">Yet one district has high rainfall, low fertilizer </w:t>
      </w:r>
      <w:proofErr w:type="gramStart"/>
      <w:r>
        <w:t>use</w:t>
      </w:r>
      <w:proofErr w:type="gramEnd"/>
      <w:r>
        <w:t xml:space="preserve"> and limited market access. The other has lower rainfall, intensive inputs and strong market connections.</w:t>
      </w:r>
    </w:p>
    <w:p w14:paraId="0FCF6A84" w14:textId="77777777" w:rsidR="008734F4" w:rsidRDefault="008734F4">
      <w:pPr>
        <w:pStyle w:val="BodyText"/>
      </w:pPr>
      <w:r>
        <w:t>A single number hides their different structures.</w:t>
      </w:r>
    </w:p>
    <w:p w14:paraId="2335F976" w14:textId="77777777" w:rsidR="008734F4" w:rsidRDefault="008734F4">
      <w:pPr>
        <w:pStyle w:val="BodyText"/>
      </w:pPr>
      <w:r>
        <w:t>Represent each district by a vector:</w:t>
      </w:r>
    </w:p>
    <w:p w14:paraId="68AFDD7C" w14:textId="77777777" w:rsidR="008734F4" w:rsidRDefault="008734F4">
      <w:pPr>
        <w:pStyle w:val="EquationDisplay"/>
      </w:pPr>
      <m:oMathPara>
        <m:oMathParaPr>
          <m:jc m:val="center"/>
        </m:oMathParaPr>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nor/>
                      </m:rPr>
                      <m:t>rainfall</m:t>
                    </m:r>
                  </m:e>
                </m:mr>
                <m:mr>
                  <m:e>
                    <m:r>
                      <m:rPr>
                        <m:nor/>
                      </m:rPr>
                      <m:t>fertilizer</m:t>
                    </m:r>
                  </m:e>
                </m:mr>
                <m:mr>
                  <m:e>
                    <m:r>
                      <m:rPr>
                        <m:nor/>
                      </m:rPr>
                      <m:t>yield</m:t>
                    </m:r>
                  </m:e>
                </m:mr>
                <m:mr>
                  <m:e>
                    <m:r>
                      <m:rPr>
                        <m:nor/>
                      </m:rPr>
                      <m:t>market access</m:t>
                    </m:r>
                  </m:e>
                </m:mr>
              </m:m>
            </m:e>
          </m:d>
          <m:r>
            <m:rPr>
              <m:sty m:val="p"/>
            </m:rPr>
            <w:rPr>
              <w:rFonts w:ascii="Cambria Math" w:hAnsi="Cambria Math"/>
            </w:rPr>
            <m:t>.</m:t>
          </m:r>
        </m:oMath>
      </m:oMathPara>
    </w:p>
    <w:p w14:paraId="3DD0D209" w14:textId="77777777" w:rsidR="008734F4" w:rsidRDefault="008734F4">
      <w:pPr>
        <w:pStyle w:val="FirstParagraph"/>
      </w:pPr>
      <w:r>
        <w:t>The districts can now be compared as profiles rather than totals. But the comparison remains meaningful only if units, scaling and indicator direction are treated correctly.</w:t>
      </w:r>
    </w:p>
    <w:p w14:paraId="0F168401" w14:textId="77777777" w:rsidR="008734F4" w:rsidRPr="009A51A9" w:rsidRDefault="008734F4">
      <w:pPr>
        <w:pStyle w:val="Heading2"/>
        <w:rPr>
          <w:lang w:val="en-US"/>
        </w:rPr>
      </w:pPr>
      <w:bookmarkStart w:id="9" w:name="_Toc238927733"/>
      <w:bookmarkStart w:id="10" w:name="what-is-a-vector"/>
      <w:bookmarkEnd w:id="8"/>
      <w:r w:rsidRPr="009A51A9">
        <w:rPr>
          <w:rStyle w:val="SectionNumber"/>
          <w:lang w:val="en-US"/>
        </w:rPr>
        <w:t>3.4</w:t>
      </w:r>
      <w:r w:rsidRPr="009A51A9">
        <w:rPr>
          <w:lang w:val="en-US"/>
        </w:rPr>
        <w:tab/>
        <w:t>What Is a Vector?</w:t>
      </w:r>
      <w:bookmarkEnd w:id="9"/>
    </w:p>
    <w:p w14:paraId="6DD2E0F1" w14:textId="77777777" w:rsidR="008734F4" w:rsidRDefault="008734F4">
      <w:pPr>
        <w:pStyle w:val="FirstParagraph"/>
      </w:pPr>
      <w:r>
        <w:t>A scalar records magnitude:</w:t>
      </w:r>
      <w:r>
        <w:fldChar w:fldCharType="begin"/>
      </w:r>
      <w:r>
        <w:instrText xml:space="preserve"> XE "scalar" </w:instrText>
      </w:r>
      <w:r>
        <w:fldChar w:fldCharType="end"/>
      </w:r>
    </w:p>
    <w:p w14:paraId="4E0C81CC" w14:textId="77777777" w:rsidR="008734F4" w:rsidRDefault="008734F4">
      <w:pPr>
        <w:pStyle w:val="EquationDisplay"/>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50DC5FE0" w14:textId="77777777" w:rsidR="008734F4" w:rsidRDefault="008734F4">
      <w:pPr>
        <w:pStyle w:val="FirstParagraph"/>
      </w:pPr>
      <w:r>
        <w:t>A vector records ordered components:</w:t>
      </w:r>
    </w:p>
    <w:p w14:paraId="3156FC60" w14:textId="77777777" w:rsidR="008734F4" w:rsidRDefault="008734F4">
      <w:pPr>
        <w:pStyle w:val="EquationDisplay"/>
      </w:pPr>
      <m:oMathPara>
        <m:oMathParaPr>
          <m:jc m:val="center"/>
        </m:oMathParaP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e>
            <m:sup>
              <m:r>
                <m:rPr>
                  <m:sty m:val="p"/>
                </m:rPr>
                <w:rPr>
                  <w:rFonts w:ascii="Cambria Math" w:hAnsi="Cambria Math"/>
                </w:rPr>
                <m:t>⊤</m:t>
              </m:r>
            </m:sup>
          </m:sSup>
          <m:r>
            <m:rPr>
              <m:sty m:val="p"/>
            </m:rPr>
            <w:rPr>
              <w:rFonts w:ascii="Cambria Math" w:hAnsi="Cambria Math"/>
            </w:rPr>
            <m:t>.</m:t>
          </m:r>
        </m:oMath>
      </m:oMathPara>
    </w:p>
    <w:p w14:paraId="711CCD35" w14:textId="77777777" w:rsidR="008734F4" w:rsidRDefault="008734F4">
      <w:pPr>
        <w:pStyle w:val="FirstParagraph"/>
      </w:pPr>
      <w:r>
        <w:t>Depending on context, a vector may represent a displacement, an observation, a feature profile, a probability distribution, an embedding, a gradient or the state of a digital twin.</w:t>
      </w:r>
    </w:p>
    <w:p w14:paraId="78F95E64" w14:textId="77777777" w:rsidR="008734F4" w:rsidRDefault="008734F4">
      <w:pPr>
        <w:pStyle w:val="BodyText"/>
      </w:pPr>
      <w:r>
        <w:t>Vector addition and scalar multiplication are defined component by component:</w:t>
      </w:r>
    </w:p>
    <w:p w14:paraId="11A71126" w14:textId="77777777" w:rsidR="008734F4" w:rsidRDefault="008734F4">
      <w:pPr>
        <w:pStyle w:val="EquationDisplay"/>
      </w:pPr>
      <m:oMathPara>
        <m:oMathParaPr>
          <m:jc m:val="center"/>
        </m:oMathParaPr>
        <m:oMath>
          <m:r>
            <m:rPr>
              <m:sty m:val="b"/>
            </m:rPr>
            <w:rPr>
              <w:rFonts w:ascii="Cambria Math" w:hAnsi="Cambria Math"/>
            </w:rPr>
            <w:lastRenderedPageBreak/>
            <m:t>x</m:t>
          </m:r>
          <m:r>
            <m:rPr>
              <m:sty m:val="p"/>
            </m:rPr>
            <w:rPr>
              <w:rFonts w:ascii="Cambria Math" w:hAnsi="Cambria Math"/>
            </w:rPr>
            <m:t>+</m:t>
          </m:r>
          <m:r>
            <m:rPr>
              <m:sty m:val="b"/>
            </m:rPr>
            <w:rPr>
              <w:rFonts w:ascii="Cambria Math" w:hAnsi="Cambria Math"/>
            </w:rPr>
            <m:t>y</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r>
            <m:rPr>
              <m:sty m:val="p"/>
            </m:rPr>
            <w:rPr>
              <w:rFonts w:ascii="Cambria Math" w:hAnsi="Cambria Math"/>
            </w:rPr>
            <m:t>,</m:t>
          </m:r>
        </m:oMath>
      </m:oMathPara>
    </w:p>
    <w:p w14:paraId="5149AB28" w14:textId="77777777" w:rsidR="008734F4" w:rsidRDefault="008734F4">
      <w:pPr>
        <w:pStyle w:val="EquationDisplay"/>
      </w:pPr>
      <m:oMathPara>
        <m:oMathParaPr>
          <m:jc m:val="center"/>
        </m:oMathParaPr>
        <m:oMath>
          <m:r>
            <w:rPr>
              <w:rFonts w:ascii="Cambria Math" w:hAnsi="Cambria Math"/>
            </w:rPr>
            <m:t>c</m:t>
          </m:r>
          <m:r>
            <m:rPr>
              <m:sty m:val="b"/>
            </m:rP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x</m:t>
                  </m:r>
                </m:e>
                <m:sub>
                  <m:r>
                    <w:rPr>
                      <w:rFonts w:ascii="Cambria Math" w:hAnsi="Cambria Math"/>
                    </w:rPr>
                    <m:t>n</m:t>
                  </m:r>
                </m:sub>
              </m:sSub>
            </m:e>
          </m:d>
          <m:r>
            <m:rPr>
              <m:sty m:val="p"/>
            </m:rPr>
            <w:rPr>
              <w:rFonts w:ascii="Cambria Math" w:hAnsi="Cambria Math"/>
            </w:rPr>
            <m:t>.</m:t>
          </m:r>
        </m:oMath>
      </m:oMathPara>
    </w:p>
    <w:p w14:paraId="1237FAE5" w14:textId="77777777" w:rsidR="008734F4" w:rsidRDefault="008734F4">
      <w:pPr>
        <w:pStyle w:val="FirstParagraph"/>
      </w:pPr>
      <w:r>
        <w:t>These simple operations allow complex states to be combined and adjusted.</w:t>
      </w:r>
    </w:p>
    <w:p w14:paraId="08A0E31C" w14:textId="77777777" w:rsidR="008734F4" w:rsidRPr="009A51A9" w:rsidRDefault="008734F4">
      <w:pPr>
        <w:pStyle w:val="Heading2"/>
        <w:rPr>
          <w:lang w:val="en-US"/>
        </w:rPr>
      </w:pPr>
      <w:bookmarkStart w:id="11" w:name="_Toc238927734"/>
      <w:bookmarkStart w:id="12" w:name="magnitude-and-norms"/>
      <w:bookmarkEnd w:id="10"/>
      <w:r w:rsidRPr="009A51A9">
        <w:rPr>
          <w:rStyle w:val="SectionNumber"/>
          <w:lang w:val="en-US"/>
        </w:rPr>
        <w:t>3.5</w:t>
      </w:r>
      <w:r w:rsidRPr="009A51A9">
        <w:rPr>
          <w:lang w:val="en-US"/>
        </w:rPr>
        <w:tab/>
        <w:t>Magnitude and Norms</w:t>
      </w:r>
      <w:bookmarkEnd w:id="11"/>
    </w:p>
    <w:p w14:paraId="1F355A54" w14:textId="77777777" w:rsidR="008734F4" w:rsidRDefault="008734F4">
      <w:pPr>
        <w:pStyle w:val="FirstParagraph"/>
      </w:pPr>
      <w:r>
        <w:t>Different norms express different ideas of size:</w:t>
      </w:r>
    </w:p>
    <w:p w14:paraId="5CD701FC" w14:textId="77777777" w:rsidR="008734F4" w:rsidRDefault="008734F4">
      <w:pPr>
        <w:pStyle w:val="EquationDisplay"/>
      </w:pPr>
      <m:oMathPara>
        <m:oMathParaPr>
          <m:jc m:val="center"/>
        </m:oMathParaPr>
        <m:oMath>
          <m:r>
            <m:rPr>
              <m:sty m:val="p"/>
            </m:rPr>
            <w:rPr>
              <w:rFonts w:ascii="Cambria Math" w:hAnsi="Cambria Math"/>
            </w:rPr>
            <m:t>∥</m:t>
          </m:r>
          <m:r>
            <m:rPr>
              <m:sty m:val="b"/>
            </m:rP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nary>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e>
          </m:rad>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x</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oMath>
      </m:oMathPara>
    </w:p>
    <w:p w14:paraId="3F740699" w14:textId="77777777" w:rsidR="008734F4" w:rsidRDefault="008734F4">
      <w:pPr>
        <w:pStyle w:val="FirstParagraph"/>
      </w:pPr>
      <w:r>
        <w:t>The L¹ norm accumulates absolute magnitudes. The L² norm gives Euclidean length. The L∞ norm focuses on the largest absolute component.</w:t>
      </w:r>
    </w:p>
    <w:p w14:paraId="612E048E" w14:textId="77777777" w:rsidR="008734F4" w:rsidRDefault="008734F4">
      <w:pPr>
        <w:pStyle w:val="BodyText"/>
      </w:pPr>
      <w:r>
        <w:t>No norm is universally correct. The appropriate choice depends on what distance or error means in the problem.</w:t>
      </w:r>
    </w:p>
    <w:p w14:paraId="3D71A7C8" w14:textId="77777777" w:rsidR="008734F4" w:rsidRDefault="008734F4">
      <w:pPr>
        <w:pStyle w:val="BodyText"/>
      </w:pPr>
      <w:r>
        <w:t>Euclidean distance is</w:t>
      </w:r>
    </w:p>
    <w:p w14:paraId="4C3E8896" w14:textId="77777777" w:rsidR="008734F4" w:rsidRDefault="008734F4">
      <w:pPr>
        <w:pStyle w:val="EquationDisplay"/>
      </w:pPr>
      <m:oMathPara>
        <m:oMathParaPr>
          <m:jc m:val="center"/>
        </m:oMathParaPr>
        <m:oMath>
          <m:r>
            <w:rPr>
              <w:rFonts w:ascii="Cambria Math" w:hAnsi="Cambria Math"/>
            </w:rPr>
            <m:t>d</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e>
          </m:d>
          <m:r>
            <m:rPr>
              <m:sty m:val="p"/>
            </m:rPr>
            <w:rPr>
              <w:rFonts w:ascii="Cambria Math" w:hAnsi="Cambria Math"/>
            </w:rPr>
            <m:t>=∥</m:t>
          </m:r>
          <m:r>
            <m:rPr>
              <m:sty m:val="b"/>
            </m:rPr>
            <w:rPr>
              <w:rFonts w:ascii="Cambria Math" w:hAnsi="Cambria Math"/>
            </w:rPr>
            <m:t>x</m:t>
          </m:r>
          <m:r>
            <m:rPr>
              <m:sty m:val="p"/>
            </m:rPr>
            <w:rPr>
              <w:rFonts w:ascii="Cambria Math" w:hAnsi="Cambria Math"/>
            </w:rPr>
            <m:t>-</m:t>
          </m:r>
          <m:r>
            <m:rPr>
              <m:sty m:val="b"/>
            </m:rP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m:oMathPara>
    </w:p>
    <w:p w14:paraId="160AAFAC" w14:textId="77777777" w:rsidR="008734F4" w:rsidRDefault="008734F4">
      <w:pPr>
        <w:pStyle w:val="FirstParagraph"/>
      </w:pPr>
      <w:r>
        <w:t>If indicators use incompatible units, raw Euclidean distance may be dominated by the variable with the largest numerical scale.</w:t>
      </w:r>
    </w:p>
    <w:p w14:paraId="33021068" w14:textId="77777777" w:rsidR="008734F4" w:rsidRPr="009A51A9" w:rsidRDefault="008734F4">
      <w:pPr>
        <w:pStyle w:val="Heading2"/>
        <w:rPr>
          <w:lang w:val="en-US"/>
        </w:rPr>
      </w:pPr>
      <w:bookmarkStart w:id="13" w:name="_Toc238927735"/>
      <w:bookmarkStart w:id="14" w:name="dot-product-angle-and-similarity"/>
      <w:bookmarkEnd w:id="12"/>
      <w:r w:rsidRPr="009A51A9">
        <w:rPr>
          <w:rStyle w:val="SectionNumber"/>
          <w:lang w:val="en-US"/>
        </w:rPr>
        <w:t>3.6</w:t>
      </w:r>
      <w:r w:rsidRPr="009A51A9">
        <w:rPr>
          <w:lang w:val="en-US"/>
        </w:rPr>
        <w:tab/>
        <w:t>Dot Product, Angle and Similarity</w:t>
      </w:r>
      <w:bookmarkEnd w:id="13"/>
      <w:r>
        <w:fldChar w:fldCharType="begin"/>
      </w:r>
      <w:r w:rsidRPr="009A51A9">
        <w:rPr>
          <w:lang w:val="en-US"/>
        </w:rPr>
        <w:instrText xml:space="preserve"> XE "dot product" </w:instrText>
      </w:r>
      <w:r>
        <w:fldChar w:fldCharType="end"/>
      </w:r>
    </w:p>
    <w:p w14:paraId="713C4516" w14:textId="77777777" w:rsidR="008734F4" w:rsidRDefault="008734F4">
      <w:pPr>
        <w:pStyle w:val="FirstParagraph"/>
      </w:pPr>
      <w:r>
        <w:t>The dot product is</w:t>
      </w:r>
    </w:p>
    <w:p w14:paraId="30335EFE" w14:textId="77777777" w:rsidR="008734F4" w:rsidRDefault="00CD6810">
      <w:pPr>
        <w:pStyle w:val="EquationDisplay"/>
      </w:pPr>
      <m:oMathPara>
        <m:oMathParaPr>
          <m:jc m:val="center"/>
        </m:oMathParaPr>
        <m:oMath>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b"/>
            </m:rPr>
            <w:rPr>
              <w:rFonts w:ascii="Cambria Math" w:hAnsi="Cambria Math"/>
            </w:rPr>
            <m: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m:oMathPara>
    </w:p>
    <w:p w14:paraId="3DD015CF" w14:textId="77777777" w:rsidR="008734F4" w:rsidRDefault="008734F4">
      <w:pPr>
        <w:pStyle w:val="FirstParagraph"/>
      </w:pPr>
      <w:r>
        <w:t>For nonzero vectors,</w:t>
      </w:r>
    </w:p>
    <w:p w14:paraId="72E17060" w14:textId="77777777" w:rsidR="008734F4" w:rsidRDefault="008734F4">
      <w:pPr>
        <w:pStyle w:val="EquationDisplay"/>
      </w:pPr>
      <m:oMathPara>
        <m:oMathParaPr>
          <m:jc m:val="center"/>
        </m:oMathParaPr>
        <m:oMath>
          <m:r>
            <m:rPr>
              <m:sty m:val="p"/>
            </m:rPr>
            <w:rPr>
              <w:rFonts w:ascii="Cambria Math" w:hAnsi="Cambria Math"/>
            </w:rPr>
            <m:t>cos</m:t>
          </m:r>
          <m:r>
            <w:rPr>
              <w:rFonts w:ascii="Cambria Math" w:hAnsi="Cambria Math"/>
            </w:rPr>
            <m:t>θ</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b"/>
                </m:rPr>
                <w:rPr>
                  <w:rFonts w:ascii="Cambria Math" w:hAnsi="Cambria Math"/>
                </w:rPr>
                <m:t>y</m:t>
              </m:r>
            </m:num>
            <m:den>
              <m:r>
                <m:rPr>
                  <m:sty m:val="p"/>
                </m:rPr>
                <w:rPr>
                  <w:rFonts w:ascii="Cambria Math" w:hAnsi="Cambria Math"/>
                </w:rPr>
                <m:t>∥</m:t>
              </m:r>
              <m:r>
                <m:rPr>
                  <m:sty m:val="b"/>
                </m:rP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m:rPr>
                  <m:sty m:val="b"/>
                </m:rP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oMath>
      </m:oMathPara>
    </w:p>
    <w:p w14:paraId="4DA10C55" w14:textId="77777777" w:rsidR="008734F4" w:rsidRDefault="008734F4">
      <w:pPr>
        <w:pStyle w:val="FirstParagraph"/>
      </w:pPr>
      <w:r>
        <w:t>Orthogonal vectors have zero dot product. For nonzero vectors, cosine similarity equals 1 for the same direction, 0 for orthogonal directions and −1 for opposite directions. Cosine similarity is undefined if either vector is zero.</w:t>
      </w:r>
    </w:p>
    <w:p w14:paraId="366303A7" w14:textId="77777777" w:rsidR="008734F4" w:rsidRDefault="008734F4">
      <w:pPr>
        <w:pStyle w:val="BodyText"/>
      </w:pPr>
      <w:r>
        <w:t>Cosine similarity emphasizes orientation rather than magnitude. This makes it useful for text embeddings, but it does not prove semantic equivalence, causation or policy interchangeability.</w:t>
      </w:r>
    </w:p>
    <w:p w14:paraId="0F8FF14B" w14:textId="77777777" w:rsidR="008734F4" w:rsidRPr="009A51A9" w:rsidRDefault="008734F4">
      <w:pPr>
        <w:pStyle w:val="Heading2"/>
        <w:rPr>
          <w:lang w:val="en-US"/>
        </w:rPr>
      </w:pPr>
      <w:bookmarkStart w:id="15" w:name="_Toc238927736"/>
      <w:bookmarkStart w:id="16" w:name="projection"/>
      <w:bookmarkEnd w:id="14"/>
      <w:r w:rsidRPr="009A51A9">
        <w:rPr>
          <w:rStyle w:val="SectionNumber"/>
          <w:lang w:val="en-US"/>
        </w:rPr>
        <w:t>3.7</w:t>
      </w:r>
      <w:r w:rsidRPr="009A51A9">
        <w:rPr>
          <w:lang w:val="en-US"/>
        </w:rPr>
        <w:tab/>
        <w:t>Projection</w:t>
      </w:r>
      <w:bookmarkEnd w:id="15"/>
    </w:p>
    <w:p w14:paraId="202872A2" w14:textId="77777777" w:rsidR="008734F4" w:rsidRDefault="008734F4">
      <w:pPr>
        <w:pStyle w:val="FirstParagraph"/>
      </w:pPr>
      <w:r>
        <w:t>The projection of vector x onto a nonzero direction u is</w:t>
      </w:r>
    </w:p>
    <w:p w14:paraId="4AC28705" w14:textId="77777777" w:rsidR="008734F4" w:rsidRDefault="00CD6810">
      <w:pPr>
        <w:pStyle w:val="EquationDisplay"/>
      </w:pPr>
      <m:oMathPara>
        <m:oMathParaPr>
          <m:jc m:val="center"/>
        </m:oMathParaPr>
        <m:oMath>
          <m:sSub>
            <m:sSubPr>
              <m:ctrlPr>
                <w:rPr>
                  <w:rFonts w:ascii="Cambria Math" w:hAnsi="Cambria Math"/>
                </w:rPr>
              </m:ctrlPr>
            </m:sSubPr>
            <m:e>
              <m:r>
                <m:rPr>
                  <m:sty m:val="p"/>
                </m:rPr>
                <w:rPr>
                  <w:rFonts w:ascii="Cambria Math" w:hAnsi="Cambria Math"/>
                </w:rPr>
                <m:t>proj</m:t>
              </m:r>
            </m:e>
            <m:sub>
              <m:r>
                <m:rPr>
                  <m:sty m:val="b"/>
                </m:rPr>
                <w:rPr>
                  <w:rFonts w:ascii="Cambria Math" w:hAnsi="Cambria Math"/>
                </w:rPr>
                <m:t>u</m:t>
              </m:r>
            </m:sub>
          </m:sSub>
          <m:d>
            <m:dPr>
              <m:ctrlPr>
                <w:rPr>
                  <w:rFonts w:ascii="Cambria Math" w:hAnsi="Cambria Math"/>
                </w:rPr>
              </m:ctrlPr>
            </m:dPr>
            <m:e>
              <m:r>
                <m:rPr>
                  <m:sty m:val="b"/>
                </m:rPr>
                <w:rPr>
                  <w:rFonts w:ascii="Cambria Math" w:hAnsi="Cambria Math"/>
                </w:rPr>
                <m:t>x</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b"/>
                </m:rPr>
                <w:rPr>
                  <w:rFonts w:ascii="Cambria Math" w:hAnsi="Cambria Math"/>
                </w:rPr>
                <m:t>u</m:t>
              </m:r>
            </m:num>
            <m:den>
              <m:sSup>
                <m:sSupPr>
                  <m:ctrlPr>
                    <w:rPr>
                      <w:rFonts w:ascii="Cambria Math" w:hAnsi="Cambria Math"/>
                    </w:rPr>
                  </m:ctrlPr>
                </m:sSupPr>
                <m:e>
                  <m:r>
                    <m:rPr>
                      <m:sty m:val="b"/>
                    </m:rPr>
                    <w:rPr>
                      <w:rFonts w:ascii="Cambria Math" w:hAnsi="Cambria Math"/>
                    </w:rPr>
                    <m:t>u</m:t>
                  </m:r>
                </m:e>
                <m:sup>
                  <m:r>
                    <m:rPr>
                      <m:sty m:val="p"/>
                    </m:rPr>
                    <w:rPr>
                      <w:rFonts w:ascii="Cambria Math" w:hAnsi="Cambria Math"/>
                    </w:rPr>
                    <m:t>⊤</m:t>
                  </m:r>
                </m:sup>
              </m:sSup>
              <m:r>
                <m:rPr>
                  <m:sty m:val="b"/>
                </m:rPr>
                <w:rPr>
                  <w:rFonts w:ascii="Cambria Math" w:hAnsi="Cambria Math"/>
                </w:rPr>
                <m:t>u</m:t>
              </m:r>
            </m:den>
          </m:f>
          <m:r>
            <m:rPr>
              <m:sty m:val="b"/>
            </m:rPr>
            <w:rPr>
              <w:rFonts w:ascii="Cambria Math" w:hAnsi="Cambria Math"/>
            </w:rPr>
            <m:t>u</m:t>
          </m:r>
          <m:r>
            <m:rPr>
              <m:sty m:val="p"/>
            </m:rPr>
            <w:rPr>
              <w:rFonts w:ascii="Cambria Math" w:hAnsi="Cambria Math"/>
            </w:rPr>
            <m:t>.</m:t>
          </m:r>
        </m:oMath>
      </m:oMathPara>
    </w:p>
    <w:p w14:paraId="23C2A050" w14:textId="77777777" w:rsidR="008734F4" w:rsidRDefault="008734F4">
      <w:pPr>
        <w:pStyle w:val="FirstParagraph"/>
      </w:pPr>
      <w:r>
        <w:t>The rejection</w:t>
      </w:r>
    </w:p>
    <w:p w14:paraId="7C8CDA33" w14:textId="77777777" w:rsidR="008734F4" w:rsidRDefault="008734F4">
      <w:pPr>
        <w:pStyle w:val="EquationDisplay"/>
      </w:pPr>
      <m:oMathPara>
        <m:oMathParaPr>
          <m:jc m:val="center"/>
        </m:oMathParaPr>
        <m:oMath>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proj</m:t>
              </m:r>
            </m:e>
            <m:sub>
              <m:r>
                <m:rPr>
                  <m:sty m:val="b"/>
                </m:rPr>
                <w:rPr>
                  <w:rFonts w:ascii="Cambria Math" w:hAnsi="Cambria Math"/>
                </w:rPr>
                <m:t>u</m:t>
              </m:r>
            </m:sub>
          </m:sSub>
          <m:d>
            <m:dPr>
              <m:ctrlPr>
                <w:rPr>
                  <w:rFonts w:ascii="Cambria Math" w:hAnsi="Cambria Math"/>
                </w:rPr>
              </m:ctrlPr>
            </m:dPr>
            <m:e>
              <m:r>
                <m:rPr>
                  <m:sty m:val="b"/>
                </m:rPr>
                <w:rPr>
                  <w:rFonts w:ascii="Cambria Math" w:hAnsi="Cambria Math"/>
                </w:rPr>
                <m:t>x</m:t>
              </m:r>
            </m:e>
          </m:d>
        </m:oMath>
      </m:oMathPara>
    </w:p>
    <w:p w14:paraId="429BDF1F" w14:textId="77777777" w:rsidR="008734F4" w:rsidRDefault="008734F4">
      <w:pPr>
        <w:pStyle w:val="FirstParagraph"/>
      </w:pPr>
      <w:r>
        <w:t>is orthogonal to u; equivalently, uᵀr = 0.</w:t>
      </w:r>
    </w:p>
    <w:p w14:paraId="70CB8731" w14:textId="77777777" w:rsidR="008734F4" w:rsidRDefault="008734F4">
      <w:pPr>
        <w:pStyle w:val="BodyText"/>
      </w:pPr>
      <w:r>
        <w:t>Projection separates the component aligned with a chosen direction from the component that lies outside it. This idea later becomes central to regression, principal-component analysis and attention mechanisms.</w:t>
      </w:r>
    </w:p>
    <w:p w14:paraId="4B0E6853" w14:textId="77777777" w:rsidR="008734F4" w:rsidRPr="009A51A9" w:rsidRDefault="008734F4">
      <w:pPr>
        <w:pStyle w:val="Heading2"/>
        <w:rPr>
          <w:lang w:val="en-US"/>
        </w:rPr>
      </w:pPr>
      <w:bookmarkStart w:id="17" w:name="_Toc238927737"/>
      <w:bookmarkStart w:id="18" w:name="linear-combinations-span-and-bases"/>
      <w:bookmarkEnd w:id="16"/>
      <w:r w:rsidRPr="009A51A9">
        <w:rPr>
          <w:rStyle w:val="SectionNumber"/>
          <w:lang w:val="en-US"/>
        </w:rPr>
        <w:t>3.8</w:t>
      </w:r>
      <w:r w:rsidRPr="009A51A9">
        <w:rPr>
          <w:lang w:val="en-US"/>
        </w:rPr>
        <w:tab/>
        <w:t>Linear Combinations, Span and Bases</w:t>
      </w:r>
      <w:bookmarkEnd w:id="17"/>
    </w:p>
    <w:p w14:paraId="02C50602" w14:textId="77777777" w:rsidR="008734F4" w:rsidRDefault="008734F4">
      <w:pPr>
        <w:pStyle w:val="FirstParagraph"/>
      </w:pPr>
      <w:r>
        <w:t>A linear combination is</w:t>
      </w:r>
      <w:r>
        <w:fldChar w:fldCharType="begin"/>
      </w:r>
      <w:r>
        <w:instrText xml:space="preserve"> XE "linear combination" </w:instrText>
      </w:r>
      <w:r>
        <w:fldChar w:fldCharType="end"/>
      </w:r>
    </w:p>
    <w:p w14:paraId="5B8423A3" w14:textId="77777777" w:rsidR="008734F4" w:rsidRDefault="00CD6810">
      <w:pPr>
        <w:pStyle w:val="EquationDisplay"/>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m:rPr>
                  <m:sty m:val="b"/>
                </m:rP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Sub>
            <m:sSubPr>
              <m:ctrlPr>
                <w:rPr>
                  <w:rFonts w:ascii="Cambria Math" w:hAnsi="Cambria Math"/>
                </w:rPr>
              </m:ctrlPr>
            </m:sSubPr>
            <m:e>
              <m:r>
                <m:rPr>
                  <m:sty m:val="b"/>
                </m:rPr>
                <w:rPr>
                  <w:rFonts w:ascii="Cambria Math" w:hAnsi="Cambria Math"/>
                </w:rPr>
                <m:t>v</m:t>
              </m:r>
            </m:e>
            <m:sub>
              <m:r>
                <w:rPr>
                  <w:rFonts w:ascii="Cambria Math" w:hAnsi="Cambria Math"/>
                </w:rPr>
                <m:t>k</m:t>
              </m:r>
            </m:sub>
          </m:sSub>
          <m:r>
            <m:rPr>
              <m:sty m:val="p"/>
            </m:rPr>
            <w:rPr>
              <w:rFonts w:ascii="Cambria Math" w:hAnsi="Cambria Math"/>
            </w:rPr>
            <m:t>.</m:t>
          </m:r>
        </m:oMath>
      </m:oMathPara>
    </w:p>
    <w:p w14:paraId="775804CC" w14:textId="77777777" w:rsidR="008734F4" w:rsidRDefault="008734F4">
      <w:pPr>
        <w:pStyle w:val="FirstParagraph"/>
      </w:pPr>
      <w:r>
        <w:t xml:space="preserve">The set of every such combination is </w:t>
      </w:r>
      <w:proofErr w:type="gramStart"/>
      <w:r>
        <w:t>the span</w:t>
      </w:r>
      <w:proofErr w:type="gramEnd"/>
      <w:r>
        <w:t>. A basis is a linearly independent set that spans a space.</w:t>
      </w:r>
    </w:p>
    <w:p w14:paraId="06BCFC20" w14:textId="77777777" w:rsidR="008734F4" w:rsidRDefault="008734F4">
      <w:pPr>
        <w:pStyle w:val="BodyText"/>
      </w:pPr>
      <w:r>
        <w:t>For linearly independent vectors v₁,…,vₖ, Gram–Schmidt constructs an orthonormal basis by removing components along directions already constructed:</w:t>
      </w:r>
    </w:p>
    <w:p>
      <w:pPr>
        <w:pStyle w:val="FirstParagraph"/>
      </w:pPr>
      <m:oMathPara>
        <m:oMathParaPr>
          <m:jc m:val="center"/>
        </m:oMathParaPr>
        <m:oMath>
          <m:sSub>
            <m:e>
              <m:r>
                <m:rPr>
                  <m:sty m:val="b"/>
                </m:rPr>
                <m:t>q</m:t>
              </m:r>
            </m:e>
            <m:sub>
              <m:r>
                <m:t>1</m:t>
              </m:r>
            </m:sub>
          </m:sSub>
          <m:r>
            <m:rPr>
              <m:sty m:val="p"/>
            </m:rPr>
            <m:t>=</m:t>
          </m:r>
          <m:f>
            <m:fPr>
              <m:type m:val="bar"/>
            </m:fPr>
            <m:num>
              <m:sSub>
                <m:e>
                  <m:r>
                    <m:rPr>
                      <m:sty m:val="b"/>
                    </m:rPr>
                    <m:t>v</m:t>
                  </m:r>
                </m:e>
                <m:sub>
                  <m:r>
                    <m:t>1</m:t>
                  </m:r>
                </m:sub>
              </m:sSub>
            </m:num>
            <m:den>
              <m:r>
                <m:rPr>
                  <m:sty m:val="p"/>
                </m:rPr>
                <m:t>∥</m:t>
              </m:r>
              <m:sSub>
                <m:e>
                  <m:r>
                    <m:rPr>
                      <m:sty m:val="b"/>
                    </m:rPr>
                    <m:t>v</m:t>
                  </m:r>
                </m:e>
                <m:sub>
                  <m:r>
                    <m:t>1</m:t>
                  </m:r>
                </m:sub>
              </m:sSub>
              <m:sSub>
                <m:e>
                  <m:r>
                    <m:rPr>
                      <m:sty m:val="p"/>
                    </m:rPr>
                    <m:t>∥</m:t>
                  </m:r>
                </m:e>
                <m:sub>
                  <m:r>
                    <m:t>2</m:t>
                  </m:r>
                </m:sub>
              </m:sSub>
            </m:den>
          </m:f>
          <m:r>
            <m:rPr>
              <m:sty m:val="p"/>
            </m:rPr>
            <m:t>.</m:t>
          </m:r>
        </m:oMath>
      </m:oMathPara>
    </w:p>
    <w:p>
      <w:pPr>
        <w:pStyle w:val="FirstParagraph"/>
      </w:pPr>
      <m:oMathPara>
        <m:oMathParaPr>
          <m:jc m:val="center"/>
        </m:oMathParaPr>
        <m:oMath>
          <m:sSub>
            <m:e>
              <m:r>
                <m:rPr>
                  <m:sty m:val="b"/>
                </m:rPr>
                <m:t>u</m:t>
              </m:r>
            </m:e>
            <m:sub>
              <m:r>
                <m:t>k</m:t>
              </m:r>
            </m:sub>
          </m:sSub>
          <m:r>
            <m:rPr>
              <m:sty m:val="p"/>
            </m:rPr>
            <m:t>=</m:t>
          </m:r>
          <m:sSub>
            <m:e>
              <m:r>
                <m:rPr>
                  <m:sty m:val="b"/>
                </m:rPr>
                <m:t>v</m:t>
              </m:r>
            </m:e>
            <m:sub>
              <m:r>
                <m:t>k</m:t>
              </m:r>
            </m:sub>
          </m:sSub>
          <m:r>
            <m:rPr>
              <m:sty m:val="p"/>
            </m:rPr>
            <m:t>−</m:t>
          </m:r>
          <m:nary>
            <m:naryPr>
              <m:chr m:val="∑"/>
              <m:limLoc m:val="undOvr"/>
              <m:subHide m:val="off"/>
              <m:supHide m:val="off"/>
            </m:naryPr>
            <m:sub>
              <m:r>
                <m:t>j</m:t>
              </m:r>
              <m:r>
                <m:rPr>
                  <m:sty m:val="p"/>
                </m:rPr>
                <m:t>=</m:t>
              </m:r>
              <m:r>
                <m:t>1</m:t>
              </m:r>
            </m:sub>
            <m:sup>
              <m:r>
                <m:t>k</m:t>
              </m:r>
              <m:r>
                <m:rPr>
                  <m:sty m:val="p"/>
                </m:rPr>
                <m:t>−</m:t>
              </m:r>
              <m:r>
                <m:t>1</m:t>
              </m:r>
            </m:sup>
            <m:e>
              <m:d>
                <m:dPr>
                  <m:begChr m:val="("/>
                  <m:endChr m:val=")"/>
                  <m:sepChr m:val=""/>
                  <m:grow/>
                </m:dPr>
                <m:e>
                  <m:sSubSup>
                    <m:e>
                      <m:r>
                        <m:rPr>
                          <m:sty m:val="b"/>
                        </m:rPr>
                        <m:t>v</m:t>
                      </m:r>
                    </m:e>
                    <m:sub>
                      <m:r>
                        <m:t>k</m:t>
                      </m:r>
                    </m:sub>
                    <m:sup>
                      <m:r>
                        <m:rPr>
                          <m:sty m:val="p"/>
                        </m:rPr>
                        <m:t>⊤</m:t>
                      </m:r>
                    </m:sup>
                  </m:sSubSup>
                  <m:sSub>
                    <m:e>
                      <m:r>
                        <m:rPr>
                          <m:sty m:val="b"/>
                        </m:rPr>
                        <m:t>q</m:t>
                      </m:r>
                    </m:e>
                    <m:sub>
                      <m:r>
                        <m:t>j</m:t>
                      </m:r>
                    </m:sub>
                  </m:sSub>
                </m:e>
              </m:d>
            </m:e>
          </m:nary>
          <m:sSub>
            <m:e>
              <m:r>
                <m:rPr>
                  <m:sty m:val="b"/>
                </m:rPr>
                <m:t>q</m:t>
              </m:r>
            </m:e>
            <m:sub>
              <m:r>
                <m:t>j</m:t>
              </m:r>
            </m:sub>
          </m:sSub>
          <m:r>
            <m:rPr>
              <m:sty m:val="p"/>
            </m:rPr>
            <m:t>.</m:t>
          </m:r>
        </m:oMath>
      </m:oMathPara>
    </w:p>
    <w:p>
      <w:pPr>
        <w:pStyle w:val="FirstParagraph"/>
      </w:pPr>
      <m:oMathPara>
        <m:oMathParaPr>
          <m:jc m:val="center"/>
        </m:oMathParaPr>
        <m:oMath>
          <m:sSub>
            <m:e>
              <m:r>
                <m:rPr>
                  <m:sty m:val="b"/>
                </m:rPr>
                <m:t>q</m:t>
              </m:r>
            </m:e>
            <m:sub>
              <m:r>
                <m:t>k</m:t>
              </m:r>
            </m:sub>
          </m:sSub>
          <m:r>
            <m:rPr>
              <m:sty m:val="p"/>
            </m:rPr>
            <m:t>=</m:t>
          </m:r>
          <m:f>
            <m:fPr>
              <m:type m:val="bar"/>
            </m:fPr>
            <m:num>
              <m:sSub>
                <m:e>
                  <m:r>
                    <m:rPr>
                      <m:sty m:val="b"/>
                    </m:rPr>
                    <m:t>u</m:t>
                  </m:r>
                </m:e>
                <m:sub>
                  <m:r>
                    <m:t>k</m:t>
                  </m:r>
                </m:sub>
              </m:sSub>
            </m:num>
            <m:den>
              <m:r>
                <m:rPr>
                  <m:sty m:val="p"/>
                </m:rPr>
                <m:t>∥</m:t>
              </m:r>
              <m:sSub>
                <m:e>
                  <m:r>
                    <m:rPr>
                      <m:sty m:val="b"/>
                    </m:rPr>
                    <m:t>u</m:t>
                  </m:r>
                </m:e>
                <m:sub>
                  <m:r>
                    <m:t>k</m:t>
                  </m:r>
                </m:sub>
              </m:sSub>
              <m:sSub>
                <m:e>
                  <m:r>
                    <m:rPr>
                      <m:sty m:val="p"/>
                    </m:rPr>
                    <m:t>∥</m:t>
                  </m:r>
                </m:e>
                <m:sub>
                  <m:r>
                    <m:t>2</m:t>
                  </m:r>
                </m:sub>
              </m:sSub>
            </m:den>
          </m:f>
          <m:r>
            <m:rPr>
              <m:sty m:val="p"/>
            </m:rPr>
            <m:t>.</m:t>
          </m:r>
        </m:oMath>
      </m:oMathPara>
    </w:p>
    <w:p>
      <w:pPr>
        <w:pStyle w:val="BodyText"/>
      </w:pPr>
      <w:r>
        <w:t>For example, applying the procedure to v₁=(1,0)ᵀ and v₂=(1,1)ᵀ gives the standard orthonormal basis:</w:t>
      </w:r>
    </w:p>
    <w:p>
      <w:pPr>
        <w:pStyle w:val="FirstParagraph"/>
      </w:pPr>
      <m:oMathPara>
        <m:oMathParaPr>
          <m:jc m:val="center"/>
        </m:oMathParaPr>
        <m:oMath>
          <m:sSub>
            <m:e>
              <m:r>
                <m:rPr>
                  <m:sty m:val="b"/>
                </m:rPr>
                <m:t>v</m:t>
              </m:r>
            </m:e>
            <m:sub>
              <m:r>
                <m:t>1</m:t>
              </m:r>
            </m:sub>
          </m:sSub>
          <m:r>
            <m:rPr>
              <m:sty m:val="p"/>
            </m:rPr>
            <m:t>=</m:t>
          </m:r>
          <m:sSup>
            <m:e>
              <m:d>
                <m:dPr>
                  <m:begChr m:val="("/>
                  <m:endChr m:val=")"/>
                  <m:sepChr m:val=""/>
                  <m:grow/>
                </m:dPr>
                <m:e>
                  <m:r>
                    <m:t>1</m:t>
                  </m:r>
                  <m:r>
                    <m:rPr>
                      <m:sty m:val="p"/>
                    </m:rPr>
                    <m:t>,</m:t>
                  </m:r>
                  <m:r>
                    <m:t>0</m:t>
                  </m:r>
                </m:e>
              </m:d>
            </m:e>
            <m:sup>
              <m:r>
                <m:rPr>
                  <m:sty m:val="p"/>
                </m:rPr>
                <m:t>⊤</m:t>
              </m:r>
            </m:sup>
          </m:sSup>
          <m:r>
            <m:rPr>
              <m:sty m:val="p"/>
            </m:rPr>
            <m:t>,</m:t>
          </m:r>
          <m:r>
            <m:t> </m:t>
          </m:r>
          <m:sSub>
            <m:e>
              <m:r>
                <m:rPr>
                  <m:sty m:val="b"/>
                </m:rPr>
                <m:t>v</m:t>
              </m:r>
            </m:e>
            <m:sub>
              <m:r>
                <m:t>2</m:t>
              </m:r>
            </m:sub>
          </m:sSub>
          <m:r>
            <m:rPr>
              <m:sty m:val="p"/>
            </m:rPr>
            <m:t>=</m:t>
          </m:r>
          <m:sSup>
            <m:e>
              <m:d>
                <m:dPr>
                  <m:begChr m:val="("/>
                  <m:endChr m:val=")"/>
                  <m:sepChr m:val=""/>
                  <m:grow/>
                </m:dPr>
                <m:e>
                  <m:r>
                    <m:t>1</m:t>
                  </m:r>
                  <m:r>
                    <m:rPr>
                      <m:sty m:val="p"/>
                    </m:rPr>
                    <m:t>,</m:t>
                  </m:r>
                  <m:r>
                    <m:t>1</m:t>
                  </m:r>
                </m:e>
              </m:d>
            </m:e>
            <m:sup>
              <m:r>
                <m:rPr>
                  <m:sty m:val="p"/>
                </m:rPr>
                <m:t>⊤</m:t>
              </m:r>
            </m:sup>
          </m:sSup>
          <m:r>
            <m:t> </m:t>
          </m:r>
          <m:r>
            <m:rPr>
              <m:sty m:val="p"/>
            </m:rPr>
            <m:t>⇒</m:t>
          </m:r>
          <m:r>
            <m:t> </m:t>
          </m:r>
          <m:sSub>
            <m:e>
              <m:r>
                <m:rPr>
                  <m:sty m:val="b"/>
                </m:rPr>
                <m:t>q</m:t>
              </m:r>
            </m:e>
            <m:sub>
              <m:r>
                <m:t>1</m:t>
              </m:r>
            </m:sub>
          </m:sSub>
          <m:r>
            <m:rPr>
              <m:sty m:val="p"/>
            </m:rPr>
            <m:t>=</m:t>
          </m:r>
          <m:sSup>
            <m:e>
              <m:d>
                <m:dPr>
                  <m:begChr m:val="("/>
                  <m:endChr m:val=")"/>
                  <m:sepChr m:val=""/>
                  <m:grow/>
                </m:dPr>
                <m:e>
                  <m:r>
                    <m:t>1</m:t>
                  </m:r>
                  <m:r>
                    <m:rPr>
                      <m:sty m:val="p"/>
                    </m:rPr>
                    <m:t>,</m:t>
                  </m:r>
                  <m:r>
                    <m:t>0</m:t>
                  </m:r>
                </m:e>
              </m:d>
            </m:e>
            <m:sup>
              <m:r>
                <m:rPr>
                  <m:sty m:val="p"/>
                </m:rPr>
                <m:t>⊤</m:t>
              </m:r>
            </m:sup>
          </m:sSup>
          <m:r>
            <m:rPr>
              <m:sty m:val="p"/>
            </m:rPr>
            <m:t>,</m:t>
          </m:r>
          <m:r>
            <m:t> </m:t>
          </m:r>
          <m:sSub>
            <m:e>
              <m:r>
                <m:rPr>
                  <m:sty m:val="b"/>
                </m:rPr>
                <m:t>q</m:t>
              </m:r>
            </m:e>
            <m:sub>
              <m:r>
                <m:t>2</m:t>
              </m:r>
            </m:sub>
          </m:sSub>
          <m:r>
            <m:rPr>
              <m:sty m:val="p"/>
            </m:rPr>
            <m:t>=</m:t>
          </m:r>
          <m:sSup>
            <m:e>
              <m:d>
                <m:dPr>
                  <m:begChr m:val="("/>
                  <m:endChr m:val=")"/>
                  <m:sepChr m:val=""/>
                  <m:grow/>
                </m:dPr>
                <m:e>
                  <m:r>
                    <m:t>0</m:t>
                  </m:r>
                  <m:r>
                    <m:rPr>
                      <m:sty m:val="p"/>
                    </m:rPr>
                    <m:t>,</m:t>
                  </m:r>
                  <m:r>
                    <m:t>1</m:t>
                  </m:r>
                </m:e>
              </m:d>
            </m:e>
            <m:sup>
              <m:r>
                <m:rPr>
                  <m:sty m:val="p"/>
                </m:rPr>
                <m:t>⊤</m:t>
              </m:r>
            </m:sup>
          </m:sSup>
          <m:r>
            <m:rPr>
              <m:sty m:val="p"/>
            </m:rPr>
            <m:t>.</m:t>
          </m:r>
        </m:oMath>
      </m:oMathPara>
    </w:p>
    <w:p w14:paraId="1B210E66" w14:textId="77777777" w:rsidR="008734F4" w:rsidRDefault="008734F4">
      <w:pPr>
        <w:pStyle w:val="BodyText"/>
      </w:pPr>
      <w:r>
        <w:t>An orthonormal basis simplifies coordinates because dot products recover component weights directly.</w:t>
      </w:r>
      <w:r>
        <w:fldChar w:fldCharType="begin"/>
      </w:r>
      <w:r>
        <w:instrText xml:space="preserve"> XE "coordinates" </w:instrText>
      </w:r>
      <w:r>
        <w:fldChar w:fldCharType="end"/>
      </w:r>
    </w:p>
    <w:p w14:paraId="5E32306D" w14:textId="77777777" w:rsidR="008734F4" w:rsidRPr="009A51A9" w:rsidRDefault="008734F4">
      <w:pPr>
        <w:pStyle w:val="Heading2"/>
        <w:rPr>
          <w:lang w:val="en-US"/>
        </w:rPr>
      </w:pPr>
      <w:bookmarkStart w:id="19" w:name="_Toc238927738"/>
      <w:bookmarkStart w:id="20" w:name="statistics-and-ai"/>
      <w:bookmarkEnd w:id="18"/>
      <w:r w:rsidRPr="009A51A9">
        <w:rPr>
          <w:rStyle w:val="SectionNumber"/>
          <w:lang w:val="en-US"/>
        </w:rPr>
        <w:t>3.9</w:t>
      </w:r>
      <w:r w:rsidRPr="009A51A9">
        <w:rPr>
          <w:lang w:val="en-US"/>
        </w:rPr>
        <w:tab/>
        <w:t>Statistics and AI</w:t>
      </w:r>
      <w:bookmarkEnd w:id="19"/>
    </w:p>
    <w:p w14:paraId="4678A97A" w14:textId="77777777" w:rsidR="008734F4" w:rsidRDefault="008734F4">
      <w:pPr>
        <w:pStyle w:val="FirstParagraph"/>
      </w:pPr>
      <w:r>
        <w:t>For n observations and p variables,</w:t>
      </w:r>
    </w:p>
    <w:p w14:paraId="1E0A8C08" w14:textId="77777777" w:rsidR="008734F4" w:rsidRDefault="008734F4">
      <w:pPr>
        <w:pStyle w:val="EquationDisplay"/>
      </w:pPr>
      <m:oMathPara>
        <m:oMathParaPr>
          <m:jc m:val="center"/>
        </m:oMathParaP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p</m:t>
              </m:r>
            </m:sup>
          </m:sSup>
        </m:oMath>
      </m:oMathPara>
    </w:p>
    <w:p w14:paraId="15AAD92A" w14:textId="77777777" w:rsidR="008734F4" w:rsidRDefault="008734F4">
      <w:pPr>
        <w:pStyle w:val="FirstParagraph"/>
      </w:pPr>
      <w:r>
        <w:t>contains observation vectors as rows and variable vectors as columns.</w:t>
      </w:r>
    </w:p>
    <w:p w14:paraId="5659D3F5" w14:textId="77777777" w:rsidR="008734F4" w:rsidRDefault="008734F4">
      <w:pPr>
        <w:pStyle w:val="BodyText"/>
      </w:pPr>
      <w:r>
        <w:t>AI represents engineered features, tokens, images, hidden states, gradients, attention queries, keys and values as vectors. Much of modern AI is therefore high-dimensional geometry.</w:t>
      </w:r>
    </w:p>
    <w:p w14:paraId="4F254495" w14:textId="77777777" w:rsidR="008734F4" w:rsidRPr="009A51A9" w:rsidRDefault="008734F4">
      <w:pPr>
        <w:pStyle w:val="Heading2"/>
        <w:rPr>
          <w:lang w:val="en-US"/>
        </w:rPr>
      </w:pPr>
      <w:bookmarkStart w:id="21" w:name="_Toc238927739"/>
      <w:bookmarkStart w:id="22" w:name="X920465bf328e99c9ca66cfbd371e1ec2003e62f"/>
      <w:bookmarkEnd w:id="20"/>
      <w:r w:rsidRPr="009A51A9">
        <w:rPr>
          <w:rStyle w:val="SectionNumber"/>
          <w:lang w:val="en-US"/>
        </w:rPr>
        <w:t>3.10</w:t>
      </w:r>
      <w:r w:rsidRPr="009A51A9">
        <w:rPr>
          <w:lang w:val="en-US"/>
        </w:rPr>
        <w:tab/>
        <w:t>Decision Intelligence Case — National State Vectors</w:t>
      </w:r>
      <w:bookmarkEnd w:id="21"/>
    </w:p>
    <w:p w14:paraId="63C4D527" w14:textId="77777777" w:rsidR="008734F4" w:rsidRDefault="008734F4">
      <w:pPr>
        <w:pStyle w:val="FirstParagraph"/>
      </w:pPr>
      <w:r>
        <w:t>A national state vector might include standardized indicators for growth, inflation, food production, electricity access and health capacity.</w:t>
      </w:r>
    </w:p>
    <w:p w14:paraId="11322EE2" w14:textId="77777777" w:rsidR="008734F4" w:rsidRDefault="008734F4">
      <w:pPr>
        <w:pStyle w:val="BodyText"/>
      </w:pPr>
      <w:r>
        <w:t>Before comparison:</w:t>
      </w:r>
    </w:p>
    <w:p w14:paraId="4D3D554A" w14:textId="77777777" w:rsidR="008734F4" w:rsidRDefault="008734F4" w:rsidP="008734F4">
      <w:pPr>
        <w:pStyle w:val="Compact"/>
        <w:numPr>
          <w:ilvl w:val="0"/>
          <w:numId w:val="2"/>
        </w:numPr>
      </w:pPr>
      <w:r>
        <w:t>indicators must be scaled;</w:t>
      </w:r>
    </w:p>
    <w:p w14:paraId="44FDD2C5" w14:textId="77777777" w:rsidR="008734F4" w:rsidRDefault="008734F4" w:rsidP="008734F4">
      <w:pPr>
        <w:pStyle w:val="Compact"/>
        <w:numPr>
          <w:ilvl w:val="0"/>
          <w:numId w:val="2"/>
        </w:numPr>
      </w:pPr>
      <w:r>
        <w:t>undesirable indicators may need their direction reversed;</w:t>
      </w:r>
    </w:p>
    <w:p w14:paraId="588BB611" w14:textId="77777777" w:rsidR="008734F4" w:rsidRDefault="008734F4" w:rsidP="008734F4">
      <w:pPr>
        <w:pStyle w:val="Compact"/>
        <w:numPr>
          <w:ilvl w:val="0"/>
          <w:numId w:val="2"/>
        </w:numPr>
      </w:pPr>
      <w:r>
        <w:t>weights must be justified;</w:t>
      </w:r>
    </w:p>
    <w:p w14:paraId="02D4969A" w14:textId="77777777" w:rsidR="008734F4" w:rsidRDefault="008734F4" w:rsidP="008734F4">
      <w:pPr>
        <w:pStyle w:val="Compact"/>
        <w:numPr>
          <w:ilvl w:val="0"/>
          <w:numId w:val="2"/>
        </w:numPr>
      </w:pPr>
      <w:r>
        <w:t>uncertainty should be recorded;</w:t>
      </w:r>
    </w:p>
    <w:p w14:paraId="30A23F0E" w14:textId="77777777" w:rsidR="008734F4" w:rsidRDefault="008734F4" w:rsidP="008734F4">
      <w:pPr>
        <w:pStyle w:val="Compact"/>
        <w:numPr>
          <w:ilvl w:val="0"/>
          <w:numId w:val="2"/>
        </w:numPr>
      </w:pPr>
      <w:r>
        <w:t>missing values must not be silently replaced.</w:t>
      </w:r>
    </w:p>
    <w:p w14:paraId="5B59BCE6" w14:textId="77777777" w:rsidR="008734F4" w:rsidRDefault="008734F4">
      <w:pPr>
        <w:pStyle w:val="FirstParagraph"/>
      </w:pPr>
      <w:r>
        <w:t>Geometric similarity describes similarity under the chosen representation. It does not establish equal welfare or identical policy needs.</w:t>
      </w:r>
    </w:p>
    <w:p w14:paraId="1CB0B8F8" w14:textId="77777777" w:rsidR="008734F4" w:rsidRPr="009A51A9" w:rsidRDefault="008734F4">
      <w:pPr>
        <w:pStyle w:val="Heading2"/>
        <w:rPr>
          <w:lang w:val="en-US"/>
        </w:rPr>
      </w:pPr>
      <w:bookmarkStart w:id="23" w:name="_Toc238927740"/>
      <w:bookmarkStart w:id="24" w:name="ai-reasoning-clinic-4"/>
      <w:bookmarkEnd w:id="22"/>
      <w:r w:rsidRPr="009A51A9">
        <w:rPr>
          <w:rStyle w:val="SectionNumber"/>
          <w:lang w:val="en-US"/>
        </w:rPr>
        <w:t>3.11</w:t>
      </w:r>
      <w:r w:rsidRPr="009A51A9">
        <w:rPr>
          <w:lang w:val="en-US"/>
        </w:rPr>
        <w:tab/>
        <w:t>AI Reasoning Clinic</w:t>
      </w:r>
      <w:bookmarkEnd w:id="23"/>
    </w:p>
    <w:p w14:paraId="42B4CDC6" w14:textId="77777777" w:rsidR="008734F4" w:rsidRPr="009A51A9" w:rsidRDefault="008734F4">
      <w:pPr>
        <w:pStyle w:val="Heading3"/>
        <w:rPr>
          <w:lang w:val="en-US"/>
        </w:rPr>
      </w:pPr>
      <w:bookmarkStart w:id="25" w:name="_Toc238927741"/>
      <w:bookmarkStart w:id="26" w:name="statement"/>
      <w:r w:rsidRPr="009A51A9">
        <w:rPr>
          <w:rStyle w:val="SectionNumber"/>
          <w:lang w:val="en-US"/>
        </w:rPr>
        <w:t>3.11.1</w:t>
      </w:r>
      <w:r w:rsidRPr="009A51A9">
        <w:rPr>
          <w:lang w:val="en-US"/>
        </w:rPr>
        <w:tab/>
        <w:t>Statement</w:t>
      </w:r>
      <w:bookmarkEnd w:id="25"/>
    </w:p>
    <w:p w14:paraId="2D46E9F1" w14:textId="77777777" w:rsidR="008734F4" w:rsidRDefault="008734F4">
      <w:pPr>
        <w:pStyle w:val="FirstParagraph"/>
      </w:pPr>
      <w:r>
        <w:t>“These two documents have cosine similarity 0.94, so they mean the same thing.”</w:t>
      </w:r>
    </w:p>
    <w:p w14:paraId="14898132" w14:textId="77777777" w:rsidR="008734F4" w:rsidRPr="009A51A9" w:rsidRDefault="008734F4">
      <w:pPr>
        <w:pStyle w:val="Heading3"/>
        <w:rPr>
          <w:lang w:val="en-US"/>
        </w:rPr>
      </w:pPr>
      <w:bookmarkStart w:id="27" w:name="_Toc238927742"/>
      <w:bookmarkStart w:id="28" w:name="evaluation-2"/>
      <w:bookmarkEnd w:id="26"/>
      <w:r w:rsidRPr="009A51A9">
        <w:rPr>
          <w:rStyle w:val="SectionNumber"/>
          <w:lang w:val="en-US"/>
        </w:rPr>
        <w:lastRenderedPageBreak/>
        <w:t>3.11.2</w:t>
      </w:r>
      <w:r w:rsidRPr="009A51A9">
        <w:rPr>
          <w:lang w:val="en-US"/>
        </w:rPr>
        <w:tab/>
        <w:t>Evaluation</w:t>
      </w:r>
      <w:bookmarkEnd w:id="27"/>
    </w:p>
    <w:p w14:paraId="7A2E08F1" w14:textId="77777777" w:rsidR="008734F4" w:rsidRDefault="008734F4">
      <w:pPr>
        <w:pStyle w:val="FirstParagraph"/>
      </w:pPr>
      <w:r>
        <w:t>The conclusion is too strong. The value describes similarity between embeddings under a particular model. It may be affected by tokenization, model training, text length and domain. Human or task-specific validation remains necessary.</w:t>
      </w:r>
    </w:p>
    <w:p w14:paraId="531A0514" w14:textId="77777777" w:rsidR="008734F4" w:rsidRPr="009A51A9" w:rsidRDefault="008734F4">
      <w:pPr>
        <w:pStyle w:val="Heading2"/>
        <w:rPr>
          <w:lang w:val="en-US"/>
        </w:rPr>
      </w:pPr>
      <w:r>
        <w:t>3.12 Computational Checkpoint</w:t>
      </w:r>
    </w:p>
    <w:p w14:paraId="2841B01A" w14:textId="77777777" w:rsidR="008734F4" w:rsidRDefault="008734F4">
      <w:pPr>
        <w:pStyle w:val="FirstParagraph"/>
      </w:pPr>
      <w:r>
        <w:t>Before accepting a vector calculation, verify all of the following:</w:t>
      </w:r>
    </w:p>
    <w:p w14:paraId="7B0D9522" w14:textId="77777777" w:rsidR="008734F4" w:rsidRDefault="008734F4" w:rsidP="008734F4">
      <w:pPr>
        <w:pStyle w:val="Compact"/>
        <w:numPr>
          <w:ilvl w:val="0"/>
          <w:numId w:val="3"/>
        </w:numPr>
      </w:pPr>
      <w:r>
        <w:t>Every vector has the declared dimension and coordinate order.</w:t>
      </w:r>
    </w:p>
    <w:p w14:paraId="531F2253" w14:textId="77777777" w:rsidR="008734F4" w:rsidRDefault="008734F4" w:rsidP="008734F4">
      <w:pPr>
        <w:pStyle w:val="Compact"/>
        <w:numPr>
          <w:ilvl w:val="0"/>
          <w:numId w:val="3"/>
        </w:numPr>
      </w:pPr>
      <w:r>
        <w:t>Norms, distances and similarities use explicit definitions and valid domains.</w:t>
      </w:r>
    </w:p>
    <w:p w14:paraId="6C74B66C" w14:textId="77777777" w:rsidR="008734F4" w:rsidRDefault="008734F4" w:rsidP="008734F4">
      <w:pPr>
        <w:pStyle w:val="Compact"/>
        <w:numPr>
          <w:ilvl w:val="0"/>
          <w:numId w:val="3"/>
        </w:numPr>
      </w:pPr>
      <w:r>
        <w:t>Projection and normalization never use a zero direction vector.</w:t>
      </w:r>
    </w:p>
    <w:p w14:paraId="54873921" w14:textId="77777777" w:rsidR="008734F4" w:rsidRDefault="008734F4" w:rsidP="008734F4">
      <w:pPr>
        <w:pStyle w:val="Compact"/>
        <w:numPr>
          <w:ilvl w:val="0"/>
          <w:numId w:val="3"/>
        </w:numPr>
      </w:pPr>
      <w:r>
        <w:t>Scaling, weighting and indicator direction are documented before interpretation.</w:t>
      </w:r>
    </w:p>
    <w:p w14:paraId="62A79668" w14:textId="77777777" w:rsidR="008734F4" w:rsidRPr="009A51A9" w:rsidRDefault="008734F4">
      <w:pPr>
        <w:pStyle w:val="Heading2"/>
        <w:rPr>
          <w:lang w:val="en-US"/>
        </w:rPr>
      </w:pPr>
      <w:r>
        <w:t>3.13 Scaling Changes Geometry</w:t>
      </w:r>
    </w:p>
    <w:p w14:paraId="5241F171" w14:textId="77777777" w:rsidR="008734F4" w:rsidRDefault="008734F4">
      <w:pPr>
        <w:pStyle w:val="FirstParagraph"/>
      </w:pPr>
      <w:r>
        <w:t>Suppose one coordinate is measured in millimetres and another in kilometres. Raw Euclidean distance can then be driven mainly by the numerical scale of the first coordinate rather than by substantive difference. Standardization changes the geometry by expressing coordinates on comparable scales; weighting changes it again by assigning different importance to directions. Neither choice is neutral, so both must be recorded and tested.</w:t>
      </w:r>
    </w:p>
    <w:p w14:paraId="46D857D6" w14:textId="77777777" w:rsidR="008734F4" w:rsidRPr="009A51A9" w:rsidRDefault="008734F4">
      <w:pPr>
        <w:pStyle w:val="Heading2"/>
        <w:rPr>
          <w:lang w:val="en-US"/>
        </w:rPr>
      </w:pPr>
      <w:r>
        <w:t>3.14 Numerical Safeguards</w:t>
      </w:r>
    </w:p>
    <w:p w14:paraId="74AE9A22" w14:textId="77777777" w:rsidR="008734F4" w:rsidRDefault="008734F4">
      <w:pPr>
        <w:pStyle w:val="FirstParagraph"/>
      </w:pPr>
      <w:r>
        <w:t>Vector addition and the dot product require compatible dimensions. Cosine similarity requires two nonzero vectors. Projection requires a nonzero direction. Gram–Schmidt requires independent input directions if the requested output must retain the same dimension.</w:t>
      </w:r>
    </w:p>
    <w:p w14:paraId="695C120B" w14:textId="77777777" w:rsidR="008734F4" w:rsidRDefault="008734F4">
      <w:pPr>
        <w:pStyle w:val="BodyText"/>
      </w:pPr>
      <w:r>
        <w:t>Numerical implementations should use tolerances for floating-point comparisons, test orthogonality through residual dot products, and report how normalization, standardization or weighting changes results. A geometric output is meaningful only under the representation that produced it.</w:t>
      </w:r>
    </w:p>
    <w:p w14:paraId="0C2D2E67" w14:textId="77777777" w:rsidR="008734F4" w:rsidRPr="009A51A9" w:rsidRDefault="008734F4">
      <w:pPr>
        <w:pStyle w:val="Heading3"/>
        <w:rPr>
          <w:lang w:val="en-US"/>
        </w:rPr>
      </w:pPr>
      <w:r>
        <w:t>3.14.1 Verification Questions</w:t>
      </w:r>
    </w:p>
    <w:p w14:paraId="3C59E94E" w14:textId="77777777" w:rsidR="008734F4" w:rsidRDefault="008734F4">
      <w:pPr>
        <w:pStyle w:val="FirstParagraph"/>
      </w:pPr>
      <w:r>
        <w:t>Are dimensions and coordinate order compatible? Are any denominators zero or numerically negligible? Which units, scaling rule and weights define the geometry? Do independent calculations confirm the norm, projection or orthogonality claim? Would a small perturbation change the substantive interpretation?</w:t>
      </w:r>
    </w:p>
    <w:p w14:paraId="60581E8A" w14:textId="77777777" w:rsidR="008734F4" w:rsidRPr="009A51A9" w:rsidRDefault="008734F4">
      <w:pPr>
        <w:pStyle w:val="Heading2"/>
        <w:rPr>
          <w:lang w:val="en-US"/>
        </w:rPr>
      </w:pPr>
      <w:bookmarkStart w:id="37" w:name="_Toc238927747"/>
      <w:bookmarkStart w:id="38" w:name="worked-mathematical-example-2"/>
      <w:bookmarkEnd w:id="34"/>
      <w:bookmarkEnd w:id="36"/>
      <w:r w:rsidRPr="009A51A9">
        <w:rPr>
          <w:rStyle w:val="SectionNumber"/>
          <w:lang w:val="en-US"/>
        </w:rPr>
        <w:t>3.15</w:t>
      </w:r>
      <w:r w:rsidRPr="009A51A9">
        <w:rPr>
          <w:lang w:val="en-US"/>
        </w:rPr>
        <w:tab/>
        <w:t>Worked Mathematical Example</w:t>
      </w:r>
      <w:bookmarkEnd w:id="37"/>
    </w:p>
    <w:p w14:paraId="2F987FBB" w14:textId="77777777" w:rsidR="008734F4" w:rsidRDefault="008734F4">
      <w:pPr>
        <w:pStyle w:val="FirstParagraph"/>
      </w:pPr>
      <w:r>
        <w:t>Let x=(3,4)ᵀ and let u=(1,0)ᵀ. Because u is nonzero, the projection is defined. Compute the aligned component, the rejection and an independent orthogonality check:</w:t>
      </w:r>
    </w:p>
    <w:p>
      <w:pPr>
        <w:pStyle w:val="FirstParagraph"/>
      </w:pPr>
      <m:oMathPara>
        <m:oMathParaPr>
          <m:jc m:val="center"/>
        </m:oMathParaPr>
        <m:oMath>
          <m:r>
            <m:rPr>
              <m:sty m:val="b"/>
            </m:rPr>
            <m:t>x</m:t>
          </m:r>
          <m:r>
            <m:rPr>
              <m:sty m:val="p"/>
            </m:rPr>
            <m:t>=</m:t>
          </m:r>
          <m:sSup>
            <m:e>
              <m:d>
                <m:dPr>
                  <m:begChr m:val="("/>
                  <m:endChr m:val=")"/>
                  <m:sepChr m:val=""/>
                  <m:grow/>
                </m:dPr>
                <m:e>
                  <m:r>
                    <m:t>3</m:t>
                  </m:r>
                  <m:r>
                    <m:rPr>
                      <m:sty m:val="p"/>
                    </m:rPr>
                    <m:t>,</m:t>
                  </m:r>
                  <m:r>
                    <m:t>4</m:t>
                  </m:r>
                </m:e>
              </m:d>
            </m:e>
            <m:sup>
              <m:r>
                <m:rPr>
                  <m:sty m:val="p"/>
                </m:rPr>
                <m:t>⊤</m:t>
              </m:r>
            </m:sup>
          </m:sSup>
          <m:r>
            <m:rPr>
              <m:sty m:val="p"/>
            </m:rPr>
            <m:t>,</m:t>
          </m:r>
          <m:r>
            <m:t>  </m:t>
          </m:r>
          <m:r>
            <m:rPr>
              <m:sty m:val="b"/>
            </m:rPr>
            <m:t>u</m:t>
          </m:r>
          <m:r>
            <m:rPr>
              <m:sty m:val="p"/>
            </m:rPr>
            <m:t>=</m:t>
          </m:r>
          <m:sSup>
            <m:e>
              <m:d>
                <m:dPr>
                  <m:begChr m:val="("/>
                  <m:endChr m:val=")"/>
                  <m:sepChr m:val=""/>
                  <m:grow/>
                </m:dPr>
                <m:e>
                  <m:r>
                    <m:t>1</m:t>
                  </m:r>
                  <m:r>
                    <m:rPr>
                      <m:sty m:val="p"/>
                    </m:rPr>
                    <m:t>,</m:t>
                  </m:r>
                  <m:r>
                    <m:t>0</m:t>
                  </m:r>
                </m:e>
              </m:d>
            </m:e>
            <m:sup>
              <m:r>
                <m:rPr>
                  <m:sty m:val="p"/>
                </m:rPr>
                <m:t>⊤</m:t>
              </m:r>
            </m:sup>
          </m:sSup>
          <m:r>
            <m:rPr>
              <m:sty m:val="p"/>
            </m:rPr>
            <m:t>.</m:t>
          </m:r>
        </m:oMath>
      </m:oMathPara>
    </w:p>
    <w:p>
      <w:pPr>
        <w:pStyle w:val="FirstParagraph"/>
      </w:pPr>
      <m:oMathPara>
        <m:oMathParaPr>
          <m:jc m:val="center"/>
        </m:oMathParaPr>
        <m:oMath>
          <m:sSub>
            <m:e>
              <m:r>
                <m:rPr>
                  <m:sty m:val="p"/>
                </m:rPr>
                <m:t>proj</m:t>
              </m:r>
            </m:e>
            <m:sub>
              <m:r>
                <m:rPr>
                  <m:sty m:val="b"/>
                </m:rPr>
                <m:t>u</m:t>
              </m:r>
            </m:sub>
          </m:sSub>
          <m:d>
            <m:dPr>
              <m:begChr m:val="("/>
              <m:endChr m:val=")"/>
              <m:sepChr m:val=""/>
              <m:grow/>
            </m:dPr>
            <m:e>
              <m:r>
                <m:rPr>
                  <m:sty m:val="b"/>
                </m:rPr>
                <m:t>x</m:t>
              </m:r>
            </m:e>
          </m:d>
          <m:r>
            <m:rPr>
              <m:sty m:val="p"/>
            </m:rPr>
            <m:t>=</m:t>
          </m:r>
          <m:f>
            <m:fPr>
              <m:type m:val="bar"/>
            </m:fPr>
            <m:num>
              <m:sSup>
                <m:e>
                  <m:r>
                    <m:rPr>
                      <m:sty m:val="b"/>
                    </m:rPr>
                    <m:t>x</m:t>
                  </m:r>
                </m:e>
                <m:sup>
                  <m:r>
                    <m:rPr>
                      <m:sty m:val="p"/>
                    </m:rPr>
                    <m:t>⊤</m:t>
                  </m:r>
                </m:sup>
              </m:sSup>
              <m:r>
                <m:rPr>
                  <m:sty m:val="b"/>
                </m:rPr>
                <m:t>u</m:t>
              </m:r>
            </m:num>
            <m:den>
              <m:sSup>
                <m:e>
                  <m:r>
                    <m:rPr>
                      <m:sty m:val="b"/>
                    </m:rPr>
                    <m:t>u</m:t>
                  </m:r>
                </m:e>
                <m:sup>
                  <m:r>
                    <m:rPr>
                      <m:sty m:val="p"/>
                    </m:rPr>
                    <m:t>⊤</m:t>
                  </m:r>
                </m:sup>
              </m:sSup>
              <m:r>
                <m:rPr>
                  <m:sty m:val="b"/>
                </m:rPr>
                <m:t>u</m:t>
              </m:r>
            </m:den>
          </m:f>
          <m:r>
            <m:rPr>
              <m:sty m:val="b"/>
            </m:rPr>
            <m:t>u</m:t>
          </m:r>
          <m:r>
            <m:rPr>
              <m:sty m:val="p"/>
            </m:rPr>
            <m:t>=</m:t>
          </m:r>
          <m:r>
            <m:t>3</m:t>
          </m:r>
          <m:sSup>
            <m:e>
              <m:d>
                <m:dPr>
                  <m:begChr m:val="("/>
                  <m:endChr m:val=")"/>
                  <m:sepChr m:val=""/>
                  <m:grow/>
                </m:dPr>
                <m:e>
                  <m:r>
                    <m:t>1</m:t>
                  </m:r>
                  <m:r>
                    <m:rPr>
                      <m:sty m:val="p"/>
                    </m:rPr>
                    <m:t>,</m:t>
                  </m:r>
                  <m:r>
                    <m:t>0</m:t>
                  </m:r>
                </m:e>
              </m:d>
            </m:e>
            <m:sup>
              <m:r>
                <m:rPr>
                  <m:sty m:val="p"/>
                </m:rPr>
                <m:t>⊤</m:t>
              </m:r>
            </m:sup>
          </m:sSup>
          <m:r>
            <m:rPr>
              <m:sty m:val="p"/>
            </m:rPr>
            <m:t>=</m:t>
          </m:r>
          <m:sSup>
            <m:e>
              <m:d>
                <m:dPr>
                  <m:begChr m:val="("/>
                  <m:endChr m:val=")"/>
                  <m:sepChr m:val=""/>
                  <m:grow/>
                </m:dPr>
                <m:e>
                  <m:r>
                    <m:t>3</m:t>
                  </m:r>
                  <m:r>
                    <m:rPr>
                      <m:sty m:val="p"/>
                    </m:rPr>
                    <m:t>,</m:t>
                  </m:r>
                  <m:r>
                    <m:t>0</m:t>
                  </m:r>
                </m:e>
              </m:d>
            </m:e>
            <m:sup>
              <m:r>
                <m:rPr>
                  <m:sty m:val="p"/>
                </m:rPr>
                <m:t>⊤</m:t>
              </m:r>
            </m:sup>
          </m:sSup>
          <m:r>
            <m:rPr>
              <m:sty m:val="p"/>
            </m:rPr>
            <m:t>.</m:t>
          </m:r>
        </m:oMath>
      </m:oMathPara>
    </w:p>
    <w:p>
      <w:pPr>
        <w:pStyle w:val="FirstParagraph"/>
      </w:pPr>
      <m:oMathPara>
        <m:oMathParaPr>
          <m:jc m:val="center"/>
        </m:oMathParaPr>
        <m:oMath>
          <m:r>
            <m:rPr>
              <m:sty m:val="b"/>
            </m:rPr>
            <m:t>r</m:t>
          </m:r>
          <m:r>
            <m:rPr>
              <m:sty m:val="p"/>
            </m:rPr>
            <m:t>=</m:t>
          </m:r>
          <m:r>
            <m:rPr>
              <m:sty m:val="b"/>
            </m:rPr>
            <m:t>x</m:t>
          </m:r>
          <m:r>
            <m:rPr>
              <m:sty m:val="p"/>
            </m:rPr>
            <m:t>−</m:t>
          </m:r>
          <m:sSub>
            <m:e>
              <m:r>
                <m:rPr>
                  <m:sty m:val="p"/>
                </m:rPr>
                <m:t>proj</m:t>
              </m:r>
            </m:e>
            <m:sub>
              <m:r>
                <m:rPr>
                  <m:sty m:val="b"/>
                </m:rPr>
                <m:t>u</m:t>
              </m:r>
            </m:sub>
          </m:sSub>
          <m:d>
            <m:dPr>
              <m:begChr m:val="("/>
              <m:endChr m:val=")"/>
              <m:sepChr m:val=""/>
              <m:grow/>
            </m:dPr>
            <m:e>
              <m:r>
                <m:rPr>
                  <m:sty m:val="b"/>
                </m:rPr>
                <m:t>x</m:t>
              </m:r>
            </m:e>
          </m:d>
          <m:r>
            <m:rPr>
              <m:sty m:val="p"/>
            </m:rPr>
            <m:t>=</m:t>
          </m:r>
          <m:sSup>
            <m:e>
              <m:d>
                <m:dPr>
                  <m:begChr m:val="("/>
                  <m:endChr m:val=")"/>
                  <m:sepChr m:val=""/>
                  <m:grow/>
                </m:dPr>
                <m:e>
                  <m:r>
                    <m:t>0</m:t>
                  </m:r>
                  <m:r>
                    <m:rPr>
                      <m:sty m:val="p"/>
                    </m:rPr>
                    <m:t>,</m:t>
                  </m:r>
                  <m:r>
                    <m:t>4</m:t>
                  </m:r>
                </m:e>
              </m:d>
            </m:e>
            <m:sup>
              <m:r>
                <m:rPr>
                  <m:sty m:val="p"/>
                </m:rPr>
                <m:t>⊤</m:t>
              </m:r>
            </m:sup>
          </m:sSup>
          <m:r>
            <m:rPr>
              <m:sty m:val="p"/>
            </m:rPr>
            <m:t>.</m:t>
          </m:r>
        </m:oMath>
      </m:oMathPara>
    </w:p>
    <w:p>
      <w:pPr>
        <w:pStyle w:val="FirstParagraph"/>
      </w:pPr>
      <m:oMathPara>
        <m:oMathParaPr>
          <m:jc m:val="center"/>
        </m:oMathParaPr>
        <m:oMath>
          <m:sSup>
            <m:e>
              <m:r>
                <m:rPr>
                  <m:sty m:val="b"/>
                </m:rPr>
                <m:t>u</m:t>
              </m:r>
            </m:e>
            <m:sup>
              <m:r>
                <m:rPr>
                  <m:sty m:val="p"/>
                </m:rPr>
                <m:t>⊤</m:t>
              </m:r>
            </m:sup>
          </m:sSup>
          <m:r>
            <m:rPr>
              <m:sty m:val="b"/>
            </m:rPr>
            <m:t>r</m:t>
          </m:r>
          <m:r>
            <m:rPr>
              <m:sty m:val="p"/>
            </m:rPr>
            <m:t>=</m:t>
          </m:r>
          <m:d>
            <m:dPr>
              <m:begChr m:val="("/>
              <m:endChr m:val=")"/>
              <m:sepChr m:val=""/>
              <m:grow/>
            </m:dPr>
            <m:e>
              <m:r>
                <m:t>1</m:t>
              </m:r>
              <m:r>
                <m:rPr>
                  <m:sty m:val="p"/>
                </m:rPr>
                <m:t>,</m:t>
              </m:r>
              <m:r>
                <m:t>0</m:t>
              </m:r>
            </m:e>
          </m:d>
          <m:sSup>
            <m:e>
              <m:d>
                <m:dPr>
                  <m:begChr m:val="("/>
                  <m:endChr m:val=")"/>
                  <m:sepChr m:val=""/>
                  <m:grow/>
                </m:dPr>
                <m:e>
                  <m:r>
                    <m:t>0</m:t>
                  </m:r>
                  <m:r>
                    <m:rPr>
                      <m:sty m:val="p"/>
                    </m:rPr>
                    <m:t>,</m:t>
                  </m:r>
                  <m:r>
                    <m:t>4</m:t>
                  </m:r>
                </m:e>
              </m:d>
            </m:e>
            <m:sup>
              <m:r>
                <m:rPr>
                  <m:sty m:val="p"/>
                </m:rPr>
                <m:t>⊤</m:t>
              </m:r>
            </m:sup>
          </m:sSup>
          <m:r>
            <m:rPr>
              <m:sty m:val="p"/>
            </m:rPr>
            <m:t>=</m:t>
          </m:r>
          <m:r>
            <m:t>0</m:t>
          </m:r>
          <m:r>
            <m:rPr>
              <m:sty m:val="p"/>
            </m:rPr>
            <m:t>.</m:t>
          </m:r>
        </m:oMath>
      </m:oMathPara>
    </w:p>
    <w:p>
      <w:pPr>
        <w:pStyle w:val="BodyText"/>
      </w:pPr>
      <w:r>
        <w:t>A small perturbation of the second coordinate leaves the projection unchanged but changes the rejection magnitude:</w:t>
      </w:r>
    </w:p>
    <w:p>
      <w:pPr>
        <w:pStyle w:val="FirstParagraph"/>
      </w:pPr>
      <m:oMathPara>
        <m:oMathParaPr>
          <m:jc m:val="center"/>
        </m:oMathParaPr>
        <m:oMath>
          <m:r>
            <m:rPr>
              <m:sty m:val="b"/>
            </m:rPr>
            <m:t>x</m:t>
          </m:r>
          <m:r>
            <m:rPr>
              <m:sty m:val="p"/>
            </m:rPr>
            <m:t>′</m:t>
          </m:r>
          <m:r>
            <m:rPr>
              <m:sty m:val="p"/>
            </m:rPr>
            <m:t>=</m:t>
          </m:r>
          <m:sSup>
            <m:e>
              <m:d>
                <m:dPr>
                  <m:begChr m:val="("/>
                  <m:endChr m:val=")"/>
                  <m:sepChr m:val=""/>
                  <m:grow/>
                </m:dPr>
                <m:e>
                  <m:r>
                    <m:t>3</m:t>
                  </m:r>
                  <m:r>
                    <m:rPr>
                      <m:sty m:val="p"/>
                    </m:rPr>
                    <m:t>,</m:t>
                  </m:r>
                  <m:r>
                    <m:t>4.1</m:t>
                  </m:r>
                </m:e>
              </m:d>
            </m:e>
            <m:sup>
              <m:r>
                <m:rPr>
                  <m:sty m:val="p"/>
                </m:rPr>
                <m:t>⊤</m:t>
              </m:r>
            </m:sup>
          </m:sSup>
          <m:r>
            <m:t> </m:t>
          </m:r>
          <m:r>
            <m:rPr>
              <m:sty m:val="p"/>
            </m:rPr>
            <m:t>⇒</m:t>
          </m:r>
          <m:r>
            <m:t> </m:t>
          </m:r>
          <m:sSub>
            <m:e>
              <m:r>
                <m:rPr>
                  <m:sty m:val="p"/>
                </m:rPr>
                <m:t>proj</m:t>
              </m:r>
            </m:e>
            <m:sub>
              <m:r>
                <m:rPr>
                  <m:sty m:val="b"/>
                </m:rPr>
                <m:t>u</m:t>
              </m:r>
            </m:sub>
          </m:sSub>
          <m:d>
            <m:dPr>
              <m:begChr m:val="("/>
              <m:endChr m:val=")"/>
              <m:sepChr m:val=""/>
              <m:grow/>
            </m:dPr>
            <m:e>
              <m:r>
                <m:rPr>
                  <m:sty m:val="b"/>
                </m:rPr>
                <m:t>x</m:t>
              </m:r>
              <m:r>
                <m:rPr>
                  <m:sty m:val="p"/>
                </m:rPr>
                <m:t>′</m:t>
              </m:r>
            </m:e>
          </m:d>
          <m:r>
            <m:rPr>
              <m:sty m:val="p"/>
            </m:rPr>
            <m:t>=</m:t>
          </m:r>
          <m:sSup>
            <m:e>
              <m:d>
                <m:dPr>
                  <m:begChr m:val="("/>
                  <m:endChr m:val=")"/>
                  <m:sepChr m:val=""/>
                  <m:grow/>
                </m:dPr>
                <m:e>
                  <m:r>
                    <m:t>3</m:t>
                  </m:r>
                  <m:r>
                    <m:rPr>
                      <m:sty m:val="p"/>
                    </m:rPr>
                    <m:t>,</m:t>
                  </m:r>
                  <m:r>
                    <m:t>0</m:t>
                  </m:r>
                </m:e>
              </m:d>
            </m:e>
            <m:sup>
              <m:r>
                <m:rPr>
                  <m:sty m:val="p"/>
                </m:rPr>
                <m:t>⊤</m:t>
              </m:r>
            </m:sup>
          </m:sSup>
          <m:r>
            <m:rPr>
              <m:sty m:val="p"/>
            </m:rPr>
            <m:t>,</m:t>
          </m:r>
          <m:r>
            <m:t> </m:t>
          </m:r>
          <m:r>
            <m:rPr>
              <m:sty m:val="p"/>
            </m:rPr>
            <m:t>∥</m:t>
          </m:r>
          <m:r>
            <m:rPr>
              <m:sty m:val="b"/>
            </m:rPr>
            <m:t>r</m:t>
          </m:r>
          <m:r>
            <m:rPr>
              <m:sty m:val="p"/>
            </m:rPr>
            <m:t>′</m:t>
          </m:r>
          <m:sSub>
            <m:e>
              <m:r>
                <m:rPr>
                  <m:sty m:val="p"/>
                </m:rPr>
                <m:t>∥</m:t>
              </m:r>
            </m:e>
            <m:sub>
              <m:r>
                <m:t>2</m:t>
              </m:r>
            </m:sub>
          </m:sSub>
          <m:r>
            <m:rPr>
              <m:sty m:val="p"/>
            </m:rPr>
            <m:t>=</m:t>
          </m:r>
          <m:r>
            <m:t>4.1</m:t>
          </m:r>
          <m:r>
            <m:rPr>
              <m:sty m:val="p"/>
            </m:rPr>
            <m:t>.</m:t>
          </m:r>
        </m:oMath>
      </m:oMathPara>
    </w:p>
    <w:p w14:paraId="0868FC7B" w14:textId="77777777" w:rsidR="008734F4" w:rsidRDefault="008734F4">
      <w:pPr>
        <w:pStyle w:val="BodyText"/>
      </w:pPr>
      <w:r>
        <w:t>The paper derivation agrees with the notebook functions project and reject. The residual check uᵀr=0 verifies the defining property directly. The perturbation shows that projection onto u depends only on the component aligned with u, while the orthogonal component records the change.</w:t>
      </w:r>
    </w:p>
    <w:p w14:paraId="3EAAC277" w14:textId="77777777" w:rsidR="008734F4" w:rsidRPr="009A51A9" w:rsidRDefault="008734F4">
      <w:pPr>
        <w:pStyle w:val="Heading2"/>
        <w:rPr>
          <w:lang w:val="en-US"/>
        </w:rPr>
      </w:pPr>
      <w:bookmarkStart w:id="39" w:name="_Toc238927748"/>
      <w:bookmarkStart w:id="40" w:name="professional-applications-2"/>
      <w:bookmarkEnd w:id="38"/>
      <w:r w:rsidRPr="009A51A9">
        <w:rPr>
          <w:rStyle w:val="SectionNumber"/>
          <w:lang w:val="en-US"/>
        </w:rPr>
        <w:lastRenderedPageBreak/>
        <w:t>3.16</w:t>
      </w:r>
      <w:r w:rsidRPr="009A51A9">
        <w:rPr>
          <w:lang w:val="en-US"/>
        </w:rPr>
        <w:tab/>
        <w:t>Professional Applications</w:t>
      </w:r>
      <w:bookmarkEnd w:id="39"/>
    </w:p>
    <w:p w14:paraId="37F32985" w14:textId="77777777" w:rsidR="008734F4" w:rsidRDefault="008734F4">
      <w:pPr>
        <w:pStyle w:val="FirstParagraph"/>
      </w:pPr>
      <w:r>
        <w:t xml:space="preserve">Official statistics </w:t>
      </w:r>
      <w:proofErr w:type="gramStart"/>
      <w:r>
        <w:t>uses</w:t>
      </w:r>
      <w:proofErr w:type="gramEnd"/>
      <w:r>
        <w:t xml:space="preserve"> these foundations in sampling, weighting, estimation, variance, disclosure control and reproducible publication. Agricultural statistics </w:t>
      </w:r>
      <w:proofErr w:type="gramStart"/>
      <w:r>
        <w:t>uses</w:t>
      </w:r>
      <w:proofErr w:type="gramEnd"/>
      <w:r>
        <w:t xml:space="preserve"> them for indicators, forecasting, geospatial analysis and uncertainty. Machine learning uses them for representations, loss functions, gradients, probabilities and optimization. Policymakers need conclusions translated into magnitude, uncertainty, assumptions and decision </w:t>
      </w:r>
      <w:proofErr w:type="gramStart"/>
      <w:r>
        <w:t>consequence</w:t>
      </w:r>
      <w:proofErr w:type="gramEnd"/>
      <w:r>
        <w:t>.</w:t>
      </w:r>
    </w:p>
    <w:p w14:paraId="068CA870" w14:textId="77777777" w:rsidR="008734F4" w:rsidRPr="009A51A9" w:rsidRDefault="008734F4">
      <w:pPr>
        <w:pStyle w:val="Heading2"/>
        <w:rPr>
          <w:lang w:val="en-US"/>
        </w:rPr>
      </w:pPr>
      <w:r>
        <w:t>3.17 Verification Clinic</w:t>
      </w:r>
    </w:p>
    <w:p w14:paraId="5D269159" w14:textId="77777777" w:rsidR="008734F4" w:rsidRDefault="008734F4">
      <w:pPr>
        <w:pStyle w:val="FirstParagraph"/>
      </w:pPr>
      <w:r>
        <w:rPr>
          <w:b/>
        </w:rPr>
        <w:t>Claim:</w:t>
      </w:r>
      <w:r>
        <w:t xml:space="preserve"> “The software returned a precise vector result, so the calculation is correct.”</w:t>
      </w:r>
    </w:p>
    <w:p w14:paraId="2BA2FA2B" w14:textId="77777777" w:rsidR="008734F4" w:rsidRDefault="008734F4">
      <w:pPr>
        <w:pStyle w:val="BodyText"/>
      </w:pPr>
      <w:r>
        <w:rPr>
          <w:b/>
        </w:rPr>
        <w:t>Evaluation:</w:t>
      </w:r>
      <w:r>
        <w:t xml:space="preserve"> Display precision is not mathematical validity. Dimensions, domains, units, zero-vector restrictions, scaling choices and numerical error remain to be checked.</w:t>
      </w:r>
    </w:p>
    <w:p w14:paraId="2664209C" w14:textId="77777777" w:rsidR="008734F4" w:rsidRDefault="008734F4">
      <w:pPr>
        <w:pStyle w:val="BodyText"/>
      </w:pPr>
      <w:r>
        <w:rPr>
          <w:b/>
        </w:rPr>
        <w:t>Improved reasoning:</w:t>
      </w:r>
      <w:r>
        <w:t xml:space="preserve"> Restate the objects and assumptions, reproduce a small case independently, test invariants such as uᵀr=0 or QᵀQ=I, perturb the inputs, and communicate which conclusions depend on representation choices.</w:t>
      </w:r>
    </w:p>
    <w:p w14:paraId="6A43C41B" w14:textId="77777777" w:rsidR="008734F4" w:rsidRDefault="008734F4">
      <w:pPr>
        <w:pStyle w:val="Heading2"/>
      </w:pPr>
      <w:bookmarkStart w:id="43" w:name="_Toc238927750"/>
      <w:bookmarkStart w:id="44" w:name="failure-modes-and-safeguards-2"/>
      <w:bookmarkEnd w:id="42"/>
      <w:r>
        <w:rPr>
          <w:rStyle w:val="SectionNumber"/>
        </w:rPr>
        <w:t>3.18</w:t>
      </w:r>
      <w:r>
        <w:tab/>
        <w:t xml:space="preserve">Failure Modes and </w:t>
      </w:r>
      <w:proofErr w:type="spellStart"/>
      <w:r>
        <w:t>Safeguards</w:t>
      </w:r>
      <w:bookmarkEnd w:id="43"/>
      <w:proofErr w:type="spellEnd"/>
    </w:p>
    <w:p w14:paraId="44C72BEE" w14:textId="77777777" w:rsidR="008734F4" w:rsidRDefault="008734F4" w:rsidP="008734F4">
      <w:pPr>
        <w:pStyle w:val="Compact"/>
        <w:numPr>
          <w:ilvl w:val="0"/>
          <w:numId w:val="2"/>
        </w:numPr>
      </w:pPr>
      <w:r>
        <w:t>Undefined objects, mismatched dimensions or incompatible units.</w:t>
      </w:r>
    </w:p>
    <w:p w14:paraId="27ED276C" w14:textId="77777777" w:rsidR="008734F4" w:rsidRDefault="008734F4" w:rsidP="008734F4">
      <w:pPr>
        <w:pStyle w:val="Compact"/>
        <w:numPr>
          <w:ilvl w:val="0"/>
          <w:numId w:val="2"/>
        </w:numPr>
      </w:pPr>
      <w:r>
        <w:t>Use of a theorem or distribution outside its stated conditions.</w:t>
      </w:r>
    </w:p>
    <w:p w14:paraId="500E2B88" w14:textId="77777777" w:rsidR="008734F4" w:rsidRDefault="008734F4" w:rsidP="008734F4">
      <w:pPr>
        <w:pStyle w:val="Compact"/>
        <w:numPr>
          <w:ilvl w:val="0"/>
          <w:numId w:val="2"/>
        </w:numPr>
      </w:pPr>
      <w:r>
        <w:t>Numerically unstable formulas that amplify rounding or conditioning.</w:t>
      </w:r>
    </w:p>
    <w:p w14:paraId="4AA8DD51" w14:textId="77777777" w:rsidR="008734F4" w:rsidRDefault="008734F4" w:rsidP="008734F4">
      <w:pPr>
        <w:pStyle w:val="Compact"/>
        <w:numPr>
          <w:ilvl w:val="0"/>
          <w:numId w:val="2"/>
        </w:numPr>
      </w:pPr>
      <w:r>
        <w:t>Interpretation of mathematical output as causal, certain or self-authorizing.</w:t>
      </w:r>
    </w:p>
    <w:p w14:paraId="4B3F4F41" w14:textId="77777777" w:rsidR="008734F4" w:rsidRDefault="008734F4">
      <w:pPr>
        <w:pStyle w:val="FirstParagraph"/>
      </w:pPr>
      <w:r>
        <w:t>Safeguards include explicit definitions, symbolic derivation, boundary cases, dimensional analysis, reference examples, stable algorithms, residual and convergence checks, reproducible computation, sensitivity analysis and professional review.</w:t>
      </w:r>
    </w:p>
    <w:p w14:paraId="56D060DB" w14:textId="77777777" w:rsidR="008734F4" w:rsidRDefault="008734F4">
      <w:pPr>
        <w:pStyle w:val="Heading2"/>
      </w:pPr>
      <w:r>
        <w:t>3.19 Notebook Verification Checklist</w:t>
      </w:r>
    </w:p>
    <w:p w14:paraId="13208F26" w14:textId="77777777" w:rsidR="008734F4" w:rsidRDefault="008734F4" w:rsidP="008734F4">
      <w:pPr>
        <w:pStyle w:val="Compact"/>
        <w:numPr>
          <w:ilvl w:val="0"/>
          <w:numId w:val="4"/>
        </w:numPr>
      </w:pPr>
      <w:r>
        <w:t>Run every cell from a clean kernel and retain the execution evidence.</w:t>
      </w:r>
    </w:p>
    <w:p w14:paraId="63205342" w14:textId="77777777" w:rsidR="008734F4" w:rsidRDefault="008734F4" w:rsidP="008734F4">
      <w:pPr>
        <w:pStyle w:val="Compact"/>
        <w:numPr>
          <w:ilvl w:val="0"/>
          <w:numId w:val="4"/>
        </w:numPr>
      </w:pPr>
      <w:r>
        <w:t>Confirm expected failures for normalization, cosine similarity and projection involving zero vectors.</w:t>
      </w:r>
    </w:p>
    <w:p w14:paraId="6A26FC7E" w14:textId="77777777" w:rsidR="008734F4" w:rsidRDefault="008734F4" w:rsidP="008734F4">
      <w:pPr>
        <w:pStyle w:val="Compact"/>
        <w:numPr>
          <w:ilvl w:val="0"/>
          <w:numId w:val="4"/>
        </w:numPr>
      </w:pPr>
      <w:r>
        <w:t>Check projection rejection directly with uᵀr=0 and Gram–Schmidt with QᵀQ=I.</w:t>
      </w:r>
    </w:p>
    <w:p w14:paraId="74B14EBA" w14:textId="77777777" w:rsidR="008734F4" w:rsidRDefault="008734F4" w:rsidP="008734F4">
      <w:pPr>
        <w:pStyle w:val="Compact"/>
        <w:numPr>
          <w:ilvl w:val="0"/>
          <w:numId w:val="4"/>
        </w:numPr>
      </w:pPr>
      <w:r>
        <w:t>Compare raw, standardized and reweighted state vectors before interpreting similarity.</w:t>
      </w:r>
    </w:p>
    <w:p w14:paraId="5126376C" w14:textId="77777777" w:rsidR="008734F4" w:rsidRPr="009A51A9" w:rsidRDefault="008734F4">
      <w:pPr>
        <w:pStyle w:val="Heading2"/>
        <w:rPr>
          <w:lang w:val="en-US"/>
        </w:rPr>
      </w:pPr>
      <w:bookmarkStart w:id="47" w:name="_Toc238927752"/>
      <w:bookmarkStart w:id="48" w:name="authors-perspective-4"/>
      <w:bookmarkEnd w:id="46"/>
      <w:r w:rsidRPr="009A51A9">
        <w:rPr>
          <w:rStyle w:val="SectionNumber"/>
          <w:lang w:val="en-US"/>
        </w:rPr>
        <w:t>3.20</w:t>
      </w:r>
      <w:r w:rsidRPr="009A51A9">
        <w:rPr>
          <w:lang w:val="en-US"/>
        </w:rPr>
        <w:tab/>
        <w:t>Author’s Perspective</w:t>
      </w:r>
      <w:bookmarkEnd w:id="47"/>
    </w:p>
    <w:p w14:paraId="4228FBD5" w14:textId="77777777" w:rsidR="008734F4" w:rsidRDefault="008734F4">
      <w:pPr>
        <w:pStyle w:val="FirstParagraph"/>
      </w:pPr>
      <w:r>
        <w:t xml:space="preserve">Mathematics is the language that makes AI reasoning examinable. It does not remove judgment; it disciplines judgment by revealing definitions, structure, uncertainty and </w:t>
      </w:r>
      <w:proofErr w:type="gramStart"/>
      <w:r>
        <w:t>consequence</w:t>
      </w:r>
      <w:proofErr w:type="gramEnd"/>
      <w:r>
        <w:t>. Reproducible computation extends that discipline from the page to the executable system.</w:t>
      </w:r>
    </w:p>
    <w:p w14:paraId="3951ECCD" w14:textId="77777777" w:rsidR="008734F4" w:rsidRPr="009A51A9" w:rsidRDefault="008734F4">
      <w:pPr>
        <w:pStyle w:val="Heading2"/>
        <w:rPr>
          <w:lang w:val="en-US"/>
        </w:rPr>
      </w:pPr>
      <w:bookmarkStart w:id="49" w:name="_Toc238927753"/>
      <w:bookmarkStart w:id="50" w:name="chapter-summary-and-key-insight-2"/>
      <w:bookmarkEnd w:id="48"/>
      <w:r w:rsidRPr="009A51A9">
        <w:rPr>
          <w:rStyle w:val="SectionNumber"/>
          <w:lang w:val="en-US"/>
        </w:rPr>
        <w:t>3.21</w:t>
      </w:r>
      <w:r w:rsidRPr="009A51A9">
        <w:rPr>
          <w:lang w:val="en-US"/>
        </w:rPr>
        <w:tab/>
        <w:t>Chapter Summary and Key Insight</w:t>
      </w:r>
      <w:bookmarkEnd w:id="49"/>
    </w:p>
    <w:p w14:paraId="16F646D2" w14:textId="77777777" w:rsidR="008734F4" w:rsidRDefault="008734F4">
      <w:pPr>
        <w:pStyle w:val="FirstParagraph"/>
      </w:pPr>
      <w:r>
        <w:t xml:space="preserve">Vectors represent ordered quantities in coordinate systems. Addition, scaling, inner products, norms, angles and distance provide the geometry underlying features, similarity, gradients and optimization. The canonical notebook turns the reasoning into an inspectable experiment, while professional use </w:t>
      </w:r>
      <w:r>
        <w:lastRenderedPageBreak/>
        <w:t>still requires valid assumptions, stable computation, uncertainty communication and accountable interpretation.</w:t>
      </w:r>
    </w:p>
    <w:p w14:paraId="0107B1AC" w14:textId="77777777" w:rsidR="008734F4" w:rsidRPr="009A51A9" w:rsidRDefault="008734F4">
      <w:pPr>
        <w:pStyle w:val="Heading2"/>
        <w:rPr>
          <w:lang w:val="en-US"/>
        </w:rPr>
      </w:pPr>
      <w:bookmarkStart w:id="51" w:name="_Toc238927754"/>
      <w:bookmarkStart w:id="52" w:name="srai-principle-no.-3"/>
      <w:bookmarkEnd w:id="50"/>
      <w:r w:rsidRPr="009A51A9">
        <w:rPr>
          <w:rStyle w:val="SectionNumber"/>
          <w:lang w:val="en-US"/>
        </w:rPr>
        <w:t>3.22</w:t>
      </w:r>
      <w:r w:rsidRPr="009A51A9">
        <w:rPr>
          <w:lang w:val="en-US"/>
        </w:rPr>
        <w:tab/>
        <w:t>SRAI Principle No. 3</w:t>
      </w:r>
      <w:bookmarkEnd w:id="51"/>
    </w:p>
    <w:p w14:paraId="1F37BC9F" w14:textId="77777777" w:rsidR="008734F4" w:rsidRDefault="008734F4">
      <w:pPr>
        <w:pStyle w:val="FirstParagraph"/>
      </w:pPr>
      <w:r>
        <w:rPr>
          <w:b/>
          <w:bCs/>
        </w:rPr>
        <w:t>Geometry becomes evidence only after representation, scaling and interpretation have been justified.</w:t>
      </w:r>
    </w:p>
    <w:p w14:paraId="384BEEE3" w14:textId="77777777" w:rsidR="008734F4" w:rsidRDefault="008734F4">
      <w:pPr>
        <w:pStyle w:val="Heading2"/>
      </w:pPr>
      <w:bookmarkStart w:id="53" w:name="_Toc238927755"/>
      <w:bookmarkStart w:id="54" w:name="exercises-and-laboratory-1"/>
      <w:bookmarkEnd w:id="52"/>
      <w:r>
        <w:rPr>
          <w:rStyle w:val="SectionNumber"/>
        </w:rPr>
        <w:t>3.23</w:t>
      </w:r>
      <w:r>
        <w:tab/>
      </w:r>
      <w:proofErr w:type="spellStart"/>
      <w:r>
        <w:t>Exercises</w:t>
      </w:r>
      <w:proofErr w:type="spellEnd"/>
      <w:r>
        <w:t xml:space="preserve"> and </w:t>
      </w:r>
      <w:proofErr w:type="spellStart"/>
      <w:r>
        <w:t>Laboratory</w:t>
      </w:r>
      <w:bookmarkEnd w:id="53"/>
      <w:proofErr w:type="spellEnd"/>
    </w:p>
    <w:p w14:paraId="5418589D" w14:textId="77777777" w:rsidR="008734F4" w:rsidRDefault="008734F4" w:rsidP="008734F4">
      <w:pPr>
        <w:pStyle w:val="Compact"/>
        <w:numPr>
          <w:ilvl w:val="0"/>
          <w:numId w:val="5"/>
        </w:numPr>
      </w:pPr>
      <w:r>
        <w:t>Compute the L¹, L² and L∞ norms for the same vector.</w:t>
      </w:r>
    </w:p>
    <w:p w14:paraId="450C4E9C" w14:textId="77777777" w:rsidR="008734F4" w:rsidRDefault="008734F4" w:rsidP="008734F4">
      <w:pPr>
        <w:pStyle w:val="Compact"/>
        <w:numPr>
          <w:ilvl w:val="0"/>
          <w:numId w:val="5"/>
        </w:numPr>
      </w:pPr>
      <w:r>
        <w:t>Prove that the projection rejection is orthogonal to the nonzero projection direction u.</w:t>
      </w:r>
    </w:p>
    <w:p w14:paraId="04308CC5" w14:textId="77777777" w:rsidR="008734F4" w:rsidRDefault="008734F4" w:rsidP="008734F4">
      <w:pPr>
        <w:pStyle w:val="Compact"/>
        <w:numPr>
          <w:ilvl w:val="0"/>
          <w:numId w:val="5"/>
        </w:numPr>
      </w:pPr>
      <w:r>
        <w:t>Compare Euclidean distance before and after standardization.</w:t>
      </w:r>
    </w:p>
    <w:p w14:paraId="559509BA" w14:textId="77777777" w:rsidR="008734F4" w:rsidRDefault="008734F4" w:rsidP="008734F4">
      <w:pPr>
        <w:pStyle w:val="Compact"/>
        <w:numPr>
          <w:ilvl w:val="0"/>
          <w:numId w:val="5"/>
        </w:numPr>
      </w:pPr>
      <w:r>
        <w:t>Implement cosine similarity without a library function.</w:t>
      </w:r>
    </w:p>
    <w:p w14:paraId="51A30C32" w14:textId="77777777" w:rsidR="008734F4" w:rsidRDefault="008734F4" w:rsidP="008734F4">
      <w:pPr>
        <w:pStyle w:val="Compact"/>
        <w:numPr>
          <w:ilvl w:val="0"/>
          <w:numId w:val="5"/>
        </w:numPr>
      </w:pPr>
      <w:r>
        <w:t xml:space="preserve">Use </w:t>
      </w:r>
      <w:r>
        <w:rPr>
          <w:rStyle w:val="VerbatimChar"/>
        </w:rPr>
        <w:t>M1_N03</w:t>
      </w:r>
      <w:r>
        <w:t xml:space="preserve"> to create a multi-sector state vector and document how changing one scaling choice alters the conclusion.</w:t>
      </w:r>
    </w:p>
    <w:p w14:paraId="7717BC04" w14:textId="77777777" w:rsidR="008734F4" w:rsidRPr="009A51A9" w:rsidRDefault="008734F4">
      <w:pPr>
        <w:pStyle w:val="Heading2"/>
        <w:rPr>
          <w:lang w:val="en-US"/>
        </w:rPr>
      </w:pPr>
      <w:bookmarkStart w:id="55" w:name="_Toc238927756"/>
      <w:bookmarkStart w:id="56" w:name="key-insight-and-reflection"/>
      <w:bookmarkEnd w:id="54"/>
      <w:r w:rsidRPr="009A51A9">
        <w:rPr>
          <w:rStyle w:val="SectionNumber"/>
          <w:lang w:val="en-US"/>
        </w:rPr>
        <w:t>3.24</w:t>
      </w:r>
      <w:r w:rsidRPr="009A51A9">
        <w:rPr>
          <w:lang w:val="en-US"/>
        </w:rPr>
        <w:tab/>
        <w:t>Key Insight and Reflection</w:t>
      </w:r>
      <w:bookmarkEnd w:id="55"/>
    </w:p>
    <w:p w14:paraId="6494EE32" w14:textId="77777777" w:rsidR="008734F4" w:rsidRDefault="008734F4">
      <w:pPr>
        <w:pStyle w:val="FirstParagraph"/>
      </w:pPr>
      <w:r>
        <w:t>Vectors transform information into geometry. That transformation enables comparison, projection, optimization and learning. It also introduces modeling choices that must remain visible.</w:t>
      </w:r>
    </w:p>
    <w:p w14:paraId="4082E109" w14:textId="77777777" w:rsidR="008734F4" w:rsidRPr="009A51A9" w:rsidRDefault="008734F4">
      <w:pPr>
        <w:pStyle w:val="Heading2"/>
        <w:rPr>
          <w:lang w:val="en-US"/>
        </w:rPr>
      </w:pPr>
      <w:bookmarkStart w:id="57" w:name="_Toc238927757"/>
      <w:bookmarkStart w:id="58" w:name="looking-ahead-2"/>
      <w:bookmarkEnd w:id="56"/>
      <w:r w:rsidRPr="009A51A9">
        <w:rPr>
          <w:rStyle w:val="SectionNumber"/>
          <w:lang w:val="en-US"/>
        </w:rPr>
        <w:t>3.25</w:t>
      </w:r>
      <w:r w:rsidRPr="009A51A9">
        <w:rPr>
          <w:lang w:val="en-US"/>
        </w:rPr>
        <w:tab/>
        <w:t>Looking Ahead</w:t>
      </w:r>
      <w:bookmarkEnd w:id="57"/>
    </w:p>
    <w:p w14:paraId="77FFED2F" w14:textId="77777777" w:rsidR="008734F4" w:rsidRDefault="008734F4">
      <w:pPr>
        <w:pStyle w:val="FirstParagraph"/>
      </w:pPr>
      <w:r>
        <w:t>Chapter 4 organizes vectors into matrices. Matrix algebra enables us to represent entire datasets and systems of relationships, then solve the linear systems that arise throughout statistics and AI.</w:t>
      </w:r>
    </w:p>
    <w:p w14:paraId="303B18E4" w14:textId="77777777" w:rsidR="008734F4" w:rsidRDefault="00CD6810">
      <w:r>
        <w:pict w14:anchorId="4C115151">
          <v:rect id="_x0000_i1025" style="width:0;height:1.5pt" o:hralign="center" o:hrstd="t" o:hr="t"/>
        </w:pict>
      </w:r>
    </w:p>
    <w:p w14:paraId="66369D32" w14:textId="77777777" w:rsidR="008734F4" w:rsidRDefault="008734F4">
      <w:pPr>
        <w:pStyle w:val="Heading2"/>
      </w:pPr>
      <w:bookmarkStart w:id="59" w:name="_Toc238927758"/>
      <w:bookmarkStart w:id="60" w:name="X1d0a47e8ee84931b2e6c51aeac639eefa2d661e"/>
      <w:bookmarkEnd w:id="58"/>
      <w:r>
        <w:rPr>
          <w:rStyle w:val="SectionNumber"/>
        </w:rPr>
        <w:t>3.26</w:t>
      </w:r>
      <w:r>
        <w:tab/>
      </w:r>
      <w:proofErr w:type="spellStart"/>
      <w:r>
        <w:t>Verified</w:t>
      </w:r>
      <w:proofErr w:type="spellEnd"/>
      <w:r>
        <w:t xml:space="preserve"> </w:t>
      </w:r>
      <w:proofErr w:type="spellStart"/>
      <w:r>
        <w:t>References</w:t>
      </w:r>
      <w:proofErr w:type="spellEnd"/>
      <w:r>
        <w:t xml:space="preserve"> and </w:t>
      </w:r>
      <w:proofErr w:type="spellStart"/>
      <w:r>
        <w:t>Further</w:t>
      </w:r>
      <w:proofErr w:type="spellEnd"/>
      <w:r>
        <w:t xml:space="preserve"> Reading</w:t>
      </w:r>
      <w:bookmarkEnd w:id="59"/>
    </w:p>
    <w:p w14:paraId="5839741C" w14:textId="77777777" w:rsidR="008734F4" w:rsidRDefault="008734F4" w:rsidP="008734F4">
      <w:pPr>
        <w:pStyle w:val="Compact"/>
        <w:numPr>
          <w:ilvl w:val="0"/>
          <w:numId w:val="2"/>
        </w:numPr>
      </w:pPr>
      <w:r>
        <w:rPr>
          <w:rStyle w:val="CodeInline"/>
        </w:rPr>
        <w:t>NumPy documentation. Linear algebra reference. https://numpy.org/doc/stable/reference/routines.linalg.html</w:t>
      </w:r>
    </w:p>
    <w:p w14:paraId="2F28340F" w14:textId="77777777" w:rsidR="008734F4" w:rsidRDefault="008734F4" w:rsidP="008734F4">
      <w:pPr>
        <w:pStyle w:val="Compact"/>
        <w:numPr>
          <w:ilvl w:val="0"/>
          <w:numId w:val="2"/>
        </w:numPr>
      </w:pPr>
      <w:r>
        <w:rPr>
          <w:rStyle w:val="CodeInline"/>
        </w:rPr>
        <w:t>NumPy documentation. Vector and matrix norms. https://numpy.org/doc/stable/reference/generated/numpy.linalg.norm.html</w:t>
      </w:r>
    </w:p>
    <w:p w14:paraId="3461EDC7" w14:textId="77777777" w:rsidR="008734F4" w:rsidRDefault="008734F4">
      <w:pPr>
        <w:pStyle w:val="BlockText"/>
      </w:pPr>
      <w:r>
        <w:t>Technical audit note: Definitions, formulas and computational claims were checked against the cited primary documentation and independently executed reference calculations. Final publication remains subject to owner approval.</w:t>
      </w:r>
    </w:p>
    <w:p w14:paraId="2BEBCC54" w14:textId="77777777" w:rsidR="008734F4" w:rsidRDefault="008734F4">
      <w:pPr>
        <w:pStyle w:val="Heading2"/>
      </w:pPr>
      <w:bookmarkStart w:id="61" w:name="_Toc238927759"/>
      <w:bookmarkStart w:id="62" w:name="student-assessment---chapter-3"/>
      <w:bookmarkEnd w:id="60"/>
      <w:r>
        <w:rPr>
          <w:rStyle w:val="SectionNumber"/>
        </w:rPr>
        <w:t>3.27</w:t>
      </w:r>
      <w:r>
        <w:tab/>
        <w:t xml:space="preserve">Student </w:t>
      </w:r>
      <w:proofErr w:type="spellStart"/>
      <w:r>
        <w:t>Assessment</w:t>
      </w:r>
      <w:proofErr w:type="spellEnd"/>
      <w:r>
        <w:t xml:space="preserve"> - </w:t>
      </w:r>
      <w:proofErr w:type="spellStart"/>
      <w:r>
        <w:t>Chapter</w:t>
      </w:r>
      <w:proofErr w:type="spellEnd"/>
      <w:r>
        <w:t xml:space="preserve"> 3</w:t>
      </w:r>
      <w:bookmarkEnd w:id="61"/>
    </w:p>
    <w:p w14:paraId="100A6E9D" w14:textId="77777777" w:rsidR="008734F4" w:rsidRDefault="008734F4" w:rsidP="008734F4">
      <w:pPr>
        <w:pStyle w:val="Compact"/>
        <w:numPr>
          <w:ilvl w:val="0"/>
          <w:numId w:val="6"/>
        </w:numPr>
      </w:pPr>
      <w:r>
        <w:t>Compute the dot product of (1,2) and (3,4).</w:t>
      </w:r>
    </w:p>
    <w:p w14:paraId="7B422412" w14:textId="77777777" w:rsidR="008734F4" w:rsidRDefault="008734F4" w:rsidP="008734F4">
      <w:pPr>
        <w:pStyle w:val="Compact"/>
        <w:numPr>
          <w:ilvl w:val="0"/>
          <w:numId w:val="6"/>
        </w:numPr>
      </w:pPr>
      <w:r>
        <w:t>Compute the Euclidean norm of (3,4).</w:t>
      </w:r>
      <w:r>
        <w:fldChar w:fldCharType="begin"/>
      </w:r>
      <w:r>
        <w:instrText xml:space="preserve"> XE "Euclidean norm" </w:instrText>
      </w:r>
      <w:r>
        <w:fldChar w:fldCharType="end"/>
      </w:r>
    </w:p>
    <w:p w14:paraId="336EB8BB" w14:textId="77777777" w:rsidR="008734F4" w:rsidRDefault="008734F4" w:rsidP="008734F4">
      <w:pPr>
        <w:pStyle w:val="Compact"/>
        <w:numPr>
          <w:ilvl w:val="0"/>
          <w:numId w:val="6"/>
        </w:numPr>
      </w:pPr>
      <w:r>
        <w:t>When are two nonzero vectors orthogonal?</w:t>
      </w:r>
    </w:p>
    <w:p w14:paraId="39B1B0E1" w14:textId="77777777" w:rsidR="008734F4" w:rsidRDefault="008734F4" w:rsidP="008734F4">
      <w:pPr>
        <w:pStyle w:val="Compact"/>
        <w:numPr>
          <w:ilvl w:val="0"/>
          <w:numId w:val="6"/>
        </w:numPr>
      </w:pPr>
      <w:r>
        <w:t>Why must features be scaled before distance methods?</w:t>
      </w:r>
    </w:p>
    <w:p w14:paraId="70DB847F" w14:textId="77777777" w:rsidR="008734F4" w:rsidRDefault="008734F4" w:rsidP="008734F4">
      <w:pPr>
        <w:pStyle w:val="Compact"/>
        <w:numPr>
          <w:ilvl w:val="0"/>
          <w:numId w:val="6"/>
        </w:numPr>
      </w:pPr>
      <w:r>
        <w:t>What does cosine similarity omit?</w:t>
      </w:r>
    </w:p>
    <w:p w14:paraId="3076F765" w14:textId="77777777" w:rsidR="008734F4" w:rsidRDefault="008734F4">
      <w:pPr>
        <w:pStyle w:val="Heading2"/>
      </w:pPr>
      <w:bookmarkStart w:id="63" w:name="_Toc238927760"/>
      <w:bookmarkStart w:id="64" w:name="instructor-solutions---chapter-3"/>
      <w:bookmarkEnd w:id="62"/>
      <w:r>
        <w:rPr>
          <w:rStyle w:val="SectionNumber"/>
        </w:rPr>
        <w:t>3.28</w:t>
      </w:r>
      <w:r>
        <w:tab/>
      </w:r>
      <w:proofErr w:type="spellStart"/>
      <w:r>
        <w:t>Instructor</w:t>
      </w:r>
      <w:proofErr w:type="spellEnd"/>
      <w:r>
        <w:t xml:space="preserve"> Solutions - </w:t>
      </w:r>
      <w:proofErr w:type="spellStart"/>
      <w:r>
        <w:t>Chapter</w:t>
      </w:r>
      <w:proofErr w:type="spellEnd"/>
      <w:r>
        <w:t xml:space="preserve"> 3</w:t>
      </w:r>
      <w:bookmarkEnd w:id="63"/>
    </w:p>
    <w:p w14:paraId="5EFDAFE3" w14:textId="77777777" w:rsidR="008734F4" w:rsidRDefault="008734F4" w:rsidP="008734F4">
      <w:pPr>
        <w:numPr>
          <w:ilvl w:val="0"/>
          <w:numId w:val="7"/>
        </w:numPr>
        <w:spacing w:after="120" w:line="264" w:lineRule="auto"/>
      </w:pPr>
      <w:proofErr w:type="spellStart"/>
      <w:proofErr w:type="gramStart"/>
      <w:r>
        <w:rPr>
          <w:b/>
          <w:bCs/>
        </w:rPr>
        <w:t>Answer</w:t>
      </w:r>
      <w:proofErr w:type="spellEnd"/>
      <w:r>
        <w:rPr>
          <w:b/>
          <w:bCs/>
        </w:rPr>
        <w:t>:</w:t>
      </w:r>
      <w:proofErr w:type="gramEnd"/>
      <w:r>
        <w:t xml:space="preserve"> 11.</w:t>
      </w:r>
    </w:p>
    <w:p w14:paraId="45517B45" w14:textId="77777777" w:rsidR="008734F4" w:rsidRPr="009A51A9" w:rsidRDefault="008734F4" w:rsidP="008734F4">
      <w:pPr>
        <w:numPr>
          <w:ilvl w:val="0"/>
          <w:numId w:val="1"/>
        </w:numPr>
        <w:spacing w:after="120" w:line="264" w:lineRule="auto"/>
        <w:rPr>
          <w:lang w:val="en-US"/>
        </w:rPr>
      </w:pPr>
      <w:r w:rsidRPr="009A51A9">
        <w:rPr>
          <w:b/>
          <w:bCs/>
          <w:lang w:val="en-US"/>
        </w:rPr>
        <w:lastRenderedPageBreak/>
        <w:t>Marks:</w:t>
      </w:r>
      <w:r w:rsidRPr="009A51A9">
        <w:rPr>
          <w:lang w:val="en-US"/>
        </w:rPr>
        <w:t xml:space="preserve"> 4 for correct result; 3 for valid reasoning; 2 for partial structure; 1 for relevant attempt.</w:t>
      </w:r>
    </w:p>
    <w:p w14:paraId="61F2DDCE" w14:textId="77777777" w:rsidR="008734F4" w:rsidRDefault="008734F4" w:rsidP="008734F4">
      <w:pPr>
        <w:numPr>
          <w:ilvl w:val="0"/>
          <w:numId w:val="7"/>
        </w:numPr>
        <w:spacing w:after="120" w:line="264" w:lineRule="auto"/>
      </w:pPr>
      <w:proofErr w:type="spellStart"/>
      <w:proofErr w:type="gramStart"/>
      <w:r>
        <w:rPr>
          <w:b/>
          <w:bCs/>
        </w:rPr>
        <w:t>Answer</w:t>
      </w:r>
      <w:proofErr w:type="spellEnd"/>
      <w:r>
        <w:rPr>
          <w:b/>
          <w:bCs/>
        </w:rPr>
        <w:t>:</w:t>
      </w:r>
      <w:proofErr w:type="gramEnd"/>
      <w:r>
        <w:t xml:space="preserve"> 5.</w:t>
      </w:r>
    </w:p>
    <w:p w14:paraId="3D341C93" w14:textId="77777777" w:rsidR="008734F4" w:rsidRPr="009A51A9" w:rsidRDefault="008734F4" w:rsidP="008734F4">
      <w:pPr>
        <w:numPr>
          <w:ilvl w:val="0"/>
          <w:numId w:val="1"/>
        </w:numPr>
        <w:spacing w:after="120" w:line="264" w:lineRule="auto"/>
        <w:rPr>
          <w:lang w:val="en-US"/>
        </w:rPr>
      </w:pPr>
      <w:r w:rsidRPr="009A51A9">
        <w:rPr>
          <w:b/>
          <w:bCs/>
          <w:lang w:val="en-US"/>
        </w:rPr>
        <w:t>Marks:</w:t>
      </w:r>
      <w:r w:rsidRPr="009A51A9">
        <w:rPr>
          <w:lang w:val="en-US"/>
        </w:rPr>
        <w:t xml:space="preserve"> 4 for correct result; 3 for valid reasoning; 2 for partial structure; 1 for relevant attempt.</w:t>
      </w:r>
    </w:p>
    <w:p w14:paraId="13390D18" w14:textId="77777777" w:rsidR="008734F4" w:rsidRPr="009A51A9" w:rsidRDefault="008734F4" w:rsidP="008734F4">
      <w:pPr>
        <w:numPr>
          <w:ilvl w:val="0"/>
          <w:numId w:val="7"/>
        </w:numPr>
        <w:spacing w:after="120" w:line="264" w:lineRule="auto"/>
        <w:rPr>
          <w:lang w:val="en-US"/>
        </w:rPr>
      </w:pPr>
      <w:r w:rsidRPr="009A51A9">
        <w:rPr>
          <w:b/>
          <w:bCs/>
          <w:lang w:val="en-US"/>
        </w:rPr>
        <w:t>Answer:</w:t>
      </w:r>
      <w:r w:rsidRPr="009A51A9">
        <w:rPr>
          <w:lang w:val="en-US"/>
        </w:rPr>
        <w:t xml:space="preserve"> Their inner product is zero.</w:t>
      </w:r>
      <w:r>
        <w:fldChar w:fldCharType="begin"/>
      </w:r>
      <w:r w:rsidRPr="009A51A9">
        <w:rPr>
          <w:lang w:val="en-US"/>
        </w:rPr>
        <w:instrText xml:space="preserve"> XE "inner product" </w:instrText>
      </w:r>
      <w:r>
        <w:fldChar w:fldCharType="end"/>
      </w:r>
    </w:p>
    <w:p w14:paraId="0EB81575" w14:textId="77777777" w:rsidR="008734F4" w:rsidRPr="009A51A9" w:rsidRDefault="008734F4" w:rsidP="008734F4">
      <w:pPr>
        <w:numPr>
          <w:ilvl w:val="0"/>
          <w:numId w:val="1"/>
        </w:numPr>
        <w:spacing w:after="120" w:line="264" w:lineRule="auto"/>
        <w:rPr>
          <w:lang w:val="en-US"/>
        </w:rPr>
      </w:pPr>
      <w:r w:rsidRPr="009A51A9">
        <w:rPr>
          <w:b/>
          <w:bCs/>
          <w:lang w:val="en-US"/>
        </w:rPr>
        <w:t>Marks:</w:t>
      </w:r>
      <w:r w:rsidRPr="009A51A9">
        <w:rPr>
          <w:lang w:val="en-US"/>
        </w:rPr>
        <w:t xml:space="preserve"> 4 for correct result; 3 for valid reasoning; 2 for partial structure; 1 for relevant attempt.</w:t>
      </w:r>
    </w:p>
    <w:p w14:paraId="471BE4C6" w14:textId="77777777" w:rsidR="008734F4" w:rsidRPr="009A51A9" w:rsidRDefault="008734F4" w:rsidP="008734F4">
      <w:pPr>
        <w:numPr>
          <w:ilvl w:val="0"/>
          <w:numId w:val="7"/>
        </w:numPr>
        <w:spacing w:after="120" w:line="264" w:lineRule="auto"/>
        <w:rPr>
          <w:lang w:val="en-US"/>
        </w:rPr>
      </w:pPr>
      <w:r w:rsidRPr="009A51A9">
        <w:rPr>
          <w:b/>
          <w:bCs/>
          <w:lang w:val="en-US"/>
        </w:rPr>
        <w:t>Answer:</w:t>
      </w:r>
      <w:r w:rsidRPr="009A51A9">
        <w:rPr>
          <w:lang w:val="en-US"/>
        </w:rPr>
        <w:t xml:space="preserve"> Large-unit coordinates can dominate geometric distance.</w:t>
      </w:r>
    </w:p>
    <w:p w14:paraId="14244D69" w14:textId="77777777" w:rsidR="008734F4" w:rsidRPr="009A51A9" w:rsidRDefault="008734F4" w:rsidP="008734F4">
      <w:pPr>
        <w:numPr>
          <w:ilvl w:val="0"/>
          <w:numId w:val="1"/>
        </w:numPr>
        <w:spacing w:after="120" w:line="264" w:lineRule="auto"/>
        <w:rPr>
          <w:lang w:val="en-US"/>
        </w:rPr>
      </w:pPr>
      <w:r w:rsidRPr="009A51A9">
        <w:rPr>
          <w:b/>
          <w:bCs/>
          <w:lang w:val="en-US"/>
        </w:rPr>
        <w:t>Marks:</w:t>
      </w:r>
      <w:r w:rsidRPr="009A51A9">
        <w:rPr>
          <w:lang w:val="en-US"/>
        </w:rPr>
        <w:t xml:space="preserve"> 4 for correct result; 3 for valid reasoning; 2 for partial structure; 1 for relevant attempt.</w:t>
      </w:r>
    </w:p>
    <w:p w14:paraId="4FBA6194" w14:textId="77777777" w:rsidR="008734F4" w:rsidRPr="009A51A9" w:rsidRDefault="008734F4" w:rsidP="008734F4">
      <w:pPr>
        <w:numPr>
          <w:ilvl w:val="0"/>
          <w:numId w:val="7"/>
        </w:numPr>
        <w:spacing w:after="120" w:line="264" w:lineRule="auto"/>
        <w:rPr>
          <w:lang w:val="en-US"/>
        </w:rPr>
      </w:pPr>
      <w:r w:rsidRPr="009A51A9">
        <w:rPr>
          <w:b/>
          <w:bCs/>
          <w:lang w:val="en-US"/>
        </w:rPr>
        <w:t>Answer:</w:t>
      </w:r>
      <w:r w:rsidRPr="009A51A9">
        <w:rPr>
          <w:lang w:val="en-US"/>
        </w:rPr>
        <w:t xml:space="preserve"> It compares direction and ignores magnitude, subject to zero-vector handling.</w:t>
      </w:r>
    </w:p>
    <w:p w14:paraId="3C3E3997" w14:textId="77777777" w:rsidR="008734F4" w:rsidRPr="009A51A9" w:rsidRDefault="008734F4" w:rsidP="008734F4">
      <w:pPr>
        <w:numPr>
          <w:ilvl w:val="0"/>
          <w:numId w:val="1"/>
        </w:numPr>
        <w:spacing w:after="120" w:line="264" w:lineRule="auto"/>
        <w:rPr>
          <w:lang w:val="en-US"/>
        </w:rPr>
      </w:pPr>
      <w:r w:rsidRPr="009A51A9">
        <w:rPr>
          <w:b/>
          <w:bCs/>
          <w:lang w:val="en-US"/>
        </w:rPr>
        <w:t>Marks:</w:t>
      </w:r>
      <w:r w:rsidRPr="009A51A9">
        <w:rPr>
          <w:lang w:val="en-US"/>
        </w:rPr>
        <w:t xml:space="preserve"> 4 for correct result; 3 for valid reasoning; 2 for partial structure; 1 for relevant attempt.</w:t>
      </w:r>
    </w:p>
    <w:bookmarkEnd w:id="2"/>
    <w:bookmarkEnd w:id="64"/>
    <w:p w14:paraId="22BEC486" w14:textId="77777777" w:rsidR="00AC1746" w:rsidRPr="009A51A9" w:rsidRDefault="00AC1746">
      <w:pPr>
        <w:rPr>
          <w:lang w:val="en-US"/>
        </w:rPr>
      </w:pPr>
    </w:p>
    <w:sectPr w:rsidR="00AC1746" w:rsidRPr="009A5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E6D8A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F48C6E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C14F15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14689744">
    <w:abstractNumId w:val="0"/>
  </w:num>
  <w:num w:numId="2" w16cid:durableId="83453650">
    <w:abstractNumId w:val="1"/>
  </w:num>
  <w:num w:numId="3" w16cid:durableId="1148323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82727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72812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67412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32005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4F4"/>
    <w:rsid w:val="000E1485"/>
    <w:rsid w:val="00350D12"/>
    <w:rsid w:val="008734F4"/>
    <w:rsid w:val="008C3473"/>
    <w:rsid w:val="009A51A9"/>
    <w:rsid w:val="00AC1746"/>
    <w:rsid w:val="00C37A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F3355"/>
  <w15:chartTrackingRefBased/>
  <w15:docId w15:val="{63ABEFA5-F314-416C-A7D0-3593D1D80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4F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734F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8734F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734F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734F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3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4F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734F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734F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734F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734F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3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4F4"/>
    <w:rPr>
      <w:rFonts w:eastAsiaTheme="majorEastAsia" w:cstheme="majorBidi"/>
      <w:color w:val="272727" w:themeColor="text1" w:themeTint="D8"/>
    </w:rPr>
  </w:style>
  <w:style w:type="paragraph" w:styleId="Title">
    <w:name w:val="Title"/>
    <w:basedOn w:val="Normal"/>
    <w:next w:val="Normal"/>
    <w:link w:val="TitleChar"/>
    <w:uiPriority w:val="10"/>
    <w:qFormat/>
    <w:rsid w:val="00873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4F4"/>
    <w:pPr>
      <w:spacing w:before="160"/>
      <w:jc w:val="center"/>
    </w:pPr>
    <w:rPr>
      <w:i/>
      <w:iCs/>
      <w:color w:val="404040" w:themeColor="text1" w:themeTint="BF"/>
    </w:rPr>
  </w:style>
  <w:style w:type="character" w:customStyle="1" w:styleId="QuoteChar">
    <w:name w:val="Quote Char"/>
    <w:basedOn w:val="DefaultParagraphFont"/>
    <w:link w:val="Quote"/>
    <w:uiPriority w:val="29"/>
    <w:rsid w:val="008734F4"/>
    <w:rPr>
      <w:i/>
      <w:iCs/>
      <w:color w:val="404040" w:themeColor="text1" w:themeTint="BF"/>
    </w:rPr>
  </w:style>
  <w:style w:type="paragraph" w:styleId="ListParagraph">
    <w:name w:val="List Paragraph"/>
    <w:basedOn w:val="Normal"/>
    <w:uiPriority w:val="34"/>
    <w:qFormat/>
    <w:rsid w:val="008734F4"/>
    <w:pPr>
      <w:ind w:left="720"/>
      <w:contextualSpacing/>
    </w:pPr>
  </w:style>
  <w:style w:type="character" w:styleId="IntenseEmphasis">
    <w:name w:val="Intense Emphasis"/>
    <w:basedOn w:val="DefaultParagraphFont"/>
    <w:uiPriority w:val="21"/>
    <w:qFormat/>
    <w:rsid w:val="008734F4"/>
    <w:rPr>
      <w:i/>
      <w:iCs/>
      <w:color w:val="2E74B5" w:themeColor="accent1" w:themeShade="BF"/>
    </w:rPr>
  </w:style>
  <w:style w:type="paragraph" w:styleId="IntenseQuote">
    <w:name w:val="Intense Quote"/>
    <w:basedOn w:val="Normal"/>
    <w:next w:val="Normal"/>
    <w:link w:val="IntenseQuoteChar"/>
    <w:uiPriority w:val="30"/>
    <w:qFormat/>
    <w:rsid w:val="008734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34F4"/>
    <w:rPr>
      <w:i/>
      <w:iCs/>
      <w:color w:val="2E74B5" w:themeColor="accent1" w:themeShade="BF"/>
    </w:rPr>
  </w:style>
  <w:style w:type="character" w:styleId="IntenseReference">
    <w:name w:val="Intense Reference"/>
    <w:basedOn w:val="DefaultParagraphFont"/>
    <w:uiPriority w:val="32"/>
    <w:qFormat/>
    <w:rsid w:val="008734F4"/>
    <w:rPr>
      <w:b/>
      <w:bCs/>
      <w:smallCaps/>
      <w:color w:val="2E74B5" w:themeColor="accent1" w:themeShade="BF"/>
      <w:spacing w:val="5"/>
    </w:rPr>
  </w:style>
  <w:style w:type="paragraph" w:styleId="BodyText">
    <w:name w:val="Body Text"/>
    <w:basedOn w:val="Normal"/>
    <w:link w:val="BodyTextChar"/>
    <w:qFormat/>
    <w:rsid w:val="008734F4"/>
    <w:pPr>
      <w:spacing w:before="180" w:after="180" w:line="264" w:lineRule="auto"/>
    </w:pPr>
    <w:rPr>
      <w:rFonts w:ascii="Calibri" w:hAnsi="Calibri"/>
      <w:kern w:val="0"/>
      <w:szCs w:val="24"/>
      <w:lang w:val="en-US"/>
      <w14:ligatures w14:val="none"/>
    </w:rPr>
  </w:style>
  <w:style w:type="character" w:customStyle="1" w:styleId="BodyTextChar">
    <w:name w:val="Body Text Char"/>
    <w:basedOn w:val="DefaultParagraphFont"/>
    <w:link w:val="BodyText"/>
    <w:rsid w:val="008734F4"/>
    <w:rPr>
      <w:rFonts w:ascii="Calibri" w:hAnsi="Calibri"/>
      <w:kern w:val="0"/>
      <w:szCs w:val="24"/>
      <w:lang w:val="en-US"/>
      <w14:ligatures w14:val="none"/>
    </w:rPr>
  </w:style>
  <w:style w:type="paragraph" w:customStyle="1" w:styleId="FirstParagraph">
    <w:name w:val="First Paragraph"/>
    <w:basedOn w:val="BodyText"/>
    <w:next w:val="BodyText"/>
    <w:qFormat/>
    <w:rsid w:val="008734F4"/>
  </w:style>
  <w:style w:type="paragraph" w:customStyle="1" w:styleId="Compact">
    <w:name w:val="Compact"/>
    <w:basedOn w:val="BodyText"/>
    <w:qFormat/>
    <w:rsid w:val="008734F4"/>
    <w:pPr>
      <w:spacing w:before="36" w:after="36"/>
    </w:pPr>
  </w:style>
  <w:style w:type="paragraph" w:styleId="BlockText">
    <w:name w:val="Block Text"/>
    <w:basedOn w:val="BodyText"/>
    <w:next w:val="BodyText"/>
    <w:uiPriority w:val="9"/>
    <w:unhideWhenUsed/>
    <w:qFormat/>
    <w:rsid w:val="008734F4"/>
    <w:pPr>
      <w:spacing w:before="100" w:after="100"/>
      <w:ind w:left="480" w:right="480"/>
    </w:pPr>
  </w:style>
  <w:style w:type="character" w:customStyle="1" w:styleId="VerbatimChar">
    <w:name w:val="Verbatim Char"/>
    <w:basedOn w:val="DefaultParagraphFont"/>
    <w:link w:val="SourceCode"/>
    <w:rsid w:val="008734F4"/>
    <w:rPr>
      <w:rFonts w:ascii="Consolas" w:hAnsi="Consolas"/>
    </w:rPr>
  </w:style>
  <w:style w:type="character" w:customStyle="1" w:styleId="SectionNumber">
    <w:name w:val="Section Number"/>
    <w:basedOn w:val="DefaultParagraphFont"/>
    <w:rsid w:val="008734F4"/>
  </w:style>
  <w:style w:type="paragraph" w:customStyle="1" w:styleId="SourceCode">
    <w:name w:val="Source Code"/>
    <w:basedOn w:val="Normal"/>
    <w:link w:val="VerbatimChar"/>
    <w:rsid w:val="008734F4"/>
    <w:pPr>
      <w:wordWrap w:val="0"/>
      <w:spacing w:after="120" w:line="264" w:lineRule="auto"/>
    </w:pPr>
    <w:rPr>
      <w:rFonts w:ascii="Consolas" w:hAnsi="Consolas"/>
    </w:rPr>
  </w:style>
  <w:style w:type="character" w:customStyle="1" w:styleId="CodeInline">
    <w:name w:val="Code Inline"/>
    <w:rsid w:val="008734F4"/>
    <w:rPr>
      <w:rFonts w:ascii="Consolas" w:hAnsi="Consolas"/>
      <w:color w:val="1F4D78"/>
      <w:sz w:val="19"/>
    </w:rPr>
  </w:style>
  <w:style w:type="paragraph" w:customStyle="1" w:styleId="EquationDisplay">
    <w:name w:val="Equation Display"/>
    <w:basedOn w:val="Normal"/>
    <w:rsid w:val="008734F4"/>
    <w:pPr>
      <w:keepLines/>
      <w:spacing w:before="120" w:after="120" w:line="264" w:lineRule="auto"/>
    </w:pPr>
    <w:rPr>
      <w:rFonts w:ascii="Calibri" w:hAnsi="Calibri"/>
      <w:kern w:val="0"/>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1652</Words>
  <Characters>10564</Characters>
  <Application>Microsoft Office Word</Application>
  <DocSecurity>0</DocSecurity>
  <Lines>210</Lines>
  <Paragraphs>140</Paragraphs>
  <ScaleCrop>false</ScaleCrop>
  <Company/>
  <LinksUpToDate>false</LinksUpToDate>
  <CharactersWithSpaces>12096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PU-B01-C03 — Chapter 3: Vector Foundations</dc:title>
  <dc:subject>Audited controlled edition aligned with M1_N03</dc:subject>
  <dc:creator>Mbaye Kebe</dc:creator>
  <cp:keywords/>
  <dc:description>Corrected from verified Book 1 Chapters 1–5 Word-Native Master v1.1 source extract.</dc:description>
  <cp:lastModifiedBy>Mbaye Kebe</cp:lastModifiedBy>
  <cp:revision>2</cp:revision>
  <dcterms:created xsi:type="dcterms:W3CDTF">2026-08-29T18:40:00Z</dcterms:created>
  <dcterms:modified xsi:type="dcterms:W3CDTF">2026-08-29T18:40:00Z</dcterms:modified>
</cp:coreProperties>
</file>