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w:hAnsi="Aptos"/>
          <w:b/>
          <w:i w:val="0"/>
          <w:color w:val="CA9418"/>
          <w:sz w:val="36"/>
        </w:rPr>
        <w:t>SRAI</w:t>
      </w:r>
    </w:p>
    <w:p>
      <w:pPr>
        <w:spacing w:after="120"/>
        <w:jc w:val="center"/>
      </w:pPr>
      <w:r>
        <w:rPr>
          <w:rFonts w:ascii="Aptos Display" w:hAnsi="Aptos Display"/>
          <w:b/>
          <w:i w:val="0"/>
          <w:color w:val="0B2545"/>
          <w:sz w:val="54"/>
        </w:rPr>
        <w:t>SETS, LOGIC, RELATIONS</w:t>
        <w:br/>
        <w:t>AND FUNCTIONS</w:t>
      </w:r>
    </w:p>
    <w:p>
      <w:pPr>
        <w:jc w:val="center"/>
      </w:pPr>
      <w:r>
        <w:rPr>
          <w:rFonts w:ascii="Aptos" w:hAnsi="Aptos"/>
          <w:b/>
          <w:i w:val="0"/>
          <w:color w:val="008B9B"/>
          <w:sz w:val="28"/>
        </w:rPr>
        <w:t>Book 1 · Lesson 2 · PU-B01-C02</w:t>
      </w:r>
    </w:p>
    <w:p>
      <w:pPr>
        <w:spacing w:after="400" w:line="269" w:lineRule="auto"/>
        <w:jc w:val="center"/>
      </w:pPr>
      <w:r>
        <w:rPr>
          <w:rFonts w:ascii="Aptos" w:hAnsi="Aptos"/>
          <w:b w:val="0"/>
          <w:i/>
          <w:sz w:val="22"/>
        </w:rPr>
        <w:t>Audited controlled manuscript aligned with M1_N02_sets_logic_relations_functions.ipynb</w:t>
      </w:r>
    </w:p>
    <w:p>
      <w:pPr>
        <w:spacing w:before="100" w:after="140"/>
        <w:jc w:val="center"/>
      </w:pPr>
      <w:r>
        <w:rPr>
          <w:rFonts w:ascii="Cambria Math" w:hAnsi="Cambria Math"/>
          <w:b w:val="0"/>
          <w:i/>
          <w:color w:val="0B2545"/>
          <w:sz w:val="23"/>
        </w:rPr>
        <w:t>A transparent intelligent system begins with an explicit universe, explicit relations, and testable logical rules.</w:t>
      </w:r>
    </w:p>
    <w:tbl>
      <w:tblPr>
        <w:tblStyle w:val="TableGrid"/>
        <w:tblW w:type="auto" w:w="0"/>
        <w:jc w:val="left"/>
        <w:tblLayout w:type="fixed"/>
        <w:tblLook w:firstColumn="1" w:firstRow="1" w:lastColumn="0" w:lastRow="0" w:noHBand="0" w:noVBand="1" w:val="04A0"/>
      </w:tblPr>
      <w:tblGrid>
        <w:gridCol w:w="4853"/>
        <w:gridCol w:w="4853"/>
      </w:tblGrid>
      <w:tr>
        <w:trPr>
          <w:tblHeader/>
        </w:trPr>
        <w:tc>
          <w:tcPr>
            <w:tcW w:type="dxa" w:w="2250"/>
            <w:shd w:fill="0B2545"/>
            <w:vAlign w:val="center"/>
          </w:tcPr>
          <w:p>
            <w:pPr>
              <w:spacing w:after="0"/>
            </w:pPr>
            <w:r>
              <w:rPr>
                <w:rFonts w:ascii="Aptos" w:hAnsi="Aptos"/>
                <w:b/>
                <w:i w:val="0"/>
                <w:color w:val="FFFFFF"/>
                <w:sz w:val="20"/>
              </w:rPr>
              <w:t>Control field</w:t>
            </w:r>
          </w:p>
        </w:tc>
        <w:tc>
          <w:tcPr>
            <w:tcW w:type="dxa" w:w="7110"/>
            <w:shd w:fill="0B2545"/>
            <w:vAlign w:val="center"/>
          </w:tcPr>
          <w:p>
            <w:pPr>
              <w:spacing w:after="0"/>
            </w:pPr>
            <w:r>
              <w:rPr>
                <w:rFonts w:ascii="Aptos" w:hAnsi="Aptos"/>
                <w:b/>
                <w:i w:val="0"/>
                <w:color w:val="FFFFFF"/>
                <w:sz w:val="20"/>
              </w:rPr>
              <w:t>Value</w:t>
            </w:r>
          </w:p>
        </w:tc>
      </w:tr>
      <w:tr>
        <w:tc>
          <w:tcPr>
            <w:tcW w:type="dxa" w:w="2250"/>
            <w:vAlign w:val="center"/>
          </w:tcPr>
          <w:p>
            <w:pPr>
              <w:spacing w:after="0"/>
            </w:pPr>
            <w:r>
              <w:rPr>
                <w:rFonts w:ascii="Aptos" w:hAnsi="Aptos"/>
                <w:b w:val="0"/>
                <w:i w:val="0"/>
                <w:sz w:val="19"/>
              </w:rPr>
              <w:t>Owner and author</w:t>
            </w:r>
          </w:p>
        </w:tc>
        <w:tc>
          <w:tcPr>
            <w:tcW w:type="dxa" w:w="7110"/>
            <w:vAlign w:val="center"/>
          </w:tcPr>
          <w:p>
            <w:pPr>
              <w:spacing w:after="0"/>
            </w:pPr>
            <w:r>
              <w:rPr>
                <w:rFonts w:ascii="Aptos" w:hAnsi="Aptos"/>
                <w:b w:val="0"/>
                <w:i w:val="0"/>
                <w:sz w:val="19"/>
              </w:rPr>
              <w:t>Mbaye Kebe</w:t>
            </w:r>
          </w:p>
        </w:tc>
      </w:tr>
      <w:tr>
        <w:tc>
          <w:tcPr>
            <w:tcW w:type="dxa" w:w="2250"/>
            <w:vAlign w:val="center"/>
          </w:tcPr>
          <w:p>
            <w:pPr>
              <w:spacing w:after="0"/>
            </w:pPr>
            <w:r>
              <w:rPr>
                <w:rFonts w:ascii="Aptos" w:hAnsi="Aptos"/>
                <w:b w:val="0"/>
                <w:i w:val="0"/>
                <w:sz w:val="19"/>
              </w:rPr>
              <w:t>Canonical sequence</w:t>
            </w:r>
          </w:p>
        </w:tc>
        <w:tc>
          <w:tcPr>
            <w:tcW w:type="dxa" w:w="7110"/>
            <w:vAlign w:val="center"/>
          </w:tcPr>
          <w:p>
            <w:pPr>
              <w:spacing w:after="0"/>
            </w:pPr>
            <w:r>
              <w:rPr>
                <w:rFonts w:ascii="Aptos" w:hAnsi="Aptos"/>
                <w:b w:val="0"/>
                <w:i w:val="0"/>
                <w:sz w:val="19"/>
              </w:rPr>
              <w:t>Book 1, Chapter 2; follows Mathematical Thinking and Reproducible Computation</w:t>
            </w:r>
          </w:p>
        </w:tc>
      </w:tr>
      <w:tr>
        <w:tc>
          <w:tcPr>
            <w:tcW w:type="dxa" w:w="2250"/>
            <w:vAlign w:val="center"/>
          </w:tcPr>
          <w:p>
            <w:pPr>
              <w:spacing w:after="0"/>
            </w:pPr>
            <w:r>
              <w:rPr>
                <w:rFonts w:ascii="Aptos" w:hAnsi="Aptos"/>
                <w:b w:val="0"/>
                <w:i w:val="0"/>
                <w:sz w:val="19"/>
              </w:rPr>
              <w:t>Companion notebook</w:t>
            </w:r>
          </w:p>
        </w:tc>
        <w:tc>
          <w:tcPr>
            <w:tcW w:type="dxa" w:w="7110"/>
            <w:vAlign w:val="center"/>
          </w:tcPr>
          <w:p>
            <w:pPr>
              <w:spacing w:after="0"/>
            </w:pPr>
            <w:r>
              <w:rPr>
                <w:rFonts w:ascii="Aptos" w:hAnsi="Aptos"/>
                <w:b w:val="0"/>
                <w:i w:val="0"/>
                <w:sz w:val="19"/>
              </w:rPr>
              <w:t>M1_N02_sets_logic_relations_functions.ipynb</w:t>
            </w:r>
          </w:p>
        </w:tc>
      </w:tr>
      <w:tr>
        <w:tc>
          <w:tcPr>
            <w:tcW w:type="dxa" w:w="2250"/>
            <w:vAlign w:val="center"/>
          </w:tcPr>
          <w:p>
            <w:pPr>
              <w:spacing w:after="0"/>
            </w:pPr>
            <w:r>
              <w:rPr>
                <w:rFonts w:ascii="Aptos" w:hAnsi="Aptos"/>
                <w:b w:val="0"/>
                <w:i w:val="0"/>
                <w:sz w:val="19"/>
              </w:rPr>
              <w:t>Status</w:t>
            </w:r>
          </w:p>
        </w:tc>
        <w:tc>
          <w:tcPr>
            <w:tcW w:type="dxa" w:w="7110"/>
            <w:vAlign w:val="center"/>
          </w:tcPr>
          <w:p>
            <w:pPr>
              <w:spacing w:after="0"/>
            </w:pPr>
            <w:r>
              <w:rPr>
                <w:rFonts w:ascii="Aptos" w:hAnsi="Aptos"/>
                <w:b w:val="0"/>
                <w:i w:val="0"/>
                <w:sz w:val="19"/>
              </w:rPr>
              <w:t>Audited release candidate; Colab validation required before publication</w:t>
            </w:r>
          </w:p>
        </w:tc>
      </w:tr>
    </w:tbl>
    <w:p>
      <w:pPr>
        <w:spacing w:after="40"/>
      </w:pPr>
    </w:p>
    <w:p>
      <w:r>
        <w:br w:type="page"/>
      </w:r>
    </w:p>
    <w:p>
      <w:pPr>
        <w:pStyle w:val="Heading1"/>
        <w:keepNext/>
      </w:pPr>
      <w:r>
        <w:rPr>
          <w:rFonts w:ascii="Aptos" w:hAnsi="Aptos"/>
          <w:b/>
          <w:i w:val="0"/>
          <w:color w:val="0B2545"/>
          <w:sz w:val="32"/>
        </w:rPr>
        <w:t>1. Defining the problem before automating it</w:t>
      </w:r>
    </w:p>
    <w:p>
      <w:pPr>
        <w:spacing w:after="120" w:line="269" w:lineRule="auto"/>
      </w:pPr>
      <w:r>
        <w:rPr>
          <w:rFonts w:ascii="Aptos" w:hAnsi="Aptos"/>
          <w:b w:val="0"/>
          <w:i w:val="0"/>
          <w:sz w:val="22"/>
        </w:rPr>
        <w:t>Before a system can reason correctly, it must know which objects belong to the problem, which statements are true, which entities are connected, and how an input maps to an output. Sets, logic, relations and functions provide this formal language.</w:t>
      </w:r>
    </w:p>
    <w:p>
      <w:pPr>
        <w:pStyle w:val="Heading2"/>
        <w:keepNext/>
      </w:pPr>
      <w:r>
        <w:rPr>
          <w:rFonts w:ascii="Aptos" w:hAnsi="Aptos"/>
          <w:b/>
          <w:i w:val="0"/>
          <w:color w:val="1F4D78"/>
          <w:sz w:val="26"/>
        </w:rPr>
        <w:t>1.1 Learning objectives</w:t>
      </w:r>
    </w:p>
    <w:p>
      <w:pPr>
        <w:spacing w:after="60" w:line="269" w:lineRule="auto"/>
        <w:ind w:left="360" w:hanging="360"/>
      </w:pPr>
      <w:r>
        <w:rPr>
          <w:rFonts w:ascii="Aptos" w:hAnsi="Aptos"/>
          <w:b w:val="0"/>
          <w:i w:val="0"/>
          <w:sz w:val="22"/>
        </w:rPr>
        <w:t>1.  Perform and interpret finite-set operations relative to an explicitly declared universe.</w:t>
      </w:r>
    </w:p>
    <w:p>
      <w:pPr>
        <w:spacing w:after="60" w:line="269" w:lineRule="auto"/>
        <w:ind w:left="360" w:hanging="360"/>
      </w:pPr>
      <w:r>
        <w:rPr>
          <w:rFonts w:ascii="Aptos" w:hAnsi="Aptos"/>
          <w:b w:val="0"/>
          <w:i w:val="0"/>
          <w:sz w:val="22"/>
        </w:rPr>
        <w:t>2.  Construct truth tables and use De Morgan’s laws to verify logical equivalence.</w:t>
      </w:r>
    </w:p>
    <w:p>
      <w:pPr>
        <w:spacing w:after="60" w:line="269" w:lineRule="auto"/>
        <w:ind w:left="360" w:hanging="360"/>
      </w:pPr>
      <w:r>
        <w:rPr>
          <w:rFonts w:ascii="Aptos" w:hAnsi="Aptos"/>
          <w:b w:val="0"/>
          <w:i w:val="0"/>
          <w:sz w:val="22"/>
        </w:rPr>
        <w:t>3.  Distinguish implication from causation.</w:t>
      </w:r>
    </w:p>
    <w:p>
      <w:pPr>
        <w:spacing w:after="60" w:line="269" w:lineRule="auto"/>
        <w:ind w:left="360" w:hanging="360"/>
      </w:pPr>
      <w:r>
        <w:rPr>
          <w:rFonts w:ascii="Aptos" w:hAnsi="Aptos"/>
          <w:b w:val="0"/>
          <w:i w:val="0"/>
          <w:sz w:val="22"/>
        </w:rPr>
        <w:t>4.  Represent relations as ordered pairs, matrices and graphs.</w:t>
      </w:r>
    </w:p>
    <w:p>
      <w:pPr>
        <w:spacing w:after="60" w:line="269" w:lineRule="auto"/>
        <w:ind w:left="360" w:hanging="360"/>
      </w:pPr>
      <w:r>
        <w:rPr>
          <w:rFonts w:ascii="Aptos" w:hAnsi="Aptos"/>
          <w:b w:val="0"/>
          <w:i w:val="0"/>
          <w:sz w:val="22"/>
        </w:rPr>
        <w:t>5.  Distinguish arbitrary relations, partial functions and total functions.</w:t>
      </w:r>
    </w:p>
    <w:p>
      <w:pPr>
        <w:spacing w:after="60" w:line="269" w:lineRule="auto"/>
        <w:ind w:left="360" w:hanging="360"/>
      </w:pPr>
      <w:r>
        <w:rPr>
          <w:rFonts w:ascii="Aptos" w:hAnsi="Aptos"/>
          <w:b w:val="0"/>
          <w:i w:val="0"/>
          <w:sz w:val="22"/>
        </w:rPr>
        <w:t>6.  Translate policy language into versioned, testable predicates.</w:t>
      </w:r>
    </w:p>
    <w:p>
      <w:pPr>
        <w:spacing w:after="60" w:line="269" w:lineRule="auto"/>
        <w:ind w:left="360" w:hanging="360"/>
      </w:pPr>
      <w:r>
        <w:rPr>
          <w:rFonts w:ascii="Aptos" w:hAnsi="Aptos"/>
          <w:b w:val="0"/>
          <w:i w:val="0"/>
          <w:sz w:val="22"/>
        </w:rPr>
        <w:t>7.  Explain how these concepts support databases, knowledge graphs and accountable AI systems.</w:t>
      </w:r>
    </w:p>
    <w:p>
      <w:pPr>
        <w:pStyle w:val="Heading2"/>
        <w:keepNext/>
      </w:pPr>
      <w:r>
        <w:rPr>
          <w:rFonts w:ascii="Aptos" w:hAnsi="Aptos"/>
          <w:b/>
          <w:i w:val="0"/>
          <w:color w:val="1F4D78"/>
          <w:sz w:val="26"/>
        </w:rPr>
        <w:t>1.2 Opening case — an eligibility rule</w:t>
      </w:r>
    </w:p>
    <w:p>
      <w:pPr>
        <w:spacing w:after="120" w:line="269" w:lineRule="auto"/>
      </w:pPr>
      <w:r>
        <w:rPr>
          <w:rFonts w:ascii="Aptos" w:hAnsi="Aptos"/>
          <w:b w:val="0"/>
          <w:i w:val="0"/>
          <w:sz w:val="22"/>
        </w:rPr>
        <w:t>A government introduces an emergency-assistance programme. A household qualifies if it is poor or food-insecure, has not already received equivalent assistance, and is located in an eligible district.</w:t>
      </w:r>
    </w:p>
    <w:p>
      <w:pPr>
        <w:spacing w:after="120" w:line="269" w:lineRule="auto"/>
      </w:pPr>
      <w:r>
        <w:rPr>
          <w:rFonts w:ascii="Aptos" w:hAnsi="Aptos"/>
          <w:b w:val="0"/>
          <w:i w:val="0"/>
          <w:sz w:val="22"/>
        </w:rPr>
        <w:t>A computer cannot implement poor, food-insecure, equivalent assistance or eligible district without operational definitions. Let U be the universe of considered households, P the poverty set, F the food-insecurity set, B the prior-beneficiary set and G the eligible-geography set.</w:t>
      </w:r>
    </w:p>
    <w:p>
      <w:pPr>
        <w:spacing w:before="100" w:after="140"/>
        <w:jc w:val="center"/>
      </w:pPr>
      <w:r>
        <w:rPr>
          <w:rFonts w:ascii="Cambria Math" w:hAnsi="Cambria Math"/>
          <w:b w:val="0"/>
          <w:i/>
          <w:color w:val="0B2545"/>
          <w:sz w:val="23"/>
        </w:rPr>
        <w:t>E = (P ∪ F) ∩ Bᶜ ∩ G,   where Bᶜ = U ∖ B</w:t>
      </w:r>
    </w:p>
    <w:p>
      <w:pPr>
        <w:spacing w:after="120" w:line="269" w:lineRule="auto"/>
      </w:pPr>
      <w:r>
        <w:rPr>
          <w:rFonts w:ascii="Aptos" w:hAnsi="Aptos"/>
          <w:b w:val="0"/>
          <w:i w:val="0"/>
          <w:sz w:val="22"/>
        </w:rPr>
        <w:t>The formula exposes the policy’s structure. It also exposes its dependencies: the universe, the definition and update date of every set, the treatment of missing values, and the precedence of conflicting records.</w:t>
      </w:r>
    </w:p>
    <w:p>
      <w:pPr>
        <w:pStyle w:val="Heading1"/>
        <w:keepNext/>
      </w:pPr>
      <w:r>
        <w:rPr>
          <w:rFonts w:ascii="Aptos" w:hAnsi="Aptos"/>
          <w:b/>
          <w:i w:val="0"/>
          <w:color w:val="0B2545"/>
          <w:sz w:val="32"/>
        </w:rPr>
        <w:t>2. Sets and the universe</w:t>
      </w:r>
    </w:p>
    <w:p>
      <w:pPr>
        <w:spacing w:after="120" w:line="269" w:lineRule="auto"/>
      </w:pPr>
      <w:r>
        <w:rPr>
          <w:rFonts w:ascii="Aptos" w:hAnsi="Aptos"/>
          <w:b w:val="0"/>
          <w:i w:val="0"/>
          <w:sz w:val="22"/>
        </w:rPr>
        <w:t>A set is a collection of distinct objects. Membership is written x ∈ A. The singleton {x} is itself a set; therefore x ∈ A and {x} ⊆ A refer to different objects even though they have the same truth value.</w:t>
      </w:r>
    </w:p>
    <w:p>
      <w:pPr>
        <w:spacing w:before="100" w:after="140"/>
        <w:jc w:val="center"/>
      </w:pPr>
      <w:r>
        <w:rPr>
          <w:rFonts w:ascii="Cambria Math" w:hAnsi="Cambria Math"/>
          <w:b w:val="0"/>
          <w:i/>
          <w:color w:val="0B2545"/>
          <w:sz w:val="23"/>
        </w:rPr>
        <w:t>A ∪ B = {x : x ∈ A or x ∈ B}</w:t>
      </w:r>
    </w:p>
    <w:p>
      <w:pPr>
        <w:spacing w:before="100" w:after="140"/>
        <w:jc w:val="center"/>
      </w:pPr>
      <w:r>
        <w:rPr>
          <w:rFonts w:ascii="Cambria Math" w:hAnsi="Cambria Math"/>
          <w:b w:val="0"/>
          <w:i/>
          <w:color w:val="0B2545"/>
          <w:sz w:val="23"/>
        </w:rPr>
        <w:t>A ∩ B = {x : x ∈ A and x ∈ B}</w:t>
      </w:r>
    </w:p>
    <w:p>
      <w:pPr>
        <w:spacing w:before="100" w:after="140"/>
        <w:jc w:val="center"/>
      </w:pPr>
      <w:r>
        <w:rPr>
          <w:rFonts w:ascii="Cambria Math" w:hAnsi="Cambria Math"/>
          <w:b w:val="0"/>
          <w:i/>
          <w:color w:val="0B2545"/>
          <w:sz w:val="23"/>
        </w:rPr>
        <w:t>A ∖ B = {x : x ∈ A and x ∉ B}</w:t>
      </w:r>
    </w:p>
    <w:p>
      <w:pPr>
        <w:spacing w:before="100" w:after="140"/>
        <w:jc w:val="center"/>
      </w:pPr>
      <w:r>
        <w:rPr>
          <w:rFonts w:ascii="Cambria Math" w:hAnsi="Cambria Math"/>
          <w:b w:val="0"/>
          <w:i/>
          <w:color w:val="0B2545"/>
          <w:sz w:val="23"/>
        </w:rPr>
        <w:t>Aᶜ = U ∖ A</w:t>
      </w:r>
    </w:p>
    <w:p>
      <w:pPr>
        <w:spacing w:before="100" w:after="140"/>
        <w:jc w:val="center"/>
      </w:pPr>
      <w:r>
        <w:rPr>
          <w:rFonts w:ascii="Cambria Math" w:hAnsi="Cambria Math"/>
          <w:b w:val="0"/>
          <w:i/>
          <w:color w:val="0B2545"/>
          <w:sz w:val="23"/>
        </w:rPr>
        <w:t>A × B = {(a,b) : a ∈ A and b ∈ B}</w:t>
      </w:r>
    </w:p>
    <w:p>
      <w:pPr>
        <w:spacing w:after="120" w:line="269" w:lineRule="auto"/>
      </w:pPr>
      <w:r>
        <w:rPr>
          <w:rFonts w:ascii="Aptos" w:hAnsi="Aptos"/>
          <w:b w:val="0"/>
          <w:i w:val="0"/>
          <w:sz w:val="22"/>
        </w:rPr>
        <w:t>A complement is meaningless without its universe. ‘Not vaccinated’ may refer to registered adults, all residents or everyone physically present. Different universes produce different complements and potentially different decisions.</w:t>
      </w:r>
    </w:p>
    <w:p>
      <w:pPr>
        <w:pStyle w:val="Heading1"/>
        <w:keepNext/>
      </w:pPr>
      <w:r>
        <w:rPr>
          <w:rFonts w:ascii="Aptos" w:hAnsi="Aptos"/>
          <w:b/>
          <w:i w:val="0"/>
          <w:color w:val="0B2545"/>
          <w:sz w:val="32"/>
        </w:rPr>
        <w:t>3. Logic and truth conditions</w:t>
      </w:r>
    </w:p>
    <w:p>
      <w:pPr>
        <w:spacing w:after="120" w:line="269" w:lineRule="auto"/>
      </w:pPr>
      <w:r>
        <w:rPr>
          <w:rFonts w:ascii="Aptos" w:hAnsi="Aptos"/>
          <w:b w:val="0"/>
          <w:i w:val="0"/>
          <w:sz w:val="22"/>
        </w:rPr>
        <w:t>For propositions P and Q, ¬P means NOT P, P ∧ Q means P AND Q, and P ∨ Q means P OR Q. Material implication is defined by P → Q ≡ ¬P ∨ Q. It is false only when P is true and Q is false.</w:t>
      </w:r>
    </w:p>
    <w:tbl>
      <w:tblPr>
        <w:tblStyle w:val="TableGrid"/>
        <w:tblW w:type="auto" w:w="0"/>
        <w:jc w:val="left"/>
        <w:tblLayout w:type="fixed"/>
        <w:tblLook w:firstColumn="1" w:firstRow="1" w:lastColumn="0" w:lastRow="0" w:noHBand="0" w:noVBand="1" w:val="04A0"/>
      </w:tblPr>
      <w:tblGrid>
        <w:gridCol w:w="1941"/>
        <w:gridCol w:w="1941"/>
        <w:gridCol w:w="1941"/>
        <w:gridCol w:w="1941"/>
        <w:gridCol w:w="1941"/>
      </w:tblGrid>
      <w:tr>
        <w:trPr>
          <w:tblHeader/>
        </w:trPr>
        <w:tc>
          <w:tcPr>
            <w:tcW w:type="dxa" w:w="1000"/>
            <w:shd w:fill="0B2545"/>
            <w:vAlign w:val="center"/>
          </w:tcPr>
          <w:p>
            <w:pPr>
              <w:spacing w:after="0"/>
            </w:pPr>
            <w:r>
              <w:rPr>
                <w:rFonts w:ascii="Aptos" w:hAnsi="Aptos"/>
                <w:b/>
                <w:i w:val="0"/>
                <w:color w:val="FFFFFF"/>
                <w:sz w:val="20"/>
              </w:rPr>
              <w:t>P</w:t>
            </w:r>
          </w:p>
        </w:tc>
        <w:tc>
          <w:tcPr>
            <w:tcW w:type="dxa" w:w="1000"/>
            <w:shd w:fill="0B2545"/>
            <w:vAlign w:val="center"/>
          </w:tcPr>
          <w:p>
            <w:pPr>
              <w:spacing w:after="0"/>
            </w:pPr>
            <w:r>
              <w:rPr>
                <w:rFonts w:ascii="Aptos" w:hAnsi="Aptos"/>
                <w:b/>
                <w:i w:val="0"/>
                <w:color w:val="FFFFFF"/>
                <w:sz w:val="20"/>
              </w:rPr>
              <w:t>Q</w:t>
            </w:r>
          </w:p>
        </w:tc>
        <w:tc>
          <w:tcPr>
            <w:tcW w:type="dxa" w:w="1800"/>
            <w:shd w:fill="0B2545"/>
            <w:vAlign w:val="center"/>
          </w:tcPr>
          <w:p>
            <w:pPr>
              <w:spacing w:after="0"/>
            </w:pPr>
            <w:r>
              <w:rPr>
                <w:rFonts w:ascii="Aptos" w:hAnsi="Aptos"/>
                <w:b/>
                <w:i w:val="0"/>
                <w:color w:val="FFFFFF"/>
                <w:sz w:val="20"/>
              </w:rPr>
              <w:t>P ∧ Q</w:t>
            </w:r>
          </w:p>
        </w:tc>
        <w:tc>
          <w:tcPr>
            <w:tcW w:type="dxa" w:w="1800"/>
            <w:shd w:fill="0B2545"/>
            <w:vAlign w:val="center"/>
          </w:tcPr>
          <w:p>
            <w:pPr>
              <w:spacing w:after="0"/>
            </w:pPr>
            <w:r>
              <w:rPr>
                <w:rFonts w:ascii="Aptos" w:hAnsi="Aptos"/>
                <w:b/>
                <w:i w:val="0"/>
                <w:color w:val="FFFFFF"/>
                <w:sz w:val="20"/>
              </w:rPr>
              <w:t>P ∨ Q</w:t>
            </w:r>
          </w:p>
        </w:tc>
        <w:tc>
          <w:tcPr>
            <w:tcW w:type="dxa" w:w="3760"/>
            <w:shd w:fill="0B2545"/>
            <w:vAlign w:val="center"/>
          </w:tcPr>
          <w:p>
            <w:pPr>
              <w:spacing w:after="0"/>
            </w:pPr>
            <w:r>
              <w:rPr>
                <w:rFonts w:ascii="Aptos" w:hAnsi="Aptos"/>
                <w:b/>
                <w:i w:val="0"/>
                <w:color w:val="FFFFFF"/>
                <w:sz w:val="20"/>
              </w:rPr>
              <w:t>P → Q</w:t>
            </w:r>
          </w:p>
        </w:tc>
      </w:tr>
      <w:tr>
        <w:tc>
          <w:tcPr>
            <w:tcW w:type="dxa" w:w="1000"/>
            <w:vAlign w:val="center"/>
          </w:tcPr>
          <w:p>
            <w:pPr>
              <w:spacing w:after="0"/>
            </w:pPr>
            <w:r>
              <w:rPr>
                <w:rFonts w:ascii="Aptos" w:hAnsi="Aptos"/>
                <w:b w:val="0"/>
                <w:i w:val="0"/>
                <w:sz w:val="19"/>
              </w:rPr>
              <w:t>T</w:t>
            </w:r>
          </w:p>
        </w:tc>
        <w:tc>
          <w:tcPr>
            <w:tcW w:type="dxa" w:w="1000"/>
            <w:vAlign w:val="center"/>
          </w:tcPr>
          <w:p>
            <w:pPr>
              <w:spacing w:after="0"/>
            </w:pPr>
            <w:r>
              <w:rPr>
                <w:rFonts w:ascii="Aptos" w:hAnsi="Aptos"/>
                <w:b w:val="0"/>
                <w:i w:val="0"/>
                <w:sz w:val="19"/>
              </w:rPr>
              <w:t>T</w:t>
            </w:r>
          </w:p>
        </w:tc>
        <w:tc>
          <w:tcPr>
            <w:tcW w:type="dxa" w:w="1800"/>
            <w:vAlign w:val="center"/>
          </w:tcPr>
          <w:p>
            <w:pPr>
              <w:spacing w:after="0"/>
            </w:pPr>
            <w:r>
              <w:rPr>
                <w:rFonts w:ascii="Aptos" w:hAnsi="Aptos"/>
                <w:b w:val="0"/>
                <w:i w:val="0"/>
                <w:sz w:val="19"/>
              </w:rPr>
              <w:t>T</w:t>
            </w:r>
          </w:p>
        </w:tc>
        <w:tc>
          <w:tcPr>
            <w:tcW w:type="dxa" w:w="1800"/>
            <w:vAlign w:val="center"/>
          </w:tcPr>
          <w:p>
            <w:pPr>
              <w:spacing w:after="0"/>
            </w:pPr>
            <w:r>
              <w:rPr>
                <w:rFonts w:ascii="Aptos" w:hAnsi="Aptos"/>
                <w:b w:val="0"/>
                <w:i w:val="0"/>
                <w:sz w:val="19"/>
              </w:rPr>
              <w:t>T</w:t>
            </w:r>
          </w:p>
        </w:tc>
        <w:tc>
          <w:tcPr>
            <w:tcW w:type="dxa" w:w="3760"/>
            <w:vAlign w:val="center"/>
          </w:tcPr>
          <w:p>
            <w:pPr>
              <w:spacing w:after="0"/>
            </w:pPr>
            <w:r>
              <w:rPr>
                <w:rFonts w:ascii="Aptos" w:hAnsi="Aptos"/>
                <w:b w:val="0"/>
                <w:i w:val="0"/>
                <w:sz w:val="19"/>
              </w:rPr>
              <w:t>T</w:t>
            </w:r>
          </w:p>
        </w:tc>
      </w:tr>
      <w:tr>
        <w:tc>
          <w:tcPr>
            <w:tcW w:type="dxa" w:w="1000"/>
            <w:vAlign w:val="center"/>
          </w:tcPr>
          <w:p>
            <w:pPr>
              <w:spacing w:after="0"/>
            </w:pPr>
            <w:r>
              <w:rPr>
                <w:rFonts w:ascii="Aptos" w:hAnsi="Aptos"/>
                <w:b w:val="0"/>
                <w:i w:val="0"/>
                <w:sz w:val="19"/>
              </w:rPr>
              <w:t>T</w:t>
            </w:r>
          </w:p>
        </w:tc>
        <w:tc>
          <w:tcPr>
            <w:tcW w:type="dxa" w:w="1000"/>
            <w:vAlign w:val="center"/>
          </w:tcPr>
          <w:p>
            <w:pPr>
              <w:spacing w:after="0"/>
            </w:pPr>
            <w:r>
              <w:rPr>
                <w:rFonts w:ascii="Aptos" w:hAnsi="Aptos"/>
                <w:b w:val="0"/>
                <w:i w:val="0"/>
                <w:sz w:val="19"/>
              </w:rPr>
              <w:t>F</w:t>
            </w:r>
          </w:p>
        </w:tc>
        <w:tc>
          <w:tcPr>
            <w:tcW w:type="dxa" w:w="1800"/>
            <w:vAlign w:val="center"/>
          </w:tcPr>
          <w:p>
            <w:pPr>
              <w:spacing w:after="0"/>
            </w:pPr>
            <w:r>
              <w:rPr>
                <w:rFonts w:ascii="Aptos" w:hAnsi="Aptos"/>
                <w:b w:val="0"/>
                <w:i w:val="0"/>
                <w:sz w:val="19"/>
              </w:rPr>
              <w:t>F</w:t>
            </w:r>
          </w:p>
        </w:tc>
        <w:tc>
          <w:tcPr>
            <w:tcW w:type="dxa" w:w="1800"/>
            <w:vAlign w:val="center"/>
          </w:tcPr>
          <w:p>
            <w:pPr>
              <w:spacing w:after="0"/>
            </w:pPr>
            <w:r>
              <w:rPr>
                <w:rFonts w:ascii="Aptos" w:hAnsi="Aptos"/>
                <w:b w:val="0"/>
                <w:i w:val="0"/>
                <w:sz w:val="19"/>
              </w:rPr>
              <w:t>T</w:t>
            </w:r>
          </w:p>
        </w:tc>
        <w:tc>
          <w:tcPr>
            <w:tcW w:type="dxa" w:w="3760"/>
            <w:vAlign w:val="center"/>
          </w:tcPr>
          <w:p>
            <w:pPr>
              <w:spacing w:after="0"/>
            </w:pPr>
            <w:r>
              <w:rPr>
                <w:rFonts w:ascii="Aptos" w:hAnsi="Aptos"/>
                <w:b w:val="0"/>
                <w:i w:val="0"/>
                <w:sz w:val="19"/>
              </w:rPr>
              <w:t>F</w:t>
            </w:r>
          </w:p>
        </w:tc>
      </w:tr>
      <w:tr>
        <w:tc>
          <w:tcPr>
            <w:tcW w:type="dxa" w:w="1000"/>
            <w:vAlign w:val="center"/>
          </w:tcPr>
          <w:p>
            <w:pPr>
              <w:spacing w:after="0"/>
            </w:pPr>
            <w:r>
              <w:rPr>
                <w:rFonts w:ascii="Aptos" w:hAnsi="Aptos"/>
                <w:b w:val="0"/>
                <w:i w:val="0"/>
                <w:sz w:val="19"/>
              </w:rPr>
              <w:t>F</w:t>
            </w:r>
          </w:p>
        </w:tc>
        <w:tc>
          <w:tcPr>
            <w:tcW w:type="dxa" w:w="1000"/>
            <w:vAlign w:val="center"/>
          </w:tcPr>
          <w:p>
            <w:pPr>
              <w:spacing w:after="0"/>
            </w:pPr>
            <w:r>
              <w:rPr>
                <w:rFonts w:ascii="Aptos" w:hAnsi="Aptos"/>
                <w:b w:val="0"/>
                <w:i w:val="0"/>
                <w:sz w:val="19"/>
              </w:rPr>
              <w:t>T</w:t>
            </w:r>
          </w:p>
        </w:tc>
        <w:tc>
          <w:tcPr>
            <w:tcW w:type="dxa" w:w="1800"/>
            <w:vAlign w:val="center"/>
          </w:tcPr>
          <w:p>
            <w:pPr>
              <w:spacing w:after="0"/>
            </w:pPr>
            <w:r>
              <w:rPr>
                <w:rFonts w:ascii="Aptos" w:hAnsi="Aptos"/>
                <w:b w:val="0"/>
                <w:i w:val="0"/>
                <w:sz w:val="19"/>
              </w:rPr>
              <w:t>F</w:t>
            </w:r>
          </w:p>
        </w:tc>
        <w:tc>
          <w:tcPr>
            <w:tcW w:type="dxa" w:w="1800"/>
            <w:vAlign w:val="center"/>
          </w:tcPr>
          <w:p>
            <w:pPr>
              <w:spacing w:after="0"/>
            </w:pPr>
            <w:r>
              <w:rPr>
                <w:rFonts w:ascii="Aptos" w:hAnsi="Aptos"/>
                <w:b w:val="0"/>
                <w:i w:val="0"/>
                <w:sz w:val="19"/>
              </w:rPr>
              <w:t>T</w:t>
            </w:r>
          </w:p>
        </w:tc>
        <w:tc>
          <w:tcPr>
            <w:tcW w:type="dxa" w:w="3760"/>
            <w:vAlign w:val="center"/>
          </w:tcPr>
          <w:p>
            <w:pPr>
              <w:spacing w:after="0"/>
            </w:pPr>
            <w:r>
              <w:rPr>
                <w:rFonts w:ascii="Aptos" w:hAnsi="Aptos"/>
                <w:b w:val="0"/>
                <w:i w:val="0"/>
                <w:sz w:val="19"/>
              </w:rPr>
              <w:t>T</w:t>
            </w:r>
          </w:p>
        </w:tc>
      </w:tr>
      <w:tr>
        <w:tc>
          <w:tcPr>
            <w:tcW w:type="dxa" w:w="1000"/>
            <w:vAlign w:val="center"/>
          </w:tcPr>
          <w:p>
            <w:pPr>
              <w:spacing w:after="0"/>
            </w:pPr>
            <w:r>
              <w:rPr>
                <w:rFonts w:ascii="Aptos" w:hAnsi="Aptos"/>
                <w:b w:val="0"/>
                <w:i w:val="0"/>
                <w:sz w:val="19"/>
              </w:rPr>
              <w:t>F</w:t>
            </w:r>
          </w:p>
        </w:tc>
        <w:tc>
          <w:tcPr>
            <w:tcW w:type="dxa" w:w="1000"/>
            <w:vAlign w:val="center"/>
          </w:tcPr>
          <w:p>
            <w:pPr>
              <w:spacing w:after="0"/>
            </w:pPr>
            <w:r>
              <w:rPr>
                <w:rFonts w:ascii="Aptos" w:hAnsi="Aptos"/>
                <w:b w:val="0"/>
                <w:i w:val="0"/>
                <w:sz w:val="19"/>
              </w:rPr>
              <w:t>F</w:t>
            </w:r>
          </w:p>
        </w:tc>
        <w:tc>
          <w:tcPr>
            <w:tcW w:type="dxa" w:w="1800"/>
            <w:vAlign w:val="center"/>
          </w:tcPr>
          <w:p>
            <w:pPr>
              <w:spacing w:after="0"/>
            </w:pPr>
            <w:r>
              <w:rPr>
                <w:rFonts w:ascii="Aptos" w:hAnsi="Aptos"/>
                <w:b w:val="0"/>
                <w:i w:val="0"/>
                <w:sz w:val="19"/>
              </w:rPr>
              <w:t>F</w:t>
            </w:r>
          </w:p>
        </w:tc>
        <w:tc>
          <w:tcPr>
            <w:tcW w:type="dxa" w:w="1800"/>
            <w:vAlign w:val="center"/>
          </w:tcPr>
          <w:p>
            <w:pPr>
              <w:spacing w:after="0"/>
            </w:pPr>
            <w:r>
              <w:rPr>
                <w:rFonts w:ascii="Aptos" w:hAnsi="Aptos"/>
                <w:b w:val="0"/>
                <w:i w:val="0"/>
                <w:sz w:val="19"/>
              </w:rPr>
              <w:t>F</w:t>
            </w:r>
          </w:p>
        </w:tc>
        <w:tc>
          <w:tcPr>
            <w:tcW w:type="dxa" w:w="3760"/>
            <w:vAlign w:val="center"/>
          </w:tcPr>
          <w:p>
            <w:pPr>
              <w:spacing w:after="0"/>
            </w:pPr>
            <w:r>
              <w:rPr>
                <w:rFonts w:ascii="Aptos" w:hAnsi="Aptos"/>
                <w:b w:val="0"/>
                <w:i w:val="0"/>
                <w:sz w:val="19"/>
              </w:rPr>
              <w:t>T</w:t>
            </w:r>
          </w:p>
        </w:tc>
      </w:tr>
    </w:tbl>
    <w:p>
      <w:pPr>
        <w:spacing w:after="40"/>
      </w:pPr>
    </w:p>
    <w:p>
      <w:pPr>
        <w:spacing w:before="100" w:after="140"/>
        <w:jc w:val="center"/>
      </w:pPr>
      <w:r>
        <w:rPr>
          <w:rFonts w:ascii="Cambria Math" w:hAnsi="Cambria Math"/>
          <w:b w:val="0"/>
          <w:i/>
          <w:color w:val="0B2545"/>
          <w:sz w:val="23"/>
        </w:rPr>
        <w:t>¬(P ∧ Q) ≡ (¬P) ∨ (¬Q)</w:t>
      </w:r>
    </w:p>
    <w:p>
      <w:pPr>
        <w:spacing w:before="100" w:after="140"/>
        <w:jc w:val="center"/>
      </w:pPr>
      <w:r>
        <w:rPr>
          <w:rFonts w:ascii="Cambria Math" w:hAnsi="Cambria Math"/>
          <w:b w:val="0"/>
          <w:i/>
          <w:color w:val="0B2545"/>
          <w:sz w:val="23"/>
        </w:rPr>
        <w:t>¬(P ∨ Q) ≡ (¬P) ∧ (¬Q)</w:t>
      </w:r>
    </w:p>
    <w:p>
      <w:pPr>
        <w:spacing w:after="120" w:line="269" w:lineRule="auto"/>
      </w:pPr>
      <w:r>
        <w:rPr>
          <w:rFonts w:ascii="Aptos" w:hAnsi="Aptos"/>
          <w:b w:val="0"/>
          <w:i w:val="0"/>
          <w:sz w:val="22"/>
        </w:rPr>
        <w:t>Logical implication does not establish causation. It supplies neither temporal order nor a mechanism, intervention, counterfactual comparison or control of confounding.</w:t>
      </w:r>
    </w:p>
    <w:p>
      <w:pPr>
        <w:pStyle w:val="Heading1"/>
        <w:keepNext/>
      </w:pPr>
      <w:r>
        <w:rPr>
          <w:rFonts w:ascii="Aptos" w:hAnsi="Aptos"/>
          <w:b/>
          <w:i w:val="0"/>
          <w:color w:val="0B2545"/>
          <w:sz w:val="32"/>
        </w:rPr>
        <w:t>4. Relations and functions</w:t>
      </w:r>
    </w:p>
    <w:p>
      <w:pPr>
        <w:spacing w:after="120" w:line="269" w:lineRule="auto"/>
      </w:pPr>
      <w:r>
        <w:rPr>
          <w:rFonts w:ascii="Aptos" w:hAnsi="Aptos"/>
          <w:b w:val="0"/>
          <w:i w:val="0"/>
          <w:sz w:val="22"/>
        </w:rPr>
        <w:t>A binary relation from A to B is any subset R ⊆ A × B. A patient may be related to a clinic, a farm to a district, an enterprise to a sector, or a document to a topic.</w:t>
      </w:r>
    </w:p>
    <w:tbl>
      <w:tblPr>
        <w:tblStyle w:val="TableGrid"/>
        <w:tblW w:type="auto" w:w="0"/>
        <w:jc w:val="left"/>
        <w:tblLayout w:type="fixed"/>
        <w:tblLook w:firstColumn="1" w:firstRow="1" w:lastColumn="0" w:lastRow="0" w:noHBand="0" w:noVBand="1" w:val="04A0"/>
      </w:tblPr>
      <w:tblGrid>
        <w:gridCol w:w="3235"/>
        <w:gridCol w:w="3235"/>
        <w:gridCol w:w="3235"/>
      </w:tblGrid>
      <w:tr>
        <w:trPr>
          <w:tblHeader/>
        </w:trPr>
        <w:tc>
          <w:tcPr>
            <w:tcW w:type="dxa" w:w="1800"/>
            <w:shd w:fill="0B2545"/>
            <w:vAlign w:val="center"/>
          </w:tcPr>
          <w:p>
            <w:pPr>
              <w:spacing w:after="0"/>
            </w:pPr>
            <w:r>
              <w:rPr>
                <w:rFonts w:ascii="Aptos" w:hAnsi="Aptos"/>
                <w:b/>
                <w:i w:val="0"/>
                <w:color w:val="FFFFFF"/>
                <w:sz w:val="20"/>
              </w:rPr>
              <w:t>Object</w:t>
            </w:r>
          </w:p>
        </w:tc>
        <w:tc>
          <w:tcPr>
            <w:tcW w:type="dxa" w:w="3100"/>
            <w:shd w:fill="0B2545"/>
            <w:vAlign w:val="center"/>
          </w:tcPr>
          <w:p>
            <w:pPr>
              <w:spacing w:after="0"/>
            </w:pPr>
            <w:r>
              <w:rPr>
                <w:rFonts w:ascii="Aptos" w:hAnsi="Aptos"/>
                <w:b/>
                <w:i w:val="0"/>
                <w:color w:val="FFFFFF"/>
                <w:sz w:val="20"/>
              </w:rPr>
              <w:t>Formal condition</w:t>
            </w:r>
          </w:p>
        </w:tc>
        <w:tc>
          <w:tcPr>
            <w:tcW w:type="dxa" w:w="4460"/>
            <w:shd w:fill="0B2545"/>
            <w:vAlign w:val="center"/>
          </w:tcPr>
          <w:p>
            <w:pPr>
              <w:spacing w:after="0"/>
            </w:pPr>
            <w:r>
              <w:rPr>
                <w:rFonts w:ascii="Aptos" w:hAnsi="Aptos"/>
                <w:b/>
                <w:i w:val="0"/>
                <w:color w:val="FFFFFF"/>
                <w:sz w:val="20"/>
              </w:rPr>
              <w:t>Interpretation</w:t>
            </w:r>
          </w:p>
        </w:tc>
      </w:tr>
      <w:tr>
        <w:tc>
          <w:tcPr>
            <w:tcW w:type="dxa" w:w="1800"/>
            <w:vAlign w:val="center"/>
          </w:tcPr>
          <w:p>
            <w:pPr>
              <w:spacing w:after="0"/>
            </w:pPr>
            <w:r>
              <w:rPr>
                <w:rFonts w:ascii="Aptos" w:hAnsi="Aptos"/>
                <w:b w:val="0"/>
                <w:i w:val="0"/>
                <w:sz w:val="19"/>
              </w:rPr>
              <w:t>Relation</w:t>
            </w:r>
          </w:p>
        </w:tc>
        <w:tc>
          <w:tcPr>
            <w:tcW w:type="dxa" w:w="3100"/>
            <w:vAlign w:val="center"/>
          </w:tcPr>
          <w:p>
            <w:pPr>
              <w:spacing w:after="0"/>
            </w:pPr>
            <w:r>
              <w:rPr>
                <w:rFonts w:ascii="Aptos" w:hAnsi="Aptos"/>
                <w:b w:val="0"/>
                <w:i w:val="0"/>
                <w:sz w:val="19"/>
              </w:rPr>
              <w:t>R ⊆ A × B</w:t>
            </w:r>
          </w:p>
        </w:tc>
        <w:tc>
          <w:tcPr>
            <w:tcW w:type="dxa" w:w="4460"/>
            <w:vAlign w:val="center"/>
          </w:tcPr>
          <w:p>
            <w:pPr>
              <w:spacing w:after="0"/>
            </w:pPr>
            <w:r>
              <w:rPr>
                <w:rFonts w:ascii="Aptos" w:hAnsi="Aptos"/>
                <w:b w:val="0"/>
                <w:i w:val="0"/>
                <w:sz w:val="19"/>
              </w:rPr>
              <w:t>Any declared set of input–output pairs</w:t>
            </w:r>
          </w:p>
        </w:tc>
      </w:tr>
      <w:tr>
        <w:tc>
          <w:tcPr>
            <w:tcW w:type="dxa" w:w="1800"/>
            <w:vAlign w:val="center"/>
          </w:tcPr>
          <w:p>
            <w:pPr>
              <w:spacing w:after="0"/>
            </w:pPr>
            <w:r>
              <w:rPr>
                <w:rFonts w:ascii="Aptos" w:hAnsi="Aptos"/>
                <w:b w:val="0"/>
                <w:i w:val="0"/>
                <w:sz w:val="19"/>
              </w:rPr>
              <w:t>Partial function</w:t>
            </w:r>
          </w:p>
        </w:tc>
        <w:tc>
          <w:tcPr>
            <w:tcW w:type="dxa" w:w="3100"/>
            <w:vAlign w:val="center"/>
          </w:tcPr>
          <w:p>
            <w:pPr>
              <w:spacing w:after="0"/>
            </w:pPr>
            <w:r>
              <w:rPr>
                <w:rFonts w:ascii="Aptos" w:hAnsi="Aptos"/>
                <w:b w:val="0"/>
                <w:i w:val="0"/>
                <w:sz w:val="19"/>
              </w:rPr>
              <w:t>At most one output for each represented input</w:t>
            </w:r>
          </w:p>
        </w:tc>
        <w:tc>
          <w:tcPr>
            <w:tcW w:type="dxa" w:w="4460"/>
            <w:vAlign w:val="center"/>
          </w:tcPr>
          <w:p>
            <w:pPr>
              <w:spacing w:after="0"/>
            </w:pPr>
            <w:r>
              <w:rPr>
                <w:rFonts w:ascii="Aptos" w:hAnsi="Aptos"/>
                <w:b w:val="0"/>
                <w:i w:val="0"/>
                <w:sz w:val="19"/>
              </w:rPr>
              <w:t>Some elements of A may be unmapped</w:t>
            </w:r>
          </w:p>
        </w:tc>
      </w:tr>
      <w:tr>
        <w:tc>
          <w:tcPr>
            <w:tcW w:type="dxa" w:w="1800"/>
            <w:vAlign w:val="center"/>
          </w:tcPr>
          <w:p>
            <w:pPr>
              <w:spacing w:after="0"/>
            </w:pPr>
            <w:r>
              <w:rPr>
                <w:rFonts w:ascii="Aptos" w:hAnsi="Aptos"/>
                <w:b w:val="0"/>
                <w:i w:val="0"/>
                <w:sz w:val="19"/>
              </w:rPr>
              <w:t>Total function f:A→B</w:t>
            </w:r>
          </w:p>
        </w:tc>
        <w:tc>
          <w:tcPr>
            <w:tcW w:type="dxa" w:w="3100"/>
            <w:vAlign w:val="center"/>
          </w:tcPr>
          <w:p>
            <w:pPr>
              <w:spacing w:after="0"/>
            </w:pPr>
            <w:r>
              <w:rPr>
                <w:rFonts w:ascii="Aptos" w:hAnsi="Aptos"/>
                <w:b w:val="0"/>
                <w:i w:val="0"/>
                <w:sz w:val="19"/>
              </w:rPr>
              <w:t>Exactly one output in B for every a ∈ A</w:t>
            </w:r>
          </w:p>
        </w:tc>
        <w:tc>
          <w:tcPr>
            <w:tcW w:type="dxa" w:w="4460"/>
            <w:vAlign w:val="center"/>
          </w:tcPr>
          <w:p>
            <w:pPr>
              <w:spacing w:after="0"/>
            </w:pPr>
            <w:r>
              <w:rPr>
                <w:rFonts w:ascii="Aptos" w:hAnsi="Aptos"/>
                <w:b w:val="0"/>
                <w:i w:val="0"/>
                <w:sz w:val="19"/>
              </w:rPr>
              <w:t>Every declared input is mapped</w:t>
            </w:r>
          </w:p>
        </w:tc>
      </w:tr>
      <w:tr>
        <w:tc>
          <w:tcPr>
            <w:tcW w:type="dxa" w:w="1800"/>
            <w:vAlign w:val="center"/>
          </w:tcPr>
          <w:p>
            <w:pPr>
              <w:spacing w:after="0"/>
            </w:pPr>
            <w:r>
              <w:rPr>
                <w:rFonts w:ascii="Aptos" w:hAnsi="Aptos"/>
                <w:b w:val="0"/>
                <w:i w:val="0"/>
                <w:sz w:val="19"/>
              </w:rPr>
              <w:t>Injective function</w:t>
            </w:r>
          </w:p>
        </w:tc>
        <w:tc>
          <w:tcPr>
            <w:tcW w:type="dxa" w:w="3100"/>
            <w:vAlign w:val="center"/>
          </w:tcPr>
          <w:p>
            <w:pPr>
              <w:spacing w:after="0"/>
            </w:pPr>
            <w:r>
              <w:rPr>
                <w:rFonts w:ascii="Aptos" w:hAnsi="Aptos"/>
                <w:b w:val="0"/>
                <w:i w:val="0"/>
                <w:sz w:val="19"/>
              </w:rPr>
              <w:t>Distinct inputs have distinct outputs</w:t>
            </w:r>
          </w:p>
        </w:tc>
        <w:tc>
          <w:tcPr>
            <w:tcW w:type="dxa" w:w="4460"/>
            <w:vAlign w:val="center"/>
          </w:tcPr>
          <w:p>
            <w:pPr>
              <w:spacing w:after="0"/>
            </w:pPr>
            <w:r>
              <w:rPr>
                <w:rFonts w:ascii="Aptos" w:hAnsi="Aptos"/>
                <w:b w:val="0"/>
                <w:i w:val="0"/>
                <w:sz w:val="19"/>
              </w:rPr>
              <w:t>No output is shared</w:t>
            </w:r>
          </w:p>
        </w:tc>
      </w:tr>
      <w:tr>
        <w:tc>
          <w:tcPr>
            <w:tcW w:type="dxa" w:w="1800"/>
            <w:vAlign w:val="center"/>
          </w:tcPr>
          <w:p>
            <w:pPr>
              <w:spacing w:after="0"/>
            </w:pPr>
            <w:r>
              <w:rPr>
                <w:rFonts w:ascii="Aptos" w:hAnsi="Aptos"/>
                <w:b w:val="0"/>
                <w:i w:val="0"/>
                <w:sz w:val="19"/>
              </w:rPr>
              <w:t>Surjective function</w:t>
            </w:r>
          </w:p>
        </w:tc>
        <w:tc>
          <w:tcPr>
            <w:tcW w:type="dxa" w:w="3100"/>
            <w:vAlign w:val="center"/>
          </w:tcPr>
          <w:p>
            <w:pPr>
              <w:spacing w:after="0"/>
            </w:pPr>
            <w:r>
              <w:rPr>
                <w:rFonts w:ascii="Aptos" w:hAnsi="Aptos"/>
                <w:b w:val="0"/>
                <w:i w:val="0"/>
                <w:sz w:val="19"/>
              </w:rPr>
              <w:t>Every b ∈ B is attained</w:t>
            </w:r>
          </w:p>
        </w:tc>
        <w:tc>
          <w:tcPr>
            <w:tcW w:type="dxa" w:w="4460"/>
            <w:vAlign w:val="center"/>
          </w:tcPr>
          <w:p>
            <w:pPr>
              <w:spacing w:after="0"/>
            </w:pPr>
            <w:r>
              <w:rPr>
                <w:rFonts w:ascii="Aptos" w:hAnsi="Aptos"/>
                <w:b w:val="0"/>
                <w:i w:val="0"/>
                <w:sz w:val="19"/>
              </w:rPr>
              <w:t>Range equals codomain</w:t>
            </w:r>
          </w:p>
        </w:tc>
      </w:tr>
    </w:tbl>
    <w:p>
      <w:pPr>
        <w:spacing w:after="40"/>
      </w:pPr>
    </w:p>
    <w:p>
      <w:pPr>
        <w:spacing w:after="120" w:line="269" w:lineRule="auto"/>
      </w:pPr>
      <w:r>
        <w:rPr>
          <w:rFonts w:ascii="Aptos" w:hAnsi="Aptos"/>
          <w:b w:val="0"/>
          <w:i w:val="0"/>
          <w:sz w:val="22"/>
        </w:rPr>
        <w:t>The relation {(a,1),(b,2)} is a total function only when the declared domain is {a,b}. The relation {(a,1),(a,2)} is not a function because a has two outputs. Declaring the domain and codomain is therefore part of the mathematical object, not optional metadata.</w:t>
      </w:r>
    </w:p>
    <w:p>
      <w:pPr>
        <w:pStyle w:val="Heading2"/>
        <w:keepNext/>
      </w:pPr>
      <w:r>
        <w:rPr>
          <w:rFonts w:ascii="Aptos" w:hAnsi="Aptos"/>
          <w:b/>
          <w:i w:val="0"/>
          <w:color w:val="1F4D78"/>
          <w:sz w:val="26"/>
        </w:rPr>
        <w:t>4.1 Matrix and graph representations</w:t>
      </w:r>
    </w:p>
    <w:p>
      <w:pPr>
        <w:spacing w:after="120" w:line="269" w:lineRule="auto"/>
      </w:pPr>
      <w:r>
        <w:rPr>
          <w:rFonts w:ascii="Aptos" w:hAnsi="Aptos"/>
          <w:b w:val="0"/>
          <w:i w:val="0"/>
          <w:sz w:val="22"/>
        </w:rPr>
        <w:t>For A={a₁,…,aₘ} and B={b₁,…,bₙ}, a finite relation can be represented by a binary matrix M where Mᵢⱼ=1 when (aᵢ,bⱼ)∈R and 0 otherwise. The same structure may be viewed as a bipartite graph. Dense matrices require O(|A||B|) memory; sparse edge lists or adjacency structures are preferable for large sparse relations.</w:t>
      </w:r>
    </w:p>
    <w:p>
      <w:pPr>
        <w:pStyle w:val="Heading1"/>
        <w:keepNext/>
      </w:pPr>
      <w:r>
        <w:rPr>
          <w:rFonts w:ascii="Aptos" w:hAnsi="Aptos"/>
          <w:b/>
          <w:i w:val="0"/>
          <w:color w:val="0B2545"/>
          <w:sz w:val="32"/>
        </w:rPr>
        <w:t>5. Predicates, databases and knowledge systems</w:t>
      </w:r>
    </w:p>
    <w:p>
      <w:pPr>
        <w:spacing w:after="120" w:line="269" w:lineRule="auto"/>
      </w:pPr>
      <w:r>
        <w:rPr>
          <w:rFonts w:ascii="Aptos" w:hAnsi="Aptos"/>
          <w:b w:val="0"/>
          <w:i w:val="0"/>
          <w:sz w:val="22"/>
        </w:rPr>
        <w:t>A predicate is a Boolean-valued function. In a database, a predicate becomes a filter: rows that do not satisfy a WHERE condition are eliminated from the result. Relations support joins, while ontologies represent individuals, classes and properties connecting entities.</w:t>
      </w:r>
    </w:p>
    <w:tbl>
      <w:tblPr>
        <w:tblStyle w:val="TableGrid"/>
        <w:tblW w:type="auto" w:w="0"/>
        <w:jc w:val="left"/>
        <w:tblLayout w:type="fixed"/>
        <w:tblLook w:firstColumn="1" w:firstRow="1" w:lastColumn="0" w:lastRow="0" w:noHBand="0" w:noVBand="1" w:val="04A0"/>
      </w:tblPr>
      <w:tblGrid>
        <w:gridCol w:w="4853"/>
        <w:gridCol w:w="4853"/>
      </w:tblGrid>
      <w:tr>
        <w:trPr>
          <w:tblHeader/>
        </w:trPr>
        <w:tc>
          <w:tcPr>
            <w:tcW w:type="dxa" w:w="2600"/>
            <w:shd w:fill="0B2545"/>
            <w:vAlign w:val="center"/>
          </w:tcPr>
          <w:p>
            <w:pPr>
              <w:spacing w:after="0"/>
            </w:pPr>
            <w:r>
              <w:rPr>
                <w:rFonts w:ascii="Aptos" w:hAnsi="Aptos"/>
                <w:b/>
                <w:i w:val="0"/>
                <w:color w:val="FFFFFF"/>
                <w:sz w:val="20"/>
              </w:rPr>
              <w:t>Mathematics</w:t>
            </w:r>
          </w:p>
        </w:tc>
        <w:tc>
          <w:tcPr>
            <w:tcW w:type="dxa" w:w="6760"/>
            <w:shd w:fill="0B2545"/>
            <w:vAlign w:val="center"/>
          </w:tcPr>
          <w:p>
            <w:pPr>
              <w:spacing w:after="0"/>
            </w:pPr>
            <w:r>
              <w:rPr>
                <w:rFonts w:ascii="Aptos" w:hAnsi="Aptos"/>
                <w:b/>
                <w:i w:val="0"/>
                <w:color w:val="FFFFFF"/>
                <w:sz w:val="20"/>
              </w:rPr>
              <w:t>Operational interpretation</w:t>
            </w:r>
          </w:p>
        </w:tc>
      </w:tr>
      <w:tr>
        <w:tc>
          <w:tcPr>
            <w:tcW w:type="dxa" w:w="2600"/>
            <w:vAlign w:val="center"/>
          </w:tcPr>
          <w:p>
            <w:pPr>
              <w:spacing w:after="0"/>
            </w:pPr>
            <w:r>
              <w:rPr>
                <w:rFonts w:ascii="Aptos" w:hAnsi="Aptos"/>
                <w:b w:val="0"/>
                <w:i w:val="0"/>
                <w:sz w:val="19"/>
              </w:rPr>
              <w:t>Set</w:t>
            </w:r>
          </w:p>
        </w:tc>
        <w:tc>
          <w:tcPr>
            <w:tcW w:type="dxa" w:w="6760"/>
            <w:vAlign w:val="center"/>
          </w:tcPr>
          <w:p>
            <w:pPr>
              <w:spacing w:after="0"/>
            </w:pPr>
            <w:r>
              <w:rPr>
                <w:rFonts w:ascii="Aptos" w:hAnsi="Aptos"/>
                <w:b w:val="0"/>
                <w:i w:val="0"/>
                <w:sz w:val="19"/>
              </w:rPr>
              <w:t>Table or result set</w:t>
            </w:r>
          </w:p>
        </w:tc>
      </w:tr>
      <w:tr>
        <w:tc>
          <w:tcPr>
            <w:tcW w:type="dxa" w:w="2600"/>
            <w:vAlign w:val="center"/>
          </w:tcPr>
          <w:p>
            <w:pPr>
              <w:spacing w:after="0"/>
            </w:pPr>
            <w:r>
              <w:rPr>
                <w:rFonts w:ascii="Aptos" w:hAnsi="Aptos"/>
                <w:b w:val="0"/>
                <w:i w:val="0"/>
                <w:sz w:val="19"/>
              </w:rPr>
              <w:t>Membership</w:t>
            </w:r>
          </w:p>
        </w:tc>
        <w:tc>
          <w:tcPr>
            <w:tcW w:type="dxa" w:w="6760"/>
            <w:vAlign w:val="center"/>
          </w:tcPr>
          <w:p>
            <w:pPr>
              <w:spacing w:after="0"/>
            </w:pPr>
            <w:r>
              <w:rPr>
                <w:rFonts w:ascii="Aptos" w:hAnsi="Aptos"/>
                <w:b w:val="0"/>
                <w:i w:val="0"/>
                <w:sz w:val="19"/>
              </w:rPr>
              <w:t>A record satisfies a declared condition</w:t>
            </w:r>
          </w:p>
        </w:tc>
      </w:tr>
      <w:tr>
        <w:tc>
          <w:tcPr>
            <w:tcW w:type="dxa" w:w="2600"/>
            <w:vAlign w:val="center"/>
          </w:tcPr>
          <w:p>
            <w:pPr>
              <w:spacing w:after="0"/>
            </w:pPr>
            <w:r>
              <w:rPr>
                <w:rFonts w:ascii="Aptos" w:hAnsi="Aptos"/>
                <w:b w:val="0"/>
                <w:i w:val="0"/>
                <w:sz w:val="19"/>
              </w:rPr>
              <w:t>Intersection</w:t>
            </w:r>
          </w:p>
        </w:tc>
        <w:tc>
          <w:tcPr>
            <w:tcW w:type="dxa" w:w="6760"/>
            <w:vAlign w:val="center"/>
          </w:tcPr>
          <w:p>
            <w:pPr>
              <w:spacing w:after="0"/>
            </w:pPr>
            <w:r>
              <w:rPr>
                <w:rFonts w:ascii="Aptos" w:hAnsi="Aptos"/>
                <w:b w:val="0"/>
                <w:i w:val="0"/>
                <w:sz w:val="19"/>
              </w:rPr>
              <w:t>Records satisfying both conditions</w:t>
            </w:r>
          </w:p>
        </w:tc>
      </w:tr>
      <w:tr>
        <w:tc>
          <w:tcPr>
            <w:tcW w:type="dxa" w:w="2600"/>
            <w:vAlign w:val="center"/>
          </w:tcPr>
          <w:p>
            <w:pPr>
              <w:spacing w:after="0"/>
            </w:pPr>
            <w:r>
              <w:rPr>
                <w:rFonts w:ascii="Aptos" w:hAnsi="Aptos"/>
                <w:b w:val="0"/>
                <w:i w:val="0"/>
                <w:sz w:val="19"/>
              </w:rPr>
              <w:t>Difference</w:t>
            </w:r>
          </w:p>
        </w:tc>
        <w:tc>
          <w:tcPr>
            <w:tcW w:type="dxa" w:w="6760"/>
            <w:vAlign w:val="center"/>
          </w:tcPr>
          <w:p>
            <w:pPr>
              <w:spacing w:after="0"/>
            </w:pPr>
            <w:r>
              <w:rPr>
                <w:rFonts w:ascii="Aptos" w:hAnsi="Aptos"/>
                <w:b w:val="0"/>
                <w:i w:val="0"/>
                <w:sz w:val="19"/>
              </w:rPr>
              <w:t>Exclusion</w:t>
            </w:r>
          </w:p>
        </w:tc>
      </w:tr>
      <w:tr>
        <w:tc>
          <w:tcPr>
            <w:tcW w:type="dxa" w:w="2600"/>
            <w:vAlign w:val="center"/>
          </w:tcPr>
          <w:p>
            <w:pPr>
              <w:spacing w:after="0"/>
            </w:pPr>
            <w:r>
              <w:rPr>
                <w:rFonts w:ascii="Aptos" w:hAnsi="Aptos"/>
                <w:b w:val="0"/>
                <w:i w:val="0"/>
                <w:sz w:val="19"/>
              </w:rPr>
              <w:t>Cartesian product</w:t>
            </w:r>
          </w:p>
        </w:tc>
        <w:tc>
          <w:tcPr>
            <w:tcW w:type="dxa" w:w="6760"/>
            <w:vAlign w:val="center"/>
          </w:tcPr>
          <w:p>
            <w:pPr>
              <w:spacing w:after="0"/>
            </w:pPr>
            <w:r>
              <w:rPr>
                <w:rFonts w:ascii="Aptos" w:hAnsi="Aptos"/>
                <w:b w:val="0"/>
                <w:i w:val="0"/>
                <w:sz w:val="19"/>
              </w:rPr>
              <w:t>All possible row pairs before filtering</w:t>
            </w:r>
          </w:p>
        </w:tc>
      </w:tr>
      <w:tr>
        <w:tc>
          <w:tcPr>
            <w:tcW w:type="dxa" w:w="2600"/>
            <w:vAlign w:val="center"/>
          </w:tcPr>
          <w:p>
            <w:pPr>
              <w:spacing w:after="0"/>
            </w:pPr>
            <w:r>
              <w:rPr>
                <w:rFonts w:ascii="Aptos" w:hAnsi="Aptos"/>
                <w:b w:val="0"/>
                <w:i w:val="0"/>
                <w:sz w:val="19"/>
              </w:rPr>
              <w:t>Relation</w:t>
            </w:r>
          </w:p>
        </w:tc>
        <w:tc>
          <w:tcPr>
            <w:tcW w:type="dxa" w:w="6760"/>
            <w:vAlign w:val="center"/>
          </w:tcPr>
          <w:p>
            <w:pPr>
              <w:spacing w:after="0"/>
            </w:pPr>
            <w:r>
              <w:rPr>
                <w:rFonts w:ascii="Aptos" w:hAnsi="Aptos"/>
                <w:b w:val="0"/>
                <w:i w:val="0"/>
                <w:sz w:val="19"/>
              </w:rPr>
              <w:t>Link or join between entities</w:t>
            </w:r>
          </w:p>
        </w:tc>
      </w:tr>
      <w:tr>
        <w:tc>
          <w:tcPr>
            <w:tcW w:type="dxa" w:w="2600"/>
            <w:vAlign w:val="center"/>
          </w:tcPr>
          <w:p>
            <w:pPr>
              <w:spacing w:after="0"/>
            </w:pPr>
            <w:r>
              <w:rPr>
                <w:rFonts w:ascii="Aptos" w:hAnsi="Aptos"/>
                <w:b w:val="0"/>
                <w:i w:val="0"/>
                <w:sz w:val="19"/>
              </w:rPr>
              <w:t>Predicate</w:t>
            </w:r>
          </w:p>
        </w:tc>
        <w:tc>
          <w:tcPr>
            <w:tcW w:type="dxa" w:w="6760"/>
            <w:vAlign w:val="center"/>
          </w:tcPr>
          <w:p>
            <w:pPr>
              <w:spacing w:after="0"/>
            </w:pPr>
            <w:r>
              <w:rPr>
                <w:rFonts w:ascii="Aptos" w:hAnsi="Aptos"/>
                <w:b w:val="0"/>
                <w:i w:val="0"/>
                <w:sz w:val="19"/>
              </w:rPr>
              <w:t>Boolean filter or WHERE condition</w:t>
            </w:r>
          </w:p>
        </w:tc>
      </w:tr>
    </w:tbl>
    <w:p>
      <w:pPr>
        <w:spacing w:after="40"/>
      </w:pPr>
    </w:p>
    <w:p>
      <w:pPr>
        <w:spacing w:after="120" w:line="269" w:lineRule="auto"/>
      </w:pPr>
      <w:r>
        <w:rPr>
          <w:rFonts w:ascii="Aptos" w:hAnsi="Aptos"/>
          <w:b w:val="0"/>
          <w:i w:val="0"/>
          <w:sz w:val="22"/>
        </w:rPr>
        <w:t>Natural-language labels such as vulnerable or high risk must not be translated directly into code. They require an approved operational definition, provenance, effective date, missing-data rule and review process.</w:t>
      </w:r>
    </w:p>
    <w:p>
      <w:pPr>
        <w:pStyle w:val="Heading1"/>
        <w:keepNext/>
      </w:pPr>
      <w:r>
        <w:rPr>
          <w:rFonts w:ascii="Aptos" w:hAnsi="Aptos"/>
          <w:b/>
          <w:i w:val="0"/>
          <w:color w:val="0B2545"/>
          <w:sz w:val="32"/>
        </w:rPr>
        <w:t>6. Fully worked example — vaccination prioritisation</w:t>
      </w:r>
    </w:p>
    <w:p>
      <w:pPr>
        <w:spacing w:after="120" w:line="269" w:lineRule="auto"/>
      </w:pPr>
      <w:r>
        <w:rPr>
          <w:rFonts w:ascii="Aptos" w:hAnsi="Aptos"/>
          <w:b w:val="0"/>
          <w:i w:val="0"/>
          <w:sz w:val="22"/>
        </w:rPr>
        <w:t>Suppose priority is defined as age at least 65, healthcare-worker status, or clinical vulnerability, excluding anyone already fully vaccinated. Let A, H, V and F denote the respective sets within a declared registry universe U.</w:t>
      </w:r>
    </w:p>
    <w:p>
      <w:pPr>
        <w:spacing w:before="100" w:after="140"/>
        <w:jc w:val="center"/>
      </w:pPr>
      <w:r>
        <w:rPr>
          <w:rFonts w:ascii="Cambria Math" w:hAnsi="Cambria Math"/>
          <w:b w:val="0"/>
          <w:i/>
          <w:color w:val="0B2545"/>
          <w:sz w:val="23"/>
        </w:rPr>
        <w:t>E = (A ∪ H ∪ V) ∩ Fᶜ</w:t>
      </w:r>
    </w:p>
    <w:tbl>
      <w:tblPr>
        <w:tblStyle w:val="TableGrid"/>
        <w:tblW w:type="auto" w:w="0"/>
        <w:jc w:val="left"/>
        <w:tblLayout w:type="fixed"/>
        <w:tblLook w:firstColumn="1" w:firstRow="1" w:lastColumn="0" w:lastRow="0" w:noHBand="0" w:noVBand="1" w:val="04A0"/>
      </w:tblPr>
      <w:tblGrid>
        <w:gridCol w:w="1618"/>
        <w:gridCol w:w="1618"/>
        <w:gridCol w:w="1618"/>
        <w:gridCol w:w="1618"/>
        <w:gridCol w:w="1618"/>
        <w:gridCol w:w="1618"/>
      </w:tblGrid>
      <w:tr>
        <w:trPr>
          <w:tblHeader/>
        </w:trPr>
        <w:tc>
          <w:tcPr>
            <w:tcW w:type="dxa" w:w="1600"/>
            <w:shd w:fill="0B2545"/>
            <w:vAlign w:val="center"/>
          </w:tcPr>
          <w:p>
            <w:pPr>
              <w:spacing w:after="0"/>
            </w:pPr>
            <w:r>
              <w:rPr>
                <w:rFonts w:ascii="Aptos" w:hAnsi="Aptos"/>
                <w:b/>
                <w:i w:val="0"/>
                <w:color w:val="FFFFFF"/>
                <w:sz w:val="20"/>
              </w:rPr>
              <w:t>Citizen</w:t>
            </w:r>
          </w:p>
        </w:tc>
        <w:tc>
          <w:tcPr>
            <w:tcW w:type="dxa" w:w="1350"/>
            <w:shd w:fill="0B2545"/>
            <w:vAlign w:val="center"/>
          </w:tcPr>
          <w:p>
            <w:pPr>
              <w:spacing w:after="0"/>
            </w:pPr>
            <w:r>
              <w:rPr>
                <w:rFonts w:ascii="Aptos" w:hAnsi="Aptos"/>
                <w:b/>
                <w:i w:val="0"/>
                <w:color w:val="FFFFFF"/>
                <w:sz w:val="20"/>
              </w:rPr>
              <w:t>Age ≥65</w:t>
            </w:r>
          </w:p>
        </w:tc>
        <w:tc>
          <w:tcPr>
            <w:tcW w:type="dxa" w:w="1600"/>
            <w:shd w:fill="0B2545"/>
            <w:vAlign w:val="center"/>
          </w:tcPr>
          <w:p>
            <w:pPr>
              <w:spacing w:after="0"/>
            </w:pPr>
            <w:r>
              <w:rPr>
                <w:rFonts w:ascii="Aptos" w:hAnsi="Aptos"/>
                <w:b/>
                <w:i w:val="0"/>
                <w:color w:val="FFFFFF"/>
                <w:sz w:val="20"/>
              </w:rPr>
              <w:t>Health worker</w:t>
            </w:r>
          </w:p>
        </w:tc>
        <w:tc>
          <w:tcPr>
            <w:tcW w:type="dxa" w:w="1350"/>
            <w:shd w:fill="0B2545"/>
            <w:vAlign w:val="center"/>
          </w:tcPr>
          <w:p>
            <w:pPr>
              <w:spacing w:after="0"/>
            </w:pPr>
            <w:r>
              <w:rPr>
                <w:rFonts w:ascii="Aptos" w:hAnsi="Aptos"/>
                <w:b/>
                <w:i w:val="0"/>
                <w:color w:val="FFFFFF"/>
                <w:sz w:val="20"/>
              </w:rPr>
              <w:t>Vulnerable</w:t>
            </w:r>
          </w:p>
        </w:tc>
        <w:tc>
          <w:tcPr>
            <w:tcW w:type="dxa" w:w="1900"/>
            <w:shd w:fill="0B2545"/>
            <w:vAlign w:val="center"/>
          </w:tcPr>
          <w:p>
            <w:pPr>
              <w:spacing w:after="0"/>
            </w:pPr>
            <w:r>
              <w:rPr>
                <w:rFonts w:ascii="Aptos" w:hAnsi="Aptos"/>
                <w:b/>
                <w:i w:val="0"/>
                <w:color w:val="FFFFFF"/>
                <w:sz w:val="20"/>
              </w:rPr>
              <w:t>Fully vaccinated</w:t>
            </w:r>
          </w:p>
        </w:tc>
        <w:tc>
          <w:tcPr>
            <w:tcW w:type="dxa" w:w="1560"/>
            <w:shd w:fill="0B2545"/>
            <w:vAlign w:val="center"/>
          </w:tcPr>
          <w:p>
            <w:pPr>
              <w:spacing w:after="0"/>
            </w:pPr>
            <w:r>
              <w:rPr>
                <w:rFonts w:ascii="Aptos" w:hAnsi="Aptos"/>
                <w:b/>
                <w:i w:val="0"/>
                <w:color w:val="FFFFFF"/>
                <w:sz w:val="20"/>
              </w:rPr>
              <w:t>Eligible</w:t>
            </w:r>
          </w:p>
        </w:tc>
      </w:tr>
      <w:tr>
        <w:tc>
          <w:tcPr>
            <w:tcW w:type="dxa" w:w="1600"/>
            <w:vAlign w:val="center"/>
          </w:tcPr>
          <w:p>
            <w:pPr>
              <w:spacing w:after="0"/>
            </w:pPr>
            <w:r>
              <w:rPr>
                <w:rFonts w:ascii="Aptos" w:hAnsi="Aptos"/>
                <w:b w:val="0"/>
                <w:i w:val="0"/>
                <w:sz w:val="19"/>
              </w:rPr>
              <w:t>Aminata</w:t>
            </w:r>
          </w:p>
        </w:tc>
        <w:tc>
          <w:tcPr>
            <w:tcW w:type="dxa" w:w="1350"/>
            <w:vAlign w:val="center"/>
          </w:tcPr>
          <w:p>
            <w:pPr>
              <w:spacing w:after="0"/>
            </w:pPr>
            <w:r>
              <w:rPr>
                <w:rFonts w:ascii="Aptos" w:hAnsi="Aptos"/>
                <w:b w:val="0"/>
                <w:i w:val="0"/>
                <w:sz w:val="19"/>
              </w:rPr>
              <w:t>Yes</w:t>
            </w:r>
          </w:p>
        </w:tc>
        <w:tc>
          <w:tcPr>
            <w:tcW w:type="dxa" w:w="1600"/>
            <w:vAlign w:val="center"/>
          </w:tcPr>
          <w:p>
            <w:pPr>
              <w:spacing w:after="0"/>
            </w:pPr>
            <w:r>
              <w:rPr>
                <w:rFonts w:ascii="Aptos" w:hAnsi="Aptos"/>
                <w:b w:val="0"/>
                <w:i w:val="0"/>
                <w:sz w:val="19"/>
              </w:rPr>
              <w:t>No</w:t>
            </w:r>
          </w:p>
        </w:tc>
        <w:tc>
          <w:tcPr>
            <w:tcW w:type="dxa" w:w="1350"/>
            <w:vAlign w:val="center"/>
          </w:tcPr>
          <w:p>
            <w:pPr>
              <w:spacing w:after="0"/>
            </w:pPr>
            <w:r>
              <w:rPr>
                <w:rFonts w:ascii="Aptos" w:hAnsi="Aptos"/>
                <w:b w:val="0"/>
                <w:i w:val="0"/>
                <w:sz w:val="19"/>
              </w:rPr>
              <w:t>No</w:t>
            </w:r>
          </w:p>
        </w:tc>
        <w:tc>
          <w:tcPr>
            <w:tcW w:type="dxa" w:w="1900"/>
            <w:vAlign w:val="center"/>
          </w:tcPr>
          <w:p>
            <w:pPr>
              <w:spacing w:after="0"/>
            </w:pPr>
            <w:r>
              <w:rPr>
                <w:rFonts w:ascii="Aptos" w:hAnsi="Aptos"/>
                <w:b w:val="0"/>
                <w:i w:val="0"/>
                <w:sz w:val="19"/>
              </w:rPr>
              <w:t>No</w:t>
            </w:r>
          </w:p>
        </w:tc>
        <w:tc>
          <w:tcPr>
            <w:tcW w:type="dxa" w:w="1560"/>
            <w:vAlign w:val="center"/>
          </w:tcPr>
          <w:p>
            <w:pPr>
              <w:spacing w:after="0"/>
            </w:pPr>
            <w:r>
              <w:rPr>
                <w:rFonts w:ascii="Aptos" w:hAnsi="Aptos"/>
                <w:b w:val="0"/>
                <w:i w:val="0"/>
                <w:sz w:val="19"/>
              </w:rPr>
              <w:t>Yes</w:t>
            </w:r>
          </w:p>
        </w:tc>
      </w:tr>
      <w:tr>
        <w:tc>
          <w:tcPr>
            <w:tcW w:type="dxa" w:w="1600"/>
            <w:vAlign w:val="center"/>
          </w:tcPr>
          <w:p>
            <w:pPr>
              <w:spacing w:after="0"/>
            </w:pPr>
            <w:r>
              <w:rPr>
                <w:rFonts w:ascii="Aptos" w:hAnsi="Aptos"/>
                <w:b w:val="0"/>
                <w:i w:val="0"/>
                <w:sz w:val="19"/>
              </w:rPr>
              <w:t>Cheikh</w:t>
            </w:r>
          </w:p>
        </w:tc>
        <w:tc>
          <w:tcPr>
            <w:tcW w:type="dxa" w:w="1350"/>
            <w:vAlign w:val="center"/>
          </w:tcPr>
          <w:p>
            <w:pPr>
              <w:spacing w:after="0"/>
            </w:pPr>
            <w:r>
              <w:rPr>
                <w:rFonts w:ascii="Aptos" w:hAnsi="Aptos"/>
                <w:b w:val="0"/>
                <w:i w:val="0"/>
                <w:sz w:val="19"/>
              </w:rPr>
              <w:t>No</w:t>
            </w:r>
          </w:p>
        </w:tc>
        <w:tc>
          <w:tcPr>
            <w:tcW w:type="dxa" w:w="1600"/>
            <w:vAlign w:val="center"/>
          </w:tcPr>
          <w:p>
            <w:pPr>
              <w:spacing w:after="0"/>
            </w:pPr>
            <w:r>
              <w:rPr>
                <w:rFonts w:ascii="Aptos" w:hAnsi="Aptos"/>
                <w:b w:val="0"/>
                <w:i w:val="0"/>
                <w:sz w:val="19"/>
              </w:rPr>
              <w:t>Yes</w:t>
            </w:r>
          </w:p>
        </w:tc>
        <w:tc>
          <w:tcPr>
            <w:tcW w:type="dxa" w:w="1350"/>
            <w:vAlign w:val="center"/>
          </w:tcPr>
          <w:p>
            <w:pPr>
              <w:spacing w:after="0"/>
            </w:pPr>
            <w:r>
              <w:rPr>
                <w:rFonts w:ascii="Aptos" w:hAnsi="Aptos"/>
                <w:b w:val="0"/>
                <w:i w:val="0"/>
                <w:sz w:val="19"/>
              </w:rPr>
              <w:t>No</w:t>
            </w:r>
          </w:p>
        </w:tc>
        <w:tc>
          <w:tcPr>
            <w:tcW w:type="dxa" w:w="1900"/>
            <w:vAlign w:val="center"/>
          </w:tcPr>
          <w:p>
            <w:pPr>
              <w:spacing w:after="0"/>
            </w:pPr>
            <w:r>
              <w:rPr>
                <w:rFonts w:ascii="Aptos" w:hAnsi="Aptos"/>
                <w:b w:val="0"/>
                <w:i w:val="0"/>
                <w:sz w:val="19"/>
              </w:rPr>
              <w:t>No</w:t>
            </w:r>
          </w:p>
        </w:tc>
        <w:tc>
          <w:tcPr>
            <w:tcW w:type="dxa" w:w="1560"/>
            <w:vAlign w:val="center"/>
          </w:tcPr>
          <w:p>
            <w:pPr>
              <w:spacing w:after="0"/>
            </w:pPr>
            <w:r>
              <w:rPr>
                <w:rFonts w:ascii="Aptos" w:hAnsi="Aptos"/>
                <w:b w:val="0"/>
                <w:i w:val="0"/>
                <w:sz w:val="19"/>
              </w:rPr>
              <w:t>Yes</w:t>
            </w:r>
          </w:p>
        </w:tc>
      </w:tr>
      <w:tr>
        <w:tc>
          <w:tcPr>
            <w:tcW w:type="dxa" w:w="1600"/>
            <w:vAlign w:val="center"/>
          </w:tcPr>
          <w:p>
            <w:pPr>
              <w:spacing w:after="0"/>
            </w:pPr>
            <w:r>
              <w:rPr>
                <w:rFonts w:ascii="Aptos" w:hAnsi="Aptos"/>
                <w:b w:val="0"/>
                <w:i w:val="0"/>
                <w:sz w:val="19"/>
              </w:rPr>
              <w:t>Mariama</w:t>
            </w:r>
          </w:p>
        </w:tc>
        <w:tc>
          <w:tcPr>
            <w:tcW w:type="dxa" w:w="1350"/>
            <w:vAlign w:val="center"/>
          </w:tcPr>
          <w:p>
            <w:pPr>
              <w:spacing w:after="0"/>
            </w:pPr>
            <w:r>
              <w:rPr>
                <w:rFonts w:ascii="Aptos" w:hAnsi="Aptos"/>
                <w:b w:val="0"/>
                <w:i w:val="0"/>
                <w:sz w:val="19"/>
              </w:rPr>
              <w:t>No</w:t>
            </w:r>
          </w:p>
        </w:tc>
        <w:tc>
          <w:tcPr>
            <w:tcW w:type="dxa" w:w="1600"/>
            <w:vAlign w:val="center"/>
          </w:tcPr>
          <w:p>
            <w:pPr>
              <w:spacing w:after="0"/>
            </w:pPr>
            <w:r>
              <w:rPr>
                <w:rFonts w:ascii="Aptos" w:hAnsi="Aptos"/>
                <w:b w:val="0"/>
                <w:i w:val="0"/>
                <w:sz w:val="19"/>
              </w:rPr>
              <w:t>No</w:t>
            </w:r>
          </w:p>
        </w:tc>
        <w:tc>
          <w:tcPr>
            <w:tcW w:type="dxa" w:w="1350"/>
            <w:vAlign w:val="center"/>
          </w:tcPr>
          <w:p>
            <w:pPr>
              <w:spacing w:after="0"/>
            </w:pPr>
            <w:r>
              <w:rPr>
                <w:rFonts w:ascii="Aptos" w:hAnsi="Aptos"/>
                <w:b w:val="0"/>
                <w:i w:val="0"/>
                <w:sz w:val="19"/>
              </w:rPr>
              <w:t>Yes</w:t>
            </w:r>
          </w:p>
        </w:tc>
        <w:tc>
          <w:tcPr>
            <w:tcW w:type="dxa" w:w="1900"/>
            <w:vAlign w:val="center"/>
          </w:tcPr>
          <w:p>
            <w:pPr>
              <w:spacing w:after="0"/>
            </w:pPr>
            <w:r>
              <w:rPr>
                <w:rFonts w:ascii="Aptos" w:hAnsi="Aptos"/>
                <w:b w:val="0"/>
                <w:i w:val="0"/>
                <w:sz w:val="19"/>
              </w:rPr>
              <w:t>Yes</w:t>
            </w:r>
          </w:p>
        </w:tc>
        <w:tc>
          <w:tcPr>
            <w:tcW w:type="dxa" w:w="1560"/>
            <w:vAlign w:val="center"/>
          </w:tcPr>
          <w:p>
            <w:pPr>
              <w:spacing w:after="0"/>
            </w:pPr>
            <w:r>
              <w:rPr>
                <w:rFonts w:ascii="Aptos" w:hAnsi="Aptos"/>
                <w:b w:val="0"/>
                <w:i w:val="0"/>
                <w:sz w:val="19"/>
              </w:rPr>
              <w:t>No</w:t>
            </w:r>
          </w:p>
        </w:tc>
      </w:tr>
      <w:tr>
        <w:tc>
          <w:tcPr>
            <w:tcW w:type="dxa" w:w="1600"/>
            <w:vAlign w:val="center"/>
          </w:tcPr>
          <w:p>
            <w:pPr>
              <w:spacing w:after="0"/>
            </w:pPr>
            <w:r>
              <w:rPr>
                <w:rFonts w:ascii="Aptos" w:hAnsi="Aptos"/>
                <w:b w:val="0"/>
                <w:i w:val="0"/>
                <w:sz w:val="19"/>
              </w:rPr>
              <w:t>Ousmane</w:t>
            </w:r>
          </w:p>
        </w:tc>
        <w:tc>
          <w:tcPr>
            <w:tcW w:type="dxa" w:w="1350"/>
            <w:vAlign w:val="center"/>
          </w:tcPr>
          <w:p>
            <w:pPr>
              <w:spacing w:after="0"/>
            </w:pPr>
            <w:r>
              <w:rPr>
                <w:rFonts w:ascii="Aptos" w:hAnsi="Aptos"/>
                <w:b w:val="0"/>
                <w:i w:val="0"/>
                <w:sz w:val="19"/>
              </w:rPr>
              <w:t>No</w:t>
            </w:r>
          </w:p>
        </w:tc>
        <w:tc>
          <w:tcPr>
            <w:tcW w:type="dxa" w:w="1600"/>
            <w:vAlign w:val="center"/>
          </w:tcPr>
          <w:p>
            <w:pPr>
              <w:spacing w:after="0"/>
            </w:pPr>
            <w:r>
              <w:rPr>
                <w:rFonts w:ascii="Aptos" w:hAnsi="Aptos"/>
                <w:b w:val="0"/>
                <w:i w:val="0"/>
                <w:sz w:val="19"/>
              </w:rPr>
              <w:t>No</w:t>
            </w:r>
          </w:p>
        </w:tc>
        <w:tc>
          <w:tcPr>
            <w:tcW w:type="dxa" w:w="1350"/>
            <w:vAlign w:val="center"/>
          </w:tcPr>
          <w:p>
            <w:pPr>
              <w:spacing w:after="0"/>
            </w:pPr>
            <w:r>
              <w:rPr>
                <w:rFonts w:ascii="Aptos" w:hAnsi="Aptos"/>
                <w:b w:val="0"/>
                <w:i w:val="0"/>
                <w:sz w:val="19"/>
              </w:rPr>
              <w:t>No</w:t>
            </w:r>
          </w:p>
        </w:tc>
        <w:tc>
          <w:tcPr>
            <w:tcW w:type="dxa" w:w="1900"/>
            <w:vAlign w:val="center"/>
          </w:tcPr>
          <w:p>
            <w:pPr>
              <w:spacing w:after="0"/>
            </w:pPr>
            <w:r>
              <w:rPr>
                <w:rFonts w:ascii="Aptos" w:hAnsi="Aptos"/>
                <w:b w:val="0"/>
                <w:i w:val="0"/>
                <w:sz w:val="19"/>
              </w:rPr>
              <w:t>No</w:t>
            </w:r>
          </w:p>
        </w:tc>
        <w:tc>
          <w:tcPr>
            <w:tcW w:type="dxa" w:w="1560"/>
            <w:vAlign w:val="center"/>
          </w:tcPr>
          <w:p>
            <w:pPr>
              <w:spacing w:after="0"/>
            </w:pPr>
            <w:r>
              <w:rPr>
                <w:rFonts w:ascii="Aptos" w:hAnsi="Aptos"/>
                <w:b w:val="0"/>
                <w:i w:val="0"/>
                <w:sz w:val="19"/>
              </w:rPr>
              <w:t>No</w:t>
            </w:r>
          </w:p>
        </w:tc>
      </w:tr>
    </w:tbl>
    <w:p>
      <w:pPr>
        <w:spacing w:after="40"/>
      </w:pPr>
    </w:p>
    <w:p>
      <w:pPr>
        <w:spacing w:after="60" w:line="269" w:lineRule="auto"/>
        <w:ind w:left="360" w:hanging="360"/>
      </w:pPr>
      <w:r>
        <w:rPr>
          <w:rFonts w:ascii="Aptos" w:hAnsi="Aptos"/>
          <w:b w:val="0"/>
          <w:i w:val="0"/>
          <w:sz w:val="22"/>
        </w:rPr>
        <w:t>1.  Declare U and confirm that every evaluated citizen belongs to U.</w:t>
      </w:r>
    </w:p>
    <w:p>
      <w:pPr>
        <w:spacing w:after="60" w:line="269" w:lineRule="auto"/>
        <w:ind w:left="360" w:hanging="360"/>
      </w:pPr>
      <w:r>
        <w:rPr>
          <w:rFonts w:ascii="Aptos" w:hAnsi="Aptos"/>
          <w:b w:val="0"/>
          <w:i w:val="0"/>
          <w:sz w:val="22"/>
        </w:rPr>
        <w:t>2.  Evaluate the three inclusion predicates and take their union.</w:t>
      </w:r>
    </w:p>
    <w:p>
      <w:pPr>
        <w:spacing w:after="60" w:line="269" w:lineRule="auto"/>
        <w:ind w:left="360" w:hanging="360"/>
      </w:pPr>
      <w:r>
        <w:rPr>
          <w:rFonts w:ascii="Aptos" w:hAnsi="Aptos"/>
          <w:b w:val="0"/>
          <w:i w:val="0"/>
          <w:sz w:val="22"/>
        </w:rPr>
        <w:t>3.  Evaluate the fully-vaccinated exclusion set and compute its complement relative to U.</w:t>
      </w:r>
    </w:p>
    <w:p>
      <w:pPr>
        <w:spacing w:after="60" w:line="269" w:lineRule="auto"/>
        <w:ind w:left="360" w:hanging="360"/>
      </w:pPr>
      <w:r>
        <w:rPr>
          <w:rFonts w:ascii="Aptos" w:hAnsi="Aptos"/>
          <w:b w:val="0"/>
          <w:i w:val="0"/>
          <w:sz w:val="22"/>
        </w:rPr>
        <w:t>4.  Intersect inclusion with the complement of the exclusion set.</w:t>
      </w:r>
    </w:p>
    <w:p>
      <w:pPr>
        <w:spacing w:after="60" w:line="269" w:lineRule="auto"/>
        <w:ind w:left="360" w:hanging="360"/>
      </w:pPr>
      <w:r>
        <w:rPr>
          <w:rFonts w:ascii="Aptos" w:hAnsi="Aptos"/>
          <w:b w:val="0"/>
          <w:i w:val="0"/>
          <w:sz w:val="22"/>
        </w:rPr>
        <w:t>5.  Record the rule version and generate a reason for every acceptance or rejection.</w:t>
      </w:r>
    </w:p>
    <w:p>
      <w:pPr>
        <w:spacing w:after="120" w:line="269" w:lineRule="auto"/>
      </w:pPr>
      <w:r>
        <w:rPr>
          <w:rFonts w:ascii="Aptos" w:hAnsi="Aptos"/>
          <w:b w:val="0"/>
          <w:i w:val="0"/>
          <w:sz w:val="22"/>
        </w:rPr>
        <w:t>The resulting eligible set is {Aminata, Cheikh}. Mariama satisfies an inclusion condition but is removed by the exclusion rule. Ousmane satisfies no inclusion condition. These explanations are as important as the final Boolean output.</w:t>
      </w:r>
    </w:p>
    <w:p>
      <w:pPr>
        <w:pStyle w:val="Heading1"/>
        <w:keepNext/>
      </w:pPr>
      <w:r>
        <w:rPr>
          <w:rFonts w:ascii="Aptos" w:hAnsi="Aptos"/>
          <w:b/>
          <w:i w:val="0"/>
          <w:color w:val="0B2545"/>
          <w:sz w:val="32"/>
        </w:rPr>
        <w:t>7. AI reasoning clinic</w:t>
      </w:r>
    </w:p>
    <w:p>
      <w:pPr>
        <w:spacing w:after="120" w:line="269" w:lineRule="auto"/>
      </w:pPr>
      <w:r>
        <w:rPr>
          <w:rFonts w:ascii="Aptos" w:hAnsi="Aptos"/>
          <w:b w:val="0"/>
          <w:i w:val="0"/>
          <w:sz w:val="22"/>
        </w:rPr>
        <w:t>Claim: ‘If P implies Q, then P causes Q.’</w:t>
      </w:r>
    </w:p>
    <w:p>
      <w:pPr>
        <w:spacing w:after="120" w:line="269" w:lineRule="auto"/>
      </w:pPr>
      <w:r>
        <w:rPr>
          <w:rFonts w:ascii="Aptos" w:hAnsi="Aptos"/>
          <w:b w:val="0"/>
          <w:i w:val="0"/>
          <w:sz w:val="22"/>
        </w:rPr>
        <w:t>Evaluation: False. P → Q is a statement inside a formal logical system. A causal conclusion requires additional assumptions and evidence concerning interventions, temporal order, mechanisms and alternative explanations.</w:t>
      </w:r>
    </w:p>
    <w:p>
      <w:pPr>
        <w:spacing w:after="120" w:line="269" w:lineRule="auto"/>
      </w:pPr>
      <w:r>
        <w:rPr>
          <w:rFonts w:ascii="Aptos" w:hAnsi="Aptos"/>
          <w:b w:val="0"/>
          <w:i w:val="0"/>
          <w:sz w:val="22"/>
        </w:rPr>
        <w:t>Improved reasoning: ‘Within the declared rule system, every case satisfying P must satisfy Q. Whether changing P would change Q is a separate causal question.’</w:t>
      </w:r>
    </w:p>
    <w:p>
      <w:pPr>
        <w:pStyle w:val="Heading1"/>
        <w:keepNext/>
      </w:pPr>
      <w:r>
        <w:rPr>
          <w:rFonts w:ascii="Aptos" w:hAnsi="Aptos"/>
          <w:b/>
          <w:i w:val="0"/>
          <w:color w:val="0B2545"/>
          <w:sz w:val="32"/>
        </w:rPr>
        <w:t>8. Failure modes and safeguards</w:t>
      </w:r>
    </w:p>
    <w:tbl>
      <w:tblPr>
        <w:tblStyle w:val="TableGrid"/>
        <w:tblW w:type="auto" w:w="0"/>
        <w:jc w:val="left"/>
        <w:tblLayout w:type="fixed"/>
        <w:tblLook w:firstColumn="1" w:firstRow="1" w:lastColumn="0" w:lastRow="0" w:noHBand="0" w:noVBand="1" w:val="04A0"/>
      </w:tblPr>
      <w:tblGrid>
        <w:gridCol w:w="4853"/>
        <w:gridCol w:w="4853"/>
      </w:tblGrid>
      <w:tr>
        <w:trPr>
          <w:tblHeader/>
        </w:trPr>
        <w:tc>
          <w:tcPr>
            <w:tcW w:type="dxa" w:w="3500"/>
            <w:shd w:fill="0B2545"/>
            <w:vAlign w:val="center"/>
          </w:tcPr>
          <w:p>
            <w:pPr>
              <w:spacing w:after="0"/>
            </w:pPr>
            <w:r>
              <w:rPr>
                <w:rFonts w:ascii="Aptos" w:hAnsi="Aptos"/>
                <w:b/>
                <w:i w:val="0"/>
                <w:color w:val="FFFFFF"/>
                <w:sz w:val="20"/>
              </w:rPr>
              <w:t>Failure mode</w:t>
            </w:r>
          </w:p>
        </w:tc>
        <w:tc>
          <w:tcPr>
            <w:tcW w:type="dxa" w:w="5860"/>
            <w:shd w:fill="0B2545"/>
            <w:vAlign w:val="center"/>
          </w:tcPr>
          <w:p>
            <w:pPr>
              <w:spacing w:after="0"/>
            </w:pPr>
            <w:r>
              <w:rPr>
                <w:rFonts w:ascii="Aptos" w:hAnsi="Aptos"/>
                <w:b/>
                <w:i w:val="0"/>
                <w:color w:val="FFFFFF"/>
                <w:sz w:val="20"/>
              </w:rPr>
              <w:t>Required safeguard</w:t>
            </w:r>
          </w:p>
        </w:tc>
      </w:tr>
      <w:tr>
        <w:tc>
          <w:tcPr>
            <w:tcW w:type="dxa" w:w="3500"/>
            <w:vAlign w:val="center"/>
          </w:tcPr>
          <w:p>
            <w:pPr>
              <w:spacing w:after="0"/>
            </w:pPr>
            <w:r>
              <w:rPr>
                <w:rFonts w:ascii="Aptos" w:hAnsi="Aptos"/>
                <w:b w:val="0"/>
                <w:i w:val="0"/>
                <w:sz w:val="19"/>
              </w:rPr>
              <w:t>Undefined universe</w:t>
            </w:r>
          </w:p>
        </w:tc>
        <w:tc>
          <w:tcPr>
            <w:tcW w:type="dxa" w:w="5860"/>
            <w:vAlign w:val="center"/>
          </w:tcPr>
          <w:p>
            <w:pPr>
              <w:spacing w:after="0"/>
            </w:pPr>
            <w:r>
              <w:rPr>
                <w:rFonts w:ascii="Aptos" w:hAnsi="Aptos"/>
                <w:b w:val="0"/>
                <w:i w:val="0"/>
                <w:sz w:val="19"/>
              </w:rPr>
              <w:t>Declare U and test all evaluated records for membership</w:t>
            </w:r>
          </w:p>
        </w:tc>
      </w:tr>
      <w:tr>
        <w:tc>
          <w:tcPr>
            <w:tcW w:type="dxa" w:w="3500"/>
            <w:vAlign w:val="center"/>
          </w:tcPr>
          <w:p>
            <w:pPr>
              <w:spacing w:after="0"/>
            </w:pPr>
            <w:r>
              <w:rPr>
                <w:rFonts w:ascii="Aptos" w:hAnsi="Aptos"/>
                <w:b w:val="0"/>
                <w:i w:val="0"/>
                <w:sz w:val="19"/>
              </w:rPr>
              <w:t>Ambiguous category</w:t>
            </w:r>
          </w:p>
        </w:tc>
        <w:tc>
          <w:tcPr>
            <w:tcW w:type="dxa" w:w="5860"/>
            <w:vAlign w:val="center"/>
          </w:tcPr>
          <w:p>
            <w:pPr>
              <w:spacing w:after="0"/>
            </w:pPr>
            <w:r>
              <w:rPr>
                <w:rFonts w:ascii="Aptos" w:hAnsi="Aptos"/>
                <w:b w:val="0"/>
                <w:i w:val="0"/>
                <w:sz w:val="19"/>
              </w:rPr>
              <w:t>Approve an operational definition and record its version</w:t>
            </w:r>
          </w:p>
        </w:tc>
      </w:tr>
      <w:tr>
        <w:tc>
          <w:tcPr>
            <w:tcW w:type="dxa" w:w="3500"/>
            <w:vAlign w:val="center"/>
          </w:tcPr>
          <w:p>
            <w:pPr>
              <w:spacing w:after="0"/>
            </w:pPr>
            <w:r>
              <w:rPr>
                <w:rFonts w:ascii="Aptos" w:hAnsi="Aptos"/>
                <w:b w:val="0"/>
                <w:i w:val="0"/>
                <w:sz w:val="19"/>
              </w:rPr>
              <w:t>Partial mapping treated as total</w:t>
            </w:r>
          </w:p>
        </w:tc>
        <w:tc>
          <w:tcPr>
            <w:tcW w:type="dxa" w:w="5860"/>
            <w:vAlign w:val="center"/>
          </w:tcPr>
          <w:p>
            <w:pPr>
              <w:spacing w:after="0"/>
            </w:pPr>
            <w:r>
              <w:rPr>
                <w:rFonts w:ascii="Aptos" w:hAnsi="Aptos"/>
                <w:b w:val="0"/>
                <w:i w:val="0"/>
                <w:sz w:val="19"/>
              </w:rPr>
              <w:t>Test coverage of the entire declared domain</w:t>
            </w:r>
          </w:p>
        </w:tc>
      </w:tr>
      <w:tr>
        <w:tc>
          <w:tcPr>
            <w:tcW w:type="dxa" w:w="3500"/>
            <w:vAlign w:val="center"/>
          </w:tcPr>
          <w:p>
            <w:pPr>
              <w:spacing w:after="0"/>
            </w:pPr>
            <w:r>
              <w:rPr>
                <w:rFonts w:ascii="Aptos" w:hAnsi="Aptos"/>
                <w:b w:val="0"/>
                <w:i w:val="0"/>
                <w:sz w:val="19"/>
              </w:rPr>
              <w:t>Implication treated as causation</w:t>
            </w:r>
          </w:p>
        </w:tc>
        <w:tc>
          <w:tcPr>
            <w:tcW w:type="dxa" w:w="5860"/>
            <w:vAlign w:val="center"/>
          </w:tcPr>
          <w:p>
            <w:pPr>
              <w:spacing w:after="0"/>
            </w:pPr>
            <w:r>
              <w:rPr>
                <w:rFonts w:ascii="Aptos" w:hAnsi="Aptos"/>
                <w:b w:val="0"/>
                <w:i w:val="0"/>
                <w:sz w:val="19"/>
              </w:rPr>
              <w:t>Separate logical validity from causal evidence</w:t>
            </w:r>
          </w:p>
        </w:tc>
      </w:tr>
      <w:tr>
        <w:tc>
          <w:tcPr>
            <w:tcW w:type="dxa" w:w="3500"/>
            <w:vAlign w:val="center"/>
          </w:tcPr>
          <w:p>
            <w:pPr>
              <w:spacing w:after="0"/>
            </w:pPr>
            <w:r>
              <w:rPr>
                <w:rFonts w:ascii="Aptos" w:hAnsi="Aptos"/>
                <w:b w:val="0"/>
                <w:i w:val="0"/>
                <w:sz w:val="19"/>
              </w:rPr>
              <w:t>Missing values silently treated as false</w:t>
            </w:r>
          </w:p>
        </w:tc>
        <w:tc>
          <w:tcPr>
            <w:tcW w:type="dxa" w:w="5860"/>
            <w:vAlign w:val="center"/>
          </w:tcPr>
          <w:p>
            <w:pPr>
              <w:spacing w:after="0"/>
            </w:pPr>
            <w:r>
              <w:rPr>
                <w:rFonts w:ascii="Aptos" w:hAnsi="Aptos"/>
                <w:b w:val="0"/>
                <w:i w:val="0"/>
                <w:sz w:val="19"/>
              </w:rPr>
              <w:t>Specify three-valued or explicit missing-data handling</w:t>
            </w:r>
          </w:p>
        </w:tc>
      </w:tr>
      <w:tr>
        <w:tc>
          <w:tcPr>
            <w:tcW w:type="dxa" w:w="3500"/>
            <w:vAlign w:val="center"/>
          </w:tcPr>
          <w:p>
            <w:pPr>
              <w:spacing w:after="0"/>
            </w:pPr>
            <w:r>
              <w:rPr>
                <w:rFonts w:ascii="Aptos" w:hAnsi="Aptos"/>
                <w:b w:val="0"/>
                <w:i w:val="0"/>
                <w:sz w:val="19"/>
              </w:rPr>
              <w:t>Dense relation structure at scale</w:t>
            </w:r>
          </w:p>
        </w:tc>
        <w:tc>
          <w:tcPr>
            <w:tcW w:type="dxa" w:w="5860"/>
            <w:vAlign w:val="center"/>
          </w:tcPr>
          <w:p>
            <w:pPr>
              <w:spacing w:after="0"/>
            </w:pPr>
            <w:r>
              <w:rPr>
                <w:rFonts w:ascii="Aptos" w:hAnsi="Aptos"/>
                <w:b w:val="0"/>
                <w:i w:val="0"/>
                <w:sz w:val="19"/>
              </w:rPr>
              <w:t>Use sparse representations and document complexity</w:t>
            </w:r>
          </w:p>
        </w:tc>
      </w:tr>
      <w:tr>
        <w:tc>
          <w:tcPr>
            <w:tcW w:type="dxa" w:w="3500"/>
            <w:vAlign w:val="center"/>
          </w:tcPr>
          <w:p>
            <w:pPr>
              <w:spacing w:after="0"/>
            </w:pPr>
            <w:r>
              <w:rPr>
                <w:rFonts w:ascii="Aptos" w:hAnsi="Aptos"/>
                <w:b w:val="0"/>
                <w:i w:val="0"/>
                <w:sz w:val="19"/>
              </w:rPr>
              <w:t>Rule changed without traceability</w:t>
            </w:r>
          </w:p>
        </w:tc>
        <w:tc>
          <w:tcPr>
            <w:tcW w:type="dxa" w:w="5860"/>
            <w:vAlign w:val="center"/>
          </w:tcPr>
          <w:p>
            <w:pPr>
              <w:spacing w:after="0"/>
            </w:pPr>
            <w:r>
              <w:rPr>
                <w:rFonts w:ascii="Aptos" w:hAnsi="Aptos"/>
                <w:b w:val="0"/>
                <w:i w:val="0"/>
                <w:sz w:val="19"/>
              </w:rPr>
              <w:t>Version code, data, rules and effective dates</w:t>
            </w:r>
          </w:p>
        </w:tc>
      </w:tr>
    </w:tbl>
    <w:p>
      <w:pPr>
        <w:spacing w:after="40"/>
      </w:pPr>
    </w:p>
    <w:p>
      <w:pPr>
        <w:pStyle w:val="Heading1"/>
        <w:keepNext/>
      </w:pPr>
      <w:r>
        <w:rPr>
          <w:rFonts w:ascii="Aptos" w:hAnsi="Aptos"/>
          <w:b/>
          <w:i w:val="0"/>
          <w:color w:val="0B2545"/>
          <w:sz w:val="32"/>
        </w:rPr>
        <w:t>9. Laboratory and exercises</w:t>
      </w:r>
    </w:p>
    <w:p>
      <w:pPr>
        <w:spacing w:after="60" w:line="269" w:lineRule="auto"/>
        <w:ind w:left="360" w:hanging="360"/>
      </w:pPr>
      <w:r>
        <w:rPr>
          <w:rFonts w:ascii="Aptos" w:hAnsi="Aptos"/>
          <w:b w:val="0"/>
          <w:i w:val="0"/>
          <w:sz w:val="22"/>
        </w:rPr>
        <w:t>1.  Verify both De Morgan laws with complete truth tables.</w:t>
      </w:r>
    </w:p>
    <w:p>
      <w:pPr>
        <w:spacing w:after="60" w:line="269" w:lineRule="auto"/>
        <w:ind w:left="360" w:hanging="360"/>
      </w:pPr>
      <w:r>
        <w:rPr>
          <w:rFonts w:ascii="Aptos" w:hAnsi="Aptos"/>
          <w:b w:val="0"/>
          <w:i w:val="0"/>
          <w:sz w:val="22"/>
        </w:rPr>
        <w:t>2.  Explain the difference between x ∈ A and {x} ⊆ A.</w:t>
      </w:r>
    </w:p>
    <w:p>
      <w:pPr>
        <w:spacing w:after="60" w:line="269" w:lineRule="auto"/>
        <w:ind w:left="360" w:hanging="360"/>
      </w:pPr>
      <w:r>
        <w:rPr>
          <w:rFonts w:ascii="Aptos" w:hAnsi="Aptos"/>
          <w:b w:val="0"/>
          <w:i w:val="0"/>
          <w:sz w:val="22"/>
        </w:rPr>
        <w:t>3.  For A={1,2,3} and B={a,b}, enumerate A × B.</w:t>
      </w:r>
    </w:p>
    <w:p>
      <w:pPr>
        <w:spacing w:after="60" w:line="269" w:lineRule="auto"/>
        <w:ind w:left="360" w:hanging="360"/>
      </w:pPr>
      <w:r>
        <w:rPr>
          <w:rFonts w:ascii="Aptos" w:hAnsi="Aptos"/>
          <w:b w:val="0"/>
          <w:i w:val="0"/>
          <w:sz w:val="22"/>
        </w:rPr>
        <w:t>4.  Convert a relation matrix into ordered pairs and back again.</w:t>
      </w:r>
    </w:p>
    <w:p>
      <w:pPr>
        <w:spacing w:after="60" w:line="269" w:lineRule="auto"/>
        <w:ind w:left="360" w:hanging="360"/>
      </w:pPr>
      <w:r>
        <w:rPr>
          <w:rFonts w:ascii="Aptos" w:hAnsi="Aptos"/>
          <w:b w:val="0"/>
          <w:i w:val="0"/>
          <w:sz w:val="22"/>
        </w:rPr>
        <w:t>5.  Design tests that distinguish an arbitrary relation, a partial function and a total function.</w:t>
      </w:r>
    </w:p>
    <w:p>
      <w:pPr>
        <w:spacing w:after="60" w:line="269" w:lineRule="auto"/>
        <w:ind w:left="360" w:hanging="360"/>
      </w:pPr>
      <w:r>
        <w:rPr>
          <w:rFonts w:ascii="Aptos" w:hAnsi="Aptos"/>
          <w:b w:val="0"/>
          <w:i w:val="0"/>
          <w:sz w:val="22"/>
        </w:rPr>
        <w:t>6.  Build a programme-eligibility engine with inclusion and exclusion sets, explicit missing-data treatment and reasons for every decision.</w:t>
      </w:r>
    </w:p>
    <w:p>
      <w:pPr>
        <w:spacing w:after="60" w:line="269" w:lineRule="auto"/>
        <w:ind w:left="360" w:hanging="360"/>
      </w:pPr>
      <w:r>
        <w:rPr>
          <w:rFonts w:ascii="Aptos" w:hAnsi="Aptos"/>
          <w:b w:val="0"/>
          <w:i w:val="0"/>
          <w:sz w:val="22"/>
        </w:rPr>
        <w:t>7.  Run M1_N02 from a fresh Google Colab runtime using only the controlled PU-B01-C02 release ZIP; reproduce every assertion and save the environment manifest.</w:t>
      </w:r>
    </w:p>
    <w:p>
      <w:pPr>
        <w:pStyle w:val="Heading1"/>
        <w:keepNext/>
      </w:pPr>
      <w:r>
        <w:rPr>
          <w:rFonts w:ascii="Aptos" w:hAnsi="Aptos"/>
          <w:b/>
          <w:i w:val="0"/>
          <w:color w:val="0B2545"/>
          <w:sz w:val="32"/>
        </w:rPr>
        <w:t>10. Student assessment and instructor solutions</w:t>
      </w:r>
    </w:p>
    <w:tbl>
      <w:tblPr>
        <w:tblStyle w:val="TableGrid"/>
        <w:tblW w:type="auto" w:w="0"/>
        <w:jc w:val="left"/>
        <w:tblLayout w:type="fixed"/>
        <w:tblLook w:firstColumn="1" w:firstRow="1" w:lastColumn="0" w:lastRow="0" w:noHBand="0" w:noVBand="1" w:val="04A0"/>
      </w:tblPr>
      <w:tblGrid>
        <w:gridCol w:w="4853"/>
        <w:gridCol w:w="4853"/>
      </w:tblGrid>
      <w:tr>
        <w:trPr>
          <w:tblHeader/>
        </w:trPr>
        <w:tc>
          <w:tcPr>
            <w:tcW w:type="dxa" w:w="4300"/>
            <w:shd w:fill="0B2545"/>
            <w:vAlign w:val="center"/>
          </w:tcPr>
          <w:p>
            <w:pPr>
              <w:spacing w:after="0"/>
            </w:pPr>
            <w:r>
              <w:rPr>
                <w:rFonts w:ascii="Aptos" w:hAnsi="Aptos"/>
                <w:b/>
                <w:i w:val="0"/>
                <w:color w:val="FFFFFF"/>
                <w:sz w:val="20"/>
              </w:rPr>
              <w:t>Assessment question</w:t>
            </w:r>
          </w:p>
        </w:tc>
        <w:tc>
          <w:tcPr>
            <w:tcW w:type="dxa" w:w="5060"/>
            <w:shd w:fill="0B2545"/>
            <w:vAlign w:val="center"/>
          </w:tcPr>
          <w:p>
            <w:pPr>
              <w:spacing w:after="0"/>
            </w:pPr>
            <w:r>
              <w:rPr>
                <w:rFonts w:ascii="Aptos" w:hAnsi="Aptos"/>
                <w:b/>
                <w:i w:val="0"/>
                <w:color w:val="FFFFFF"/>
                <w:sz w:val="20"/>
              </w:rPr>
              <w:t>Controlled answer</w:t>
            </w:r>
          </w:p>
        </w:tc>
      </w:tr>
      <w:tr>
        <w:tc>
          <w:tcPr>
            <w:tcW w:type="dxa" w:w="4300"/>
            <w:vAlign w:val="center"/>
          </w:tcPr>
          <w:p>
            <w:pPr>
              <w:spacing w:after="0"/>
            </w:pPr>
            <w:r>
              <w:rPr>
                <w:rFonts w:ascii="Aptos" w:hAnsi="Aptos"/>
                <w:b w:val="0"/>
                <w:i w:val="0"/>
                <w:sz w:val="19"/>
              </w:rPr>
              <w:t>State both De Morgan laws for sets.</w:t>
            </w:r>
          </w:p>
        </w:tc>
        <w:tc>
          <w:tcPr>
            <w:tcW w:type="dxa" w:w="5060"/>
            <w:vAlign w:val="center"/>
          </w:tcPr>
          <w:p>
            <w:pPr>
              <w:spacing w:after="0"/>
            </w:pPr>
            <w:r>
              <w:rPr>
                <w:rFonts w:ascii="Aptos" w:hAnsi="Aptos"/>
                <w:b w:val="0"/>
                <w:i w:val="0"/>
                <w:sz w:val="19"/>
              </w:rPr>
              <w:t>(A∪B)ᶜ=Aᶜ∩Bᶜ and (A∩B)ᶜ=Aᶜ∪Bᶜ, relative to U.</w:t>
            </w:r>
          </w:p>
        </w:tc>
      </w:tr>
      <w:tr>
        <w:tc>
          <w:tcPr>
            <w:tcW w:type="dxa" w:w="4300"/>
            <w:vAlign w:val="center"/>
          </w:tcPr>
          <w:p>
            <w:pPr>
              <w:spacing w:after="0"/>
            </w:pPr>
            <w:r>
              <w:rPr>
                <w:rFonts w:ascii="Aptos" w:hAnsi="Aptos"/>
                <w:b w:val="0"/>
                <w:i w:val="0"/>
                <w:sz w:val="19"/>
              </w:rPr>
              <w:t>When does R⊆A×B define a total function?</w:t>
            </w:r>
          </w:p>
        </w:tc>
        <w:tc>
          <w:tcPr>
            <w:tcW w:type="dxa" w:w="5060"/>
            <w:vAlign w:val="center"/>
          </w:tcPr>
          <w:p>
            <w:pPr>
              <w:spacing w:after="0"/>
            </w:pPr>
            <w:r>
              <w:rPr>
                <w:rFonts w:ascii="Aptos" w:hAnsi="Aptos"/>
                <w:b w:val="0"/>
                <w:i w:val="0"/>
                <w:sz w:val="19"/>
              </w:rPr>
              <w:t>Every a∈A is paired with exactly one b∈B.</w:t>
            </w:r>
          </w:p>
        </w:tc>
      </w:tr>
      <w:tr>
        <w:tc>
          <w:tcPr>
            <w:tcW w:type="dxa" w:w="4300"/>
            <w:vAlign w:val="center"/>
          </w:tcPr>
          <w:p>
            <w:pPr>
              <w:spacing w:after="0"/>
            </w:pPr>
            <w:r>
              <w:rPr>
                <w:rFonts w:ascii="Aptos" w:hAnsi="Aptos"/>
                <w:b w:val="0"/>
                <w:i w:val="0"/>
                <w:sz w:val="19"/>
              </w:rPr>
              <w:t>Give an invalid implication pattern.</w:t>
            </w:r>
          </w:p>
        </w:tc>
        <w:tc>
          <w:tcPr>
            <w:tcW w:type="dxa" w:w="5060"/>
            <w:vAlign w:val="center"/>
          </w:tcPr>
          <w:p>
            <w:pPr>
              <w:spacing w:after="0"/>
            </w:pPr>
            <w:r>
              <w:rPr>
                <w:rFonts w:ascii="Aptos" w:hAnsi="Aptos"/>
                <w:b w:val="0"/>
                <w:i w:val="0"/>
                <w:sz w:val="19"/>
              </w:rPr>
              <w:t>Affirming the consequent: P→Q and Q do not entail P.</w:t>
            </w:r>
          </w:p>
        </w:tc>
      </w:tr>
      <w:tr>
        <w:tc>
          <w:tcPr>
            <w:tcW w:type="dxa" w:w="4300"/>
            <w:vAlign w:val="center"/>
          </w:tcPr>
          <w:p>
            <w:pPr>
              <w:spacing w:after="0"/>
            </w:pPr>
            <w:r>
              <w:rPr>
                <w:rFonts w:ascii="Aptos" w:hAnsi="Aptos"/>
                <w:b w:val="0"/>
                <w:i w:val="0"/>
                <w:sz w:val="19"/>
              </w:rPr>
              <w:t>Distinguish codomain from range.</w:t>
            </w:r>
          </w:p>
        </w:tc>
        <w:tc>
          <w:tcPr>
            <w:tcW w:type="dxa" w:w="5060"/>
            <w:vAlign w:val="center"/>
          </w:tcPr>
          <w:p>
            <w:pPr>
              <w:spacing w:after="0"/>
            </w:pPr>
            <w:r>
              <w:rPr>
                <w:rFonts w:ascii="Aptos" w:hAnsi="Aptos"/>
                <w:b w:val="0"/>
                <w:i w:val="0"/>
                <w:sz w:val="19"/>
              </w:rPr>
              <w:t>The codomain is the declared destination set; the range is the subset actually attained.</w:t>
            </w:r>
          </w:p>
        </w:tc>
      </w:tr>
      <w:tr>
        <w:tc>
          <w:tcPr>
            <w:tcW w:type="dxa" w:w="4300"/>
            <w:vAlign w:val="center"/>
          </w:tcPr>
          <w:p>
            <w:pPr>
              <w:spacing w:after="0"/>
            </w:pPr>
            <w:r>
              <w:rPr>
                <w:rFonts w:ascii="Aptos" w:hAnsi="Aptos"/>
                <w:b w:val="0"/>
                <w:i w:val="0"/>
                <w:sz w:val="19"/>
              </w:rPr>
              <w:t>Why do types and domains matter in AI pipelines?</w:t>
            </w:r>
          </w:p>
        </w:tc>
        <w:tc>
          <w:tcPr>
            <w:tcW w:type="dxa" w:w="5060"/>
            <w:vAlign w:val="center"/>
          </w:tcPr>
          <w:p>
            <w:pPr>
              <w:spacing w:after="0"/>
            </w:pPr>
            <w:r>
              <w:rPr>
                <w:rFonts w:ascii="Aptos" w:hAnsi="Aptos"/>
                <w:b w:val="0"/>
                <w:i w:val="0"/>
                <w:sz w:val="19"/>
              </w:rPr>
              <w:t>They make admissible inputs, outputs and operations explicit and prevent category errors.</w:t>
            </w:r>
          </w:p>
        </w:tc>
      </w:tr>
    </w:tbl>
    <w:p>
      <w:pPr>
        <w:spacing w:after="40"/>
      </w:pPr>
    </w:p>
    <w:p>
      <w:pPr>
        <w:spacing w:after="120" w:line="269" w:lineRule="auto"/>
      </w:pPr>
      <w:r>
        <w:rPr>
          <w:rFonts w:ascii="Aptos" w:hAnsi="Aptos"/>
          <w:b w:val="0"/>
          <w:i w:val="0"/>
          <w:sz w:val="22"/>
        </w:rPr>
        <w:t>Scoring guide: 4 = correct result with valid reasoning; 3 = substantially correct reasoning; 2 = partial structure; 1 = relevant attempt; 0 = no relevant evidence.</w:t>
      </w:r>
    </w:p>
    <w:p>
      <w:pPr>
        <w:pStyle w:val="Heading1"/>
        <w:keepNext/>
      </w:pPr>
      <w:r>
        <w:rPr>
          <w:rFonts w:ascii="Aptos" w:hAnsi="Aptos"/>
          <w:b/>
          <w:i w:val="0"/>
          <w:color w:val="0B2545"/>
          <w:sz w:val="32"/>
        </w:rPr>
        <w:t>11. Key insight and SRAI principle</w:t>
      </w:r>
    </w:p>
    <w:p>
      <w:pPr>
        <w:spacing w:after="120" w:line="269" w:lineRule="auto"/>
      </w:pPr>
      <w:r>
        <w:rPr>
          <w:rFonts w:ascii="Aptos" w:hAnsi="Aptos"/>
          <w:b w:val="0"/>
          <w:i w:val="0"/>
          <w:sz w:val="22"/>
        </w:rPr>
        <w:t>Sets determine what belongs. Logic determines truth conditions. Relations determine what is connected. Functions determine how declared inputs map to outputs. Together they form the formal language of data filters, databases, knowledge graphs, algorithms and transparent decision systems.</w:t>
      </w:r>
    </w:p>
    <w:p>
      <w:pPr>
        <w:spacing w:before="100" w:after="140"/>
        <w:jc w:val="center"/>
      </w:pPr>
      <w:r>
        <w:rPr>
          <w:rFonts w:ascii="Cambria Math" w:hAnsi="Cambria Math"/>
          <w:b w:val="0"/>
          <w:i/>
          <w:color w:val="0B2545"/>
          <w:sz w:val="23"/>
        </w:rPr>
        <w:t>SRAI Principle No. 2: A transparent intelligent system begins with an explicit universe, explicit relations, and testable logical rules.</w:t>
      </w:r>
    </w:p>
    <w:p>
      <w:pPr>
        <w:pStyle w:val="Heading1"/>
        <w:keepNext/>
      </w:pPr>
      <w:r>
        <w:rPr>
          <w:rFonts w:ascii="Aptos" w:hAnsi="Aptos"/>
          <w:b/>
          <w:i w:val="0"/>
          <w:color w:val="0B2545"/>
          <w:sz w:val="32"/>
        </w:rPr>
        <w:t>12. Looking ahead</w:t>
      </w:r>
    </w:p>
    <w:p>
      <w:pPr>
        <w:spacing w:after="120" w:line="269" w:lineRule="auto"/>
      </w:pPr>
      <w:r>
        <w:rPr>
          <w:rFonts w:ascii="Aptos" w:hAnsi="Aptos"/>
          <w:b w:val="0"/>
          <w:i w:val="0"/>
          <w:sz w:val="22"/>
        </w:rPr>
        <w:t>Chapter 3 turns from membership and logic to geometry. Vectors represent observations, model parameters, gradients and decision states as ordered quantities that can be compared, projected and transformed.</w:t>
      </w:r>
    </w:p>
    <w:p>
      <w:pPr>
        <w:pStyle w:val="Heading1"/>
        <w:keepNext/>
      </w:pPr>
      <w:r>
        <w:rPr>
          <w:rFonts w:ascii="Aptos" w:hAnsi="Aptos"/>
          <w:b/>
          <w:i w:val="0"/>
          <w:color w:val="0B2545"/>
          <w:sz w:val="32"/>
        </w:rPr>
        <w:t>13. Verified references</w:t>
      </w:r>
    </w:p>
    <w:p>
      <w:pPr>
        <w:pStyle w:val="ListBullet"/>
        <w:spacing w:after="60" w:line="269" w:lineRule="auto"/>
      </w:pPr>
      <w:r>
        <w:rPr>
          <w:rFonts w:ascii="Aptos" w:hAnsi="Aptos"/>
          <w:b w:val="0"/>
          <w:i w:val="0"/>
          <w:sz w:val="22"/>
        </w:rPr>
        <w:t>OpenStax (2023). Contemporary Mathematics, §§1.1, 1.4–1.5: basic set concepts and set operations. https://openstax.org/books/contemporary-mathematics/pages/1-introduction</w:t>
      </w:r>
    </w:p>
    <w:p>
      <w:pPr>
        <w:pStyle w:val="ListBullet"/>
        <w:spacing w:after="60" w:line="269" w:lineRule="auto"/>
      </w:pPr>
      <w:r>
        <w:rPr>
          <w:rFonts w:ascii="Aptos" w:hAnsi="Aptos"/>
          <w:b w:val="0"/>
          <w:i w:val="0"/>
          <w:sz w:val="22"/>
        </w:rPr>
        <w:t>Python Software Foundation. Python 3 documentation, §5.4 Sets: union, intersection, difference and symmetric difference. https://docs.python.org/3/tutorial/datastructures.html#sets</w:t>
      </w:r>
    </w:p>
    <w:p>
      <w:pPr>
        <w:pStyle w:val="ListBullet"/>
        <w:spacing w:after="60" w:line="269" w:lineRule="auto"/>
      </w:pPr>
      <w:r>
        <w:rPr>
          <w:rFonts w:ascii="Aptos" w:hAnsi="Aptos"/>
          <w:b w:val="0"/>
          <w:i w:val="0"/>
          <w:sz w:val="22"/>
        </w:rPr>
        <w:t>PostgreSQL Global Development Group. PostgreSQL SELECT and table-expression documentation: Boolean WHERE conditions and row filtering. https://www.postgresql.org/docs/current/sql-select.html</w:t>
      </w:r>
    </w:p>
    <w:p>
      <w:pPr>
        <w:pStyle w:val="ListBullet"/>
        <w:spacing w:after="60" w:line="269" w:lineRule="auto"/>
      </w:pPr>
      <w:r>
        <w:rPr>
          <w:rFonts w:ascii="Aptos" w:hAnsi="Aptos"/>
          <w:b w:val="0"/>
          <w:i w:val="0"/>
          <w:sz w:val="22"/>
        </w:rPr>
        <w:t>W3C (2012). OWL 2 Web Ontology Language Primer, Second Edition: individuals, classes and relations as properties. https://www.w3.org/TR/owl2-primer/</w:t>
      </w:r>
    </w:p>
    <w:p>
      <w:pPr>
        <w:pStyle w:val="ListBullet"/>
        <w:spacing w:after="60" w:line="269" w:lineRule="auto"/>
      </w:pPr>
      <w:r>
        <w:rPr>
          <w:rFonts w:ascii="Aptos" w:hAnsi="Aptos"/>
          <w:b w:val="0"/>
          <w:i w:val="0"/>
          <w:sz w:val="22"/>
        </w:rPr>
        <w:t>National Academies of Sciences, Engineering, and Medicine (2019). Reproducibility and Replicability in Science. https://doi.org/10.17226/25303</w:t>
      </w:r>
    </w:p>
    <w:p>
      <w:pPr>
        <w:pStyle w:val="Heading1"/>
        <w:keepNext/>
      </w:pPr>
      <w:r>
        <w:rPr>
          <w:rFonts w:ascii="Aptos" w:hAnsi="Aptos"/>
          <w:b/>
          <w:i w:val="0"/>
          <w:color w:val="0B2545"/>
          <w:sz w:val="32"/>
        </w:rPr>
        <w:t>14. Release gate</w:t>
      </w:r>
    </w:p>
    <w:p>
      <w:pPr>
        <w:pStyle w:val="ListBullet"/>
        <w:spacing w:after="60" w:line="269" w:lineRule="auto"/>
      </w:pPr>
      <w:r>
        <w:rPr>
          <w:rFonts w:ascii="Aptos" w:hAnsi="Aptos"/>
          <w:b w:val="0"/>
          <w:i w:val="0"/>
          <w:sz w:val="22"/>
        </w:rPr>
        <w:t>Owner substantive review completed.</w:t>
      </w:r>
    </w:p>
    <w:p>
      <w:pPr>
        <w:pStyle w:val="ListBullet"/>
        <w:spacing w:after="60" w:line="269" w:lineRule="auto"/>
      </w:pPr>
      <w:r>
        <w:rPr>
          <w:rFonts w:ascii="Aptos" w:hAnsi="Aptos"/>
          <w:b w:val="0"/>
          <w:i w:val="0"/>
          <w:sz w:val="22"/>
        </w:rPr>
        <w:t>Mathematical definitions checked against the declared domain and codomain.</w:t>
      </w:r>
    </w:p>
    <w:p>
      <w:pPr>
        <w:pStyle w:val="ListBullet"/>
        <w:spacing w:after="60" w:line="269" w:lineRule="auto"/>
      </w:pPr>
      <w:r>
        <w:rPr>
          <w:rFonts w:ascii="Aptos" w:hAnsi="Aptos"/>
          <w:b w:val="0"/>
          <w:i w:val="0"/>
          <w:sz w:val="22"/>
        </w:rPr>
        <w:t>M1_N02 executed locally and from a clean Google Colab runtime.</w:t>
      </w:r>
    </w:p>
    <w:p>
      <w:pPr>
        <w:pStyle w:val="ListBullet"/>
        <w:spacing w:after="60" w:line="269" w:lineRule="auto"/>
      </w:pPr>
      <w:r>
        <w:rPr>
          <w:rFonts w:ascii="Aptos" w:hAnsi="Aptos"/>
          <w:b w:val="0"/>
          <w:i w:val="0"/>
          <w:sz w:val="22"/>
        </w:rPr>
        <w:t>Complete solutions and notebook outputs included.</w:t>
      </w:r>
    </w:p>
    <w:p>
      <w:pPr>
        <w:pStyle w:val="ListBullet"/>
        <w:spacing w:after="60" w:line="269" w:lineRule="auto"/>
      </w:pPr>
      <w:r>
        <w:rPr>
          <w:rFonts w:ascii="Aptos" w:hAnsi="Aptos"/>
          <w:b w:val="0"/>
          <w:i w:val="0"/>
          <w:sz w:val="22"/>
        </w:rPr>
        <w:t>Website, YouTube, GitHub and LinkedIn assets derived only from this controlled manuscript and validated notebook.</w:t>
      </w:r>
    </w:p>
    <w:p>
      <w:pPr>
        <w:pStyle w:val="ListBullet"/>
        <w:spacing w:after="60" w:line="269" w:lineRule="auto"/>
      </w:pPr>
      <w:r>
        <w:rPr>
          <w:rFonts w:ascii="Aptos" w:hAnsi="Aptos"/>
          <w:b w:val="0"/>
          <w:i w:val="0"/>
          <w:sz w:val="22"/>
        </w:rPr>
        <w:t>Version inventory, checksums and release record generated before publication.</w:t>
      </w:r>
    </w:p>
    <w:sectPr w:rsidR="00FC693F" w:rsidRPr="0006063C" w:rsidSect="00034616">
      <w:headerReference w:type="default" r:id="rId9"/>
      <w:footerReference w:type="default" r:id="rId10"/>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86069"/>
        <w:sz w:val="16"/>
      </w:rPr>
      <w:t>PU-B01-C02 | Audited Controlled Edition v1.0 | Mbaye Kebe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86069"/>
        <w:sz w:val="17"/>
      </w:rPr>
      <w:t>SRAI | Book 1 — Mathematical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8B9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PU-B01-C02 — Sets, Logic, Relations and Functions</dc:title>
  <dc:subject>SRAI Book 1, Lesson 2 controlled manuscript</dc:subject>
  <dc:creator>Mbaye Kebe</dc:creator>
  <cp:keywords>SRAI, sets, logic, relations, functions, reproducible computation</cp:keywords>
  <dc:description>generated by python-docx</dc:description>
  <cp:lastModifiedBy/>
  <cp:revision>1</cp:revision>
  <dcterms:created xsi:type="dcterms:W3CDTF">2013-12-23T23:15:00Z</dcterms:created>
  <dcterms:modified xsi:type="dcterms:W3CDTF">2013-12-23T23:15:00Z</dcterms:modified>
  <cp:category/>
</cp:coreProperties>
</file>