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cde8706a02a69fc4342ca97845d8026232ea599"/>
    <w:p>
      <w:pPr>
        <w:pStyle w:val="Heading1"/>
      </w:pPr>
      <w:r>
        <w:t xml:space="preserve">When the dominant pattern is not the best decision</w:t>
      </w:r>
    </w:p>
    <w:p>
      <w:pPr>
        <w:pStyle w:val="FirstParagraph"/>
      </w:pPr>
      <w:r>
        <w:rPr>
          <w:bCs/>
          <w:b/>
        </w:rPr>
        <w:t xml:space="preserve">Lesson 6 Executive Brief: Eigenvalues, Eigenvectors, and Spectral Intuition</w:t>
      </w:r>
    </w:p>
    <w:p>
      <w:pPr>
        <w:pStyle w:val="BodyText"/>
      </w:pPr>
      <w:r>
        <w:t xml:space="preserve">Mbaye Kebe | SRAI - Statistics, Reasoning and Artificial Intelligence</w:t>
      </w:r>
    </w:p>
    <w:p>
      <w:pPr>
        <w:pStyle w:val="BodyText"/>
      </w:pPr>
      <w:r>
        <w:t xml:space="preserve">Book 1: Mathematical Foundations | PU-B01-C06 | v0.1.0 | Review candidate</w:t>
      </w:r>
    </w:p>
    <w:bookmarkStart w:id="20" w:name="the-decision-makers-takeaway"/>
    <w:p>
      <w:pPr>
        <w:pStyle w:val="Heading2"/>
      </w:pPr>
      <w:r>
        <w:t xml:space="preserve">The decision-maker’s takeaway</w:t>
      </w:r>
    </w:p>
    <w:p>
      <w:pPr>
        <w:pStyle w:val="FirstParagraph"/>
      </w:pPr>
      <w:r>
        <w:t xml:space="preserve">An analytical model can identify a pattern that amplifies, persists or dominates its calculations. That finding does not automatically identify the most important social outcome, the best investment or the right allocation of public resources. The model’s mathematical behavior and the institution’s decision problem must be assessed separately.</w:t>
      </w:r>
    </w:p>
    <w:p>
      <w:pPr>
        <w:pStyle w:val="BodyText"/>
      </w:pPr>
      <w:r>
        <w:t xml:space="preserve">Lesson 6 explains eigenvalues and eigenvectors: the quantities behind many methods for studying interacting systems, reducing data dimensions and identifying prominent network patterns. The practical value is not memorizing the formulas. It is knowing what to ask when a technical result is presented as a recommendation.</w:t>
      </w:r>
    </w:p>
    <w:bookmarkEnd w:id="20"/>
    <w:bookmarkStart w:id="21" w:name="what-these-quantities-tell-us"/>
    <w:p>
      <w:pPr>
        <w:pStyle w:val="Heading2"/>
      </w:pPr>
      <w:r>
        <w:t xml:space="preserve">What these quantities tell us</w:t>
      </w:r>
    </w:p>
    <w:p>
      <w:pPr>
        <w:pStyle w:val="FirstParagraph"/>
      </w:pPr>
      <w:r>
        <w:t xml:space="preserve">An eigenvector identifies a nonzero direction that a linear transformation maps into a multiple of itself. Its eigenvalue supplies the multiplier. A positive multiplier preserves direction, a negative one reverses it, and zero collapses that direction to zero.</w:t>
      </w:r>
    </w:p>
    <w:p>
      <w:pPr>
        <w:pStyle w:val="BodyText"/>
      </w:pPr>
      <w:r>
        <w:t xml:space="preserve">For repeated steps in a fixed, autonomous linear model, a multiplier greater than one in magnitude signals growth along that mode. Below one, the mode decays. The largest eigenvalue magnitude is called the spectral radius. A dominant mode concerns the model’s repeated transformation, not necessarily its largest singular value, its most beneficial intervention or its highest political priority.</w:t>
      </w:r>
    </w:p>
    <w:bookmarkEnd w:id="21"/>
    <w:bookmarkStart w:id="22" w:name="X7e6addd8697695a538523ef55e299f2a3a2f1c4"/>
    <w:p>
      <w:pPr>
        <w:pStyle w:val="Heading2"/>
      </w:pPr>
      <w:r>
        <w:t xml:space="preserve">Three questions before accepting a headline result</w:t>
      </w:r>
    </w:p>
    <w:p>
      <w:pPr>
        <w:pStyle w:val="FirstParagraph"/>
      </w:pPr>
      <w:r>
        <w:rPr>
          <w:bCs/>
          <w:b/>
        </w:rPr>
        <w:t xml:space="preserve">What is being represented?</w:t>
      </w:r>
      <w:r>
        <w:t xml:space="preserve"> </w:t>
      </w:r>
      <w:r>
        <w:t xml:space="preserve">Ask what each variable measures, what the coefficients mean, which way influence runs, and what one model step represents. A plausible diagram is not evidence that the coefficients describe real behavior.</w:t>
      </w:r>
    </w:p>
    <w:p>
      <w:pPr>
        <w:pStyle w:val="BodyText"/>
      </w:pPr>
      <w:r>
        <w:rPr>
          <w:bCs/>
          <w:b/>
        </w:rPr>
        <w:t xml:space="preserve">What has actually been checked?</w:t>
      </w:r>
      <w:r>
        <w:t xml:space="preserve"> </w:t>
      </w:r>
      <w:r>
        <w:t xml:space="preserve">A small numerical residual means that the reported values approximately satisfy an equation. It does not establish that the model is valid, that the eigenpair is dominant or that a proposed intervention will work.</w:t>
      </w:r>
    </w:p>
    <w:p>
      <w:pPr>
        <w:pStyle w:val="BodyText"/>
      </w:pPr>
      <w:r>
        <w:rPr>
          <w:bCs/>
          <w:b/>
        </w:rPr>
        <w:t xml:space="preserve">Which decision follows, and why?</w:t>
      </w:r>
      <w:r>
        <w:t xml:space="preserve"> </w:t>
      </w:r>
      <w:r>
        <w:t xml:space="preserve">Require an explicit objective, feasible options, costs, constraints and relevant uncertainty. If these are absent, treat the result as exploratory analysis rather than an allocation rule.</w:t>
      </w:r>
    </w:p>
    <w:bookmarkEnd w:id="22"/>
    <w:bookmarkEnd w:id="23"/>
    <w:bookmarkStart w:id="23" w:name="X3ca07b928ee52d7b9b982161aeaa60e535354a8"/>
    <w:p>
      <w:pPr>
        <w:pStyle w:val="Heading1"/>
      </w:pPr>
      <w:r>
        <w:t xml:space="preserve">A worked example: four interacting sectors</w:t>
      </w:r>
    </w:p>
    <w:bookmarkStart w:id="20" w:name="what-the-classroom-model-shows"/>
    <w:p>
      <w:pPr>
        <w:pStyle w:val="Heading2"/>
      </w:pPr>
      <w:r>
        <w:t xml:space="preserve">What the classroom model shows</w:t>
      </w:r>
    </w:p>
    <w:p>
      <w:pPr>
        <w:pStyle w:val="FirstParagraph"/>
      </w:pPr>
      <w:r>
        <w:t xml:space="preserve">The lesson uses a synthetic matrix linking Agriculture, Health, Energy and Transport. Its coefficients were chosen for teaching; they are not estimates from a national statistical system. A positive dominant eigenvector, normalized to sum to one, has approximate components of 20.02%, 23.28%, 28.26% and 28.43%, respectively.</w:t>
      </w:r>
    </w:p>
    <w:p>
      <w:pPr>
        <w:pStyle w:val="BodyText"/>
      </w:pPr>
      <w:r>
        <w:t xml:space="preserve">Its dominant eigenvalue is approximately 1.31148. Along that model direction, each hypothetical step multiplies the state by about 1.31148. This is an amplifying pattern, not convergence to a finite steady level. It is not an annual growth forecast because neither an empirical calibration nor an annual time unit has been established.</w:t>
      </w:r>
    </w:p>
    <w:bookmarkEnd w:id="20"/>
    <w:bookmarkStart w:id="21" w:name="Xeab89b381f479cc8d1afd2ca298aa8149531116"/>
    <w:p>
      <w:pPr>
        <w:pStyle w:val="Heading2"/>
      </w:pPr>
      <w:r>
        <w:t xml:space="preserve">The tempting but unsupported recommendation</w:t>
      </w:r>
    </w:p>
    <w:p>
      <w:pPr>
        <w:pStyle w:val="FirstParagraph"/>
      </w:pPr>
      <w:r>
        <w:t xml:space="preserve">“</w:t>
      </w:r>
      <w:r>
        <w:t xml:space="preserve">Transport and Energy have the largest weights, so give them those percentages of the budget.</w:t>
      </w:r>
      <w:r>
        <w:t xml:space="preserve">”</w:t>
      </w:r>
    </w:p>
    <w:p>
      <w:pPr>
        <w:pStyle w:val="BodyText"/>
      </w:pPr>
      <w:r>
        <w:t xml:space="preserve">That recommendation does not follow. Normalizing the components makes a direction easier to compare; it does not turn them into expenditure shares. The matrix is not a stochastic transition matrix: neither its row sums nor its column sums are all one. More importantly, no intervention model, benefit function, cost structure or budget constraint has been supplied.</w:t>
      </w:r>
    </w:p>
    <w:p>
      <w:pPr>
        <w:pStyle w:val="BodyText"/>
      </w:pPr>
      <w:r>
        <w:t xml:space="preserve">The percentages describe a pattern inside a specified mathematical model. They do not measure marginal returns on expenditure. A sector could have a large model component but a costly, infeasible or inequitable intervention. Conversely, a smaller component does not establish that a public service deserves less funding.</w:t>
      </w:r>
    </w:p>
    <w:bookmarkEnd w:id="21"/>
    <w:bookmarkStart w:id="22" w:name="what-an-institution-should-request-next"/>
    <w:p>
      <w:pPr>
        <w:pStyle w:val="Heading2"/>
      </w:pPr>
      <w:r>
        <w:t xml:space="preserve">What an institution should request next</w:t>
      </w:r>
    </w:p>
    <w:p>
      <w:pPr>
        <w:pStyle w:val="FirstParagraph"/>
      </w:pPr>
      <w:r>
        <w:rPr>
          <w:bCs/>
          <w:b/>
        </w:rPr>
        <w:t xml:space="preserve">Validate the inputs.</w:t>
      </w:r>
      <w:r>
        <w:t xml:space="preserve"> </w:t>
      </w:r>
      <w:r>
        <w:t xml:space="preserve">Establish data provenance, measurement definitions, coverage, time period and a defensible method for estimating the coefficients. Check whether the linear approximation is suitable for the proposed use.</w:t>
      </w:r>
    </w:p>
    <w:p>
      <w:pPr>
        <w:pStyle w:val="BodyText"/>
      </w:pPr>
      <w:r>
        <w:rPr>
          <w:bCs/>
          <w:b/>
        </w:rPr>
        <w:t xml:space="preserve">Test sensitivity.</w:t>
      </w:r>
      <w:r>
        <w:t xml:space="preserve"> </w:t>
      </w:r>
      <w:r>
        <w:t xml:space="preserve">Examine how plausible changes in coefficients and initial conditions alter the result. Inspect short-term behavior as well as long-run tendencies. Report uncertainty and model limitations beside the headline numbers.</w:t>
      </w:r>
    </w:p>
    <w:p>
      <w:pPr>
        <w:pStyle w:val="BodyText"/>
      </w:pPr>
      <w:r>
        <w:rPr>
          <w:bCs/>
          <w:b/>
        </w:rPr>
        <w:t xml:space="preserve">Specify the decision.</w:t>
      </w:r>
      <w:r>
        <w:t xml:space="preserve"> </w:t>
      </w:r>
      <w:r>
        <w:t xml:space="preserve">Define the outcomes to improve, competing objectives, resource limits and distributional obligations. Assess interventions using appropriate evidence rather than treating an eigenvector as an optimizer.</w:t>
      </w:r>
    </w:p>
    <w:p>
      <w:pPr>
        <w:pStyle w:val="BodyText"/>
      </w:pPr>
      <w:r>
        <w:rPr>
          <w:bCs/>
          <w:b/>
        </w:rPr>
        <w:t xml:space="preserve">Communicate the boundary.</w:t>
      </w:r>
      <w:r>
        <w:t xml:space="preserve"> </w:t>
      </w:r>
      <w:r>
        <w:t xml:space="preserve">A defensible statement is:</w:t>
      </w:r>
      <w:r>
        <w:t xml:space="preserve"> </w:t>
      </w:r>
      <w:r>
        <w:t xml:space="preserve">“</w:t>
      </w:r>
      <w:r>
        <w:t xml:space="preserve">The specified illustrative model contains an amplifying mode. Its numerical calculation has been checked. Empirical validity and spending implications have not been established.</w:t>
      </w:r>
      <w:r>
        <w:t xml:space="preserve">”</w:t>
      </w:r>
    </w:p>
    <w:bookmarkEnd w:id="22"/>
    <w:bookmarkEnd w:id="23"/>
    <w:bookmarkStart w:id="24" w:name="X975c5cacb1e2e17a581a7711bad9f7b7011c84f"/>
    <w:p>
      <w:pPr>
        <w:pStyle w:val="Heading1"/>
      </w:pPr>
      <w:r>
        <w:t xml:space="preserve">Implications for official statistics and analytical governance</w:t>
      </w:r>
    </w:p>
    <w:bookmarkStart w:id="20" w:name="X2f4242254ec4569d6459edca2220d4950a377ca"/>
    <w:p>
      <w:pPr>
        <w:pStyle w:val="Heading2"/>
      </w:pPr>
      <w:r>
        <w:t xml:space="preserve">High explained variance is not high predictive accuracy</w:t>
      </w:r>
    </w:p>
    <w:p>
      <w:pPr>
        <w:pStyle w:val="FirstParagraph"/>
      </w:pPr>
      <w:r>
        <w:t xml:space="preserve">Principal component analysis (PCA) uses covariance eigenvectors to find directions of variation. In the lesson’s four-observation example, the first component retains about 99.06% of sample variance. This is an arithmetic result for those synthetic observations and their chosen measurement units.</w:t>
      </w:r>
    </w:p>
    <w:p>
      <w:pPr>
        <w:pStyle w:val="BodyText"/>
      </w:pPr>
      <w:r>
        <w:t xml:space="preserve">It does not establish representativeness, causation, fairness or out-of-sample performance. Rescaling a variable can change covariance PCA. Before relying on a reduced index or dashboard score, ask whether the data were centered or standardized, why those choices were made, and what important information may have been discarded. A low-variance feature may still matter for a policy objective.</w:t>
      </w:r>
    </w:p>
    <w:bookmarkEnd w:id="20"/>
    <w:bookmarkStart w:id="21" w:name="Xa548a815a80dd6fd74b58549ae49f724b0a8277"/>
    <w:p>
      <w:pPr>
        <w:pStyle w:val="Heading2"/>
      </w:pPr>
      <w:r>
        <w:t xml:space="preserve">Eventual stability can hide short-term damage</w:t>
      </w:r>
    </w:p>
    <w:p>
      <w:pPr>
        <w:pStyle w:val="FirstParagraph"/>
      </w:pPr>
      <w:r>
        <w:t xml:space="preserve">For a finite-dimensional, fixed, autonomous discrete-time linear system, a spectral radius below one guarantees eventual decay from every initial state. It does not guarantee monotone decline. The lesson gives a matrix with radius 0.8 whose trajectories can initially amplify substantially before decaying.</w:t>
      </w:r>
    </w:p>
    <w:p>
      <w:pPr>
        <w:pStyle w:val="BodyText"/>
      </w:pPr>
      <w:r>
        <w:t xml:space="preserve">Similarly, one decaying simulation does not prove that every starting condition is safe. An initial state can miss an unstable direction. Decision-makers should request time-horizon-specific stress tests and acceptable operating limits, not just a statement that the model is</w:t>
      </w:r>
      <w:r>
        <w:t xml:space="preserve"> </w:t>
      </w:r>
      <w:r>
        <w:t xml:space="preserve">“</w:t>
      </w:r>
      <w:r>
        <w:t xml:space="preserve">stable.</w:t>
      </w:r>
      <w:r>
        <w:t xml:space="preserve">”</w:t>
      </w:r>
      <w:r>
        <w:t xml:space="preserve"> </w:t>
      </w:r>
      <w:r>
        <w:t xml:space="preserve">Nonlinear, forced or time-varying systems need additional analysis.</w:t>
      </w:r>
    </w:p>
    <w:bookmarkEnd w:id="21"/>
    <w:bookmarkStart w:id="22" w:name="a-practical-release-gate"/>
    <w:p>
      <w:pPr>
        <w:pStyle w:val="Heading2"/>
      </w:pPr>
      <w:r>
        <w:t xml:space="preserve">A practical release gate</w:t>
      </w:r>
    </w:p>
    <w:p>
      <w:pPr>
        <w:pStyle w:val="FirstParagraph"/>
      </w:pPr>
      <w:r>
        <w:t xml:space="preserve">Before an analytical recommendation enters an executive paper, require a named analyst to supply the data and model specification, reproducible calculations, numerical checks, sensitivity findings and a plain-language account of limitations. Require a qualified reviewer to assess the methods and the interpretation. The decision owner should then identify the policy objective and explain why the evidence supports the proposed action.</w:t>
      </w:r>
    </w:p>
    <w:p>
      <w:pPr>
        <w:pStyle w:val="BodyText"/>
      </w:pPr>
      <w:r>
        <w:t xml:space="preserve">For SRAI, the chapter, exercises and executable notebook make the reasoning inspectable. Reproducibility helps reveal errors and supports review; it is not itself independent validation or permission to use an illustrative model operationally.</w:t>
      </w:r>
    </w:p>
    <w:bookmarkEnd w:id="22"/>
    <w:bookmarkStart w:id="23" w:name="bottom-line"/>
    <w:p>
      <w:pPr>
        <w:pStyle w:val="Heading2"/>
      </w:pPr>
      <w:r>
        <w:t xml:space="preserve">Bottom line</w:t>
      </w:r>
    </w:p>
    <w:p>
      <w:pPr>
        <w:pStyle w:val="FirstParagraph"/>
      </w:pPr>
      <w:r>
        <w:t xml:space="preserve">Use spectral analysis to understand a model’s structure. Do not ask it to supply objectives, causal evidence or institutional judgment that were never included in the model. A dominant mathematical direction is not automatically a desirable social direction.</w:t>
      </w:r>
    </w:p>
    <w:p>
      <w:pPr>
        <w:pStyle w:val="BodyText"/>
      </w:pPr>
      <w:r>
        <w:rPr>
          <w:bCs/>
          <w:b/>
        </w:rPr>
        <w:t xml:space="preserve">Companion resources:</w:t>
      </w:r>
      <w:r>
        <w:t xml:space="preserve"> </w:t>
      </w:r>
      <w:r>
        <w:t xml:space="preserve">SRAI Lesson 6,</w:t>
      </w:r>
      <w:r>
        <w:t xml:space="preserve"> </w:t>
      </w:r>
      <w:r>
        <w:rPr>
          <w:iCs/>
          <w:i/>
        </w:rPr>
        <w:t xml:space="preserve">Eigenvalues, Eigenvectors, and Spectral Intuition</w:t>
      </w:r>
      <w:r>
        <w:t xml:space="preserve">, approved chapter v0.1.0; matching notebook M1_N06 v0.1.0; and the Exercises and Solutions companion. Website: https://srai.mbayekebe.net/ . Lesson 6 publication is not asserted here. This new brief remains a review candidate; it does not alter the approved chapter or tested notebook.</w:t>
      </w:r>
    </w:p>
    <w:bookmarkEnd w:id="23"/>
    <w:bookmarkEnd w:id="24"/>
    <w:sectPr>
      <w:headerReference w:type="default" r:id="rId9"/>
      <w:footerReference w:type="default" r:id="rId10"/>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PU-B01-C06 | Executive Brief | v0.1.0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SRAI | BOOK 1: MATHEMATICAL FOUNDATIONS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8116">
    <w:nsid w:val="A998116"/>
    <w:multiLevelType w:val="multilevel"/>
    <w:lvl w:ilvl="0">
      <w:start w:val="16"/>
      <w:numFmt w:val="upperLetter"/>
      <w:lvlText w:val="%1."/>
      <w:lvlJc w:val="left"/>
      <w:pPr>
        <w:ind w:left="720" w:hanging="480"/>
      </w:pPr>
    </w:lvl>
    <w:lvl w:ilvl="1">
      <w:start w:val="16"/>
      <w:numFmt w:val="upperLetter"/>
      <w:lvlText w:val="%2."/>
      <w:lvlJc w:val="left"/>
      <w:pPr>
        <w:ind w:left="1440" w:hanging="480"/>
      </w:pPr>
    </w:lvl>
    <w:lvl w:ilvl="2">
      <w:start w:val="16"/>
      <w:numFmt w:val="upperLetter"/>
      <w:lvlText w:val="%3."/>
      <w:lvlJc w:val="left"/>
      <w:pPr>
        <w:ind w:left="2160" w:hanging="480"/>
      </w:pPr>
    </w:lvl>
    <w:lvl w:ilvl="3">
      <w:start w:val="16"/>
      <w:numFmt w:val="upperLetter"/>
      <w:lvlText w:val="%4."/>
      <w:lvlJc w:val="left"/>
      <w:pPr>
        <w:ind w:left="2880" w:hanging="480"/>
      </w:pPr>
    </w:lvl>
    <w:lvl w:ilvl="4">
      <w:start w:val="16"/>
      <w:numFmt w:val="upperLetter"/>
      <w:lvlText w:val="%5."/>
      <w:lvlJc w:val="left"/>
      <w:pPr>
        <w:ind w:left="3600" w:hanging="480"/>
      </w:pPr>
    </w:lvl>
    <w:lvl w:ilvl="5">
      <w:start w:val="16"/>
      <w:numFmt w:val="upperLetter"/>
      <w:lvlText w:val="%6."/>
      <w:lvlJc w:val="left"/>
      <w:pPr>
        <w:ind w:left="4320" w:hanging="480"/>
      </w:pPr>
    </w:lvl>
    <w:lvl w:ilvl="6">
      <w:start w:val="16"/>
      <w:numFmt w:val="upperLetter"/>
      <w:lvlText w:val="%7."/>
      <w:lvlJc w:val="left"/>
      <w:pPr>
        <w:ind w:left="5040" w:hanging="480"/>
      </w:pPr>
    </w:lvl>
    <w:lvl w:ilvl="7">
      <w:start w:val="16"/>
      <w:numFmt w:val="upperLetter"/>
      <w:lvlText w:val="%8."/>
      <w:lvlJc w:val="left"/>
      <w:pPr>
        <w:ind w:left="5760" w:hanging="480"/>
      </w:pPr>
    </w:lvl>
    <w:lvl w:ilvl="8">
      <w:start w:val="16"/>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8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3">
    <w:abstractNumId w:val="991"/>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1"/>
  </w:num>
  <w:num w:numId="10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1"/>
  </w:num>
  <w:num w:numId="107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1"/>
  </w:num>
  <w:num w:numId="11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1"/>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1"/>
  </w:num>
  <w:num w:numId="11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6">
    <w:abstractNumId w:val="991"/>
  </w:num>
  <w:num w:numId="11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1"/>
  </w:num>
  <w:num w:numId="11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1"/>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1"/>
  </w:num>
  <w:num w:numId="11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1"/>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1"/>
  </w:num>
  <w:num w:numId="11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1"/>
  </w:num>
  <w:num w:numId="11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1"/>
  </w:num>
  <w:num w:numId="11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3">
    <w:abstractNumId w:val="991"/>
  </w:num>
  <w:num w:numId="119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1"/>
  </w:num>
  <w:num w:numId="12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1"/>
  </w:num>
  <w:num w:numId="12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1"/>
  </w:num>
  <w:num w:numId="12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1"/>
  </w:num>
  <w:num w:numId="12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8">
    <w:abstractNumId w:val="991"/>
  </w:num>
  <w:num w:numId="12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0">
    <w:abstractNumId w:val="991"/>
  </w:num>
  <w:num w:numId="12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1"/>
  </w:num>
  <w:num w:numId="12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0">
    <w:abstractNumId w:val="991"/>
  </w:num>
  <w:num w:numId="12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2">
    <w:abstractNumId w:val="991"/>
  </w:num>
  <w:num w:numId="12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1"/>
  </w:num>
  <w:num w:numId="12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1"/>
  </w:num>
  <w:num w:numId="12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4">
    <w:abstractNumId w:val="991"/>
  </w:num>
  <w:num w:numId="12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2">
    <w:abstractNumId w:val="991"/>
  </w:num>
  <w:num w:numId="12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4">
    <w:abstractNumId w:val="991"/>
  </w:num>
  <w:num w:numId="12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6">
    <w:abstractNumId w:val="991"/>
  </w:num>
  <w:num w:numId="12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1"/>
  </w:num>
  <w:num w:numId="12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6">
    <w:abstractNumId w:val="991"/>
  </w:num>
  <w:num w:numId="12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8">
    <w:abstractNumId w:val="991"/>
  </w:num>
  <w:num w:numId="12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6">
    <w:abstractNumId w:val="991"/>
  </w:num>
  <w:num w:numId="12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8">
    <w:abstractNumId w:val="991"/>
  </w:num>
  <w:num w:numId="12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0">
    <w:abstractNumId w:val="991"/>
  </w:num>
  <w:num w:numId="12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1"/>
  </w:num>
  <w:num w:numId="12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0">
    <w:abstractNumId w:val="991"/>
  </w:num>
  <w:num w:numId="12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2">
    <w:abstractNumId w:val="991"/>
  </w:num>
  <w:num w:numId="12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1"/>
  </w:num>
  <w:num w:numId="13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3">
    <w:abstractNumId w:val="991"/>
  </w:num>
  <w:num w:numId="13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5">
    <w:abstractNumId w:val="991"/>
  </w:num>
  <w:num w:numId="13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3">
    <w:abstractNumId w:val="991"/>
  </w:num>
  <w:num w:numId="13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1"/>
  </w:num>
  <w:num w:numId="13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7">
    <w:abstractNumId w:val="991"/>
  </w:num>
  <w:num w:numId="13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5">
    <w:abstractNumId w:val="991"/>
  </w:num>
  <w:num w:numId="13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7">
    <w:abstractNumId w:val="991"/>
  </w:num>
  <w:num w:numId="13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9">
    <w:abstractNumId w:val="991"/>
  </w:num>
  <w:num w:numId="13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7">
    <w:abstractNumId w:val="991"/>
  </w:num>
  <w:num w:numId="13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9">
    <w:abstractNumId w:val="991"/>
  </w:num>
  <w:num w:numId="13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1">
    <w:abstractNumId w:val="991"/>
  </w:num>
  <w:num w:numId="13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9">
    <w:abstractNumId w:val="991"/>
  </w:num>
  <w:num w:numId="13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1">
    <w:abstractNumId w:val="991"/>
  </w:num>
  <w:num w:numId="13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3">
    <w:abstractNumId w:val="991"/>
  </w:num>
  <w:num w:numId="13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1">
    <w:abstractNumId w:val="991"/>
  </w:num>
  <w:num w:numId="13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3">
    <w:abstractNumId w:val="991"/>
  </w:num>
  <w:num w:numId="13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5">
    <w:abstractNumId w:val="991"/>
  </w:num>
  <w:num w:numId="136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4">
    <w:abstractNumId w:val="991"/>
  </w:num>
  <w:num w:numId="13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6">
    <w:abstractNumId w:val="991"/>
  </w:num>
  <w:num w:numId="13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8">
    <w:abstractNumId w:val="991"/>
  </w:num>
  <w:num w:numId="137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6">
    <w:abstractNumId w:val="991"/>
  </w:num>
  <w:num w:numId="13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8">
    <w:abstractNumId w:val="991"/>
  </w:num>
  <w:num w:numId="13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0">
    <w:abstractNumId w:val="991"/>
  </w:num>
  <w:num w:numId="13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9">
    <w:abstractNumId w:val="991"/>
  </w:num>
  <w:num w:numId="14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1">
    <w:abstractNumId w:val="991"/>
  </w:num>
  <w:num w:numId="14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3">
    <w:abstractNumId w:val="991"/>
  </w:num>
  <w:num w:numId="14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0">
    <w:abstractNumId w:val="991"/>
  </w:num>
  <w:num w:numId="14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2">
    <w:abstractNumId w:val="991"/>
  </w:num>
  <w:num w:numId="14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4">
    <w:abstractNumId w:val="991"/>
  </w:num>
  <w:num w:numId="14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6">
    <w:abstractNumId w:val="991"/>
  </w:num>
  <w:num w:numId="1417">
    <w:abstractNumId w:val="991"/>
  </w:num>
  <w:num w:numId="14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spacing w:after="140" w:line="259" w:lineRule="auto"/>
    </w:pPr>
    <w:rPr>
      <w:rFonts w:ascii="Calibri" w:hAnsi="Calibri"/>
      <w:sz w:val="21"/>
    </w:rPr>
  </w:style>
  <w:style w:styleId="BodyText" w:type="paragraph">
    <w:name w:val="Body Text"/>
    <w:basedOn w:val="Normal"/>
    <w:link w:val="BodyTextChar"/>
    <w:pPr>
      <w:keepNext w:val="0"/>
      <w:pageBreakBefore w:val="0"/>
      <w:spacing w:after="140" w:before="180" w:line="259" w:lineRule="auto"/>
    </w:pPr>
    <w:qFormat/>
    <w:rPr>
      <w:rFonts w:ascii="Calibri" w:hAnsi="Calibri"/>
      <w:sz w:val="21"/>
    </w:rPr>
  </w:style>
  <w:style w:customStyle="1" w:styleId="FirstParagraph" w:type="paragraph">
    <w:name w:val="First Paragraph"/>
    <w:basedOn w:val="BodyText"/>
    <w:next w:val="BodyText"/>
    <w:qFormat/>
    <w:pPr>
      <w:keepNext w:val="0"/>
      <w:pageBreakBefore w:val="0"/>
      <w:spacing w:line="259" w:lineRule="auto" w:after="140"/>
    </w:pPr>
    <w:rPr>
      <w:rFonts w:ascii="Calibri" w:hAnsi="Calibri"/>
      <w:sz w:val="21"/>
    </w:rPr>
  </w:style>
  <w:style w:customStyle="1" w:styleId="Compact" w:type="paragraph">
    <w:name w:val="Compact"/>
    <w:basedOn w:val="BodyText"/>
    <w:qFormat/>
    <w:pPr>
      <w:keepNext w:val="0"/>
      <w:pageBreakBefore w:val="0"/>
      <w:spacing w:after="140" w:before="36" w:line="269" w:lineRule="auto"/>
    </w:pPr>
    <w:rPr>
      <w:rFonts w:ascii="Calibri" w:hAnsi="Calibri"/>
      <w:sz w:val="22"/>
    </w:rPr>
  </w:style>
  <w:style w:styleId="Title" w:type="paragraph">
    <w:name w:val="Title"/>
    <w:basedOn w:val="Normal"/>
    <w:next w:val="BodyText"/>
    <w:qFormat/>
    <w:pPr>
      <w:keepNext/>
      <w:keepLines/>
      <w:pageBreakBefore w:val="0"/>
      <w:spacing w:after="140" w:before="280" w:line="269" w:lineRule="auto"/>
      <w:jc w:val="center"/>
    </w:pPr>
    <w:rPr>
      <w:rFonts w:asciiTheme="majorHAnsi" w:cstheme="majorBidi" w:eastAsiaTheme="majorEastAsia" w:hAnsiTheme="majorHAnsi" w:ascii="Calibri" w:hAnsi="Calibri"/>
      <w:b/>
      <w:bCs/>
      <w:color w:val="175D86"/>
      <w:sz w:val="56"/>
      <w:szCs w:val="36"/>
    </w:rPr>
  </w:style>
  <w:style w:styleId="Subtitle" w:type="paragraph">
    <w:name w:val="Subtitle"/>
    <w:basedOn w:val="Title"/>
    <w:next w:val="BodyText"/>
    <w:qFormat/>
    <w:pPr>
      <w:keepNext w:val="0"/>
      <w:keepLines/>
      <w:pageBreakBefore w:val="0"/>
      <w:spacing w:after="140" w:before="240" w:line="269" w:lineRule="auto"/>
      <w:jc w:val="center"/>
    </w:pPr>
    <w:rPr>
      <w:rFonts w:ascii="Calibri" w:hAnsi="Calibri"/>
      <w:sz w:val="22"/>
      <w:szCs w:val="30"/>
    </w:rPr>
  </w:style>
  <w:style w:customStyle="1" w:styleId="Author" w:type="paragraph">
    <w:name w:val="Author"/>
    <w:next w:val="BodyText"/>
    <w:qFormat/>
    <w:pPr>
      <w:keepNext w:val="0"/>
      <w:keepLines/>
      <w:pageBreakBefore w:val="0"/>
      <w:spacing w:line="269" w:lineRule="auto" w:after="140"/>
      <w:jc w:val="center"/>
    </w:pPr>
    <w:rPr>
      <w:rFonts w:ascii="Calibri" w:hAnsi="Calibri"/>
      <w:sz w:val="22"/>
    </w:rPr>
  </w:style>
  <w:style w:styleId="Date" w:type="paragraph">
    <w:name w:val="Date"/>
    <w:next w:val="BodyText"/>
    <w:qFormat/>
    <w:pPr>
      <w:keepNext w:val="0"/>
      <w:keepLines/>
      <w:pageBreakBefore w:val="0"/>
      <w:spacing w:line="269" w:lineRule="auto" w:after="140"/>
      <w:jc w:val="center"/>
    </w:pPr>
    <w:rPr>
      <w:rFonts w:ascii="Calibri" w:hAnsi="Calibri"/>
      <w:sz w:val="22"/>
    </w:rPr>
  </w:style>
  <w:style w:customStyle="1" w:styleId="AbstractTitle" w:type="paragraph">
    <w:name w:val="Abstract Title"/>
    <w:basedOn w:val="Normal"/>
    <w:next w:val="Abstract"/>
    <w:qFormat/>
    <w:pPr>
      <w:keepNext w:val="0"/>
      <w:keepLines/>
      <w:jc w:val="center"/>
      <w:pageBreakBefore w:val="0"/>
      <w:spacing w:after="140" w:before="300" w:line="269" w:lineRule="auto"/>
    </w:pPr>
    <w:rPr>
      <w:sz w:val="22"/>
      <w:szCs w:val="20"/>
      <w:rFonts w:ascii="Calibri" w:hAnsi="Calibri"/>
      <w:b/>
      <w:color w:val="345A8A"/>
      &gt;
    </w:rPr>
  </w:style>
  <w:style w:customStyle="1" w:styleId="Abstract" w:type="paragraph">
    <w:name w:val="Abstract"/>
    <w:basedOn w:val="Normal"/>
    <w:next w:val="BodyText"/>
    <w:qFormat/>
    <w:pPr>
      <w:keepNext w:val="0"/>
      <w:keepLines/>
      <w:pageBreakBefore w:val="0"/>
      <w:spacing w:after="140" w:before="100" w:line="269" w:lineRule="auto"/>
    </w:pPr>
    <w:rPr>
      <w:rFonts w:ascii="Calibri" w:hAnsi="Calibri"/>
      <w:sz w:val="22"/>
      <w:szCs w:val="20"/>
    </w:rPr>
  </w:style>
  <w:style w:styleId="Bibliography" w:type="paragraph">
    <w:name w:val="Bibliography"/>
    <w:basedOn w:val="Normal"/>
    <w:next w:val="Bibliography"/>
    <w:qFormat/>
    <w:pPr>
      <w:keepNext w:val="0"/>
      <w:pageBreakBefore w:val="0"/>
      <w:spacing w:line="269" w:lineRule="auto" w:after="140"/>
    </w:pPr>
    <w:rPr>
      <w:rFonts w:ascii="Calibri" w:hAnsi="Calibri"/>
      <w:sz w:val="22"/>
    </w:rPr>
  </w:style>
  <w:style w:styleId="Heading1" w:type="paragraph">
    <w:name w:val="Heading 1"/>
    <w:basedOn w:val="Normal"/>
    <w:next w:val="BodyText"/>
    <w:uiPriority w:val="9"/>
    <w:qFormat/>
    <w:pPr>
      <w:keepNext/>
      <w:keepLines/>
      <w:pageBreakBefore w:val="0"/>
      <w:spacing w:after="140" w:before="280" w:line="269" w:lineRule="auto"/>
      <w:outlineLvl w:val="0"/>
    </w:pPr>
    <w:rPr>
      <w:rFonts w:asciiTheme="majorHAnsi" w:cstheme="majorBidi" w:eastAsiaTheme="majorEastAsia" w:hAnsiTheme="majorHAnsi" w:ascii="Calibri" w:hAnsi="Calibri"/>
      <w:b/>
      <w:bCs/>
      <w:color w:val="175D86"/>
      <w:sz w:val="32"/>
      <w:szCs w:val="32"/>
    </w:rPr>
  </w:style>
  <w:style w:styleId="Heading2" w:type="paragraph">
    <w:name w:val="Heading 2"/>
    <w:basedOn w:val="Normal"/>
    <w:next w:val="BodyText"/>
    <w:uiPriority w:val="9"/>
    <w:unhideWhenUsed/>
    <w:qFormat/>
    <w:pPr>
      <w:keepNext/>
      <w:keepLines/>
      <w:pageBreakBefore w:val="0"/>
      <w:spacing w:after="140" w:before="280" w:line="269" w:lineRule="auto"/>
      <w:outlineLvl w:val="1"/>
    </w:pPr>
    <w:rPr>
      <w:rFonts w:asciiTheme="majorHAnsi" w:cstheme="majorBidi" w:eastAsiaTheme="majorEastAsia" w:hAnsiTheme="majorHAnsi" w:ascii="Calibri" w:hAnsi="Calibri"/>
      <w:b/>
      <w:bCs/>
      <w:color w:val="175D86"/>
      <w:sz w:val="26"/>
      <w:szCs w:val="28"/>
    </w:rPr>
  </w:style>
  <w:style w:styleId="Heading3" w:type="paragraph">
    <w:name w:val="Heading 3"/>
    <w:basedOn w:val="Normal"/>
    <w:next w:val="BodyText"/>
    <w:uiPriority w:val="9"/>
    <w:unhideWhenUsed/>
    <w:qFormat/>
    <w:pPr>
      <w:keepNext/>
      <w:keepLines/>
      <w:pageBreakBefore w:val="0"/>
      <w:spacing w:after="140" w:before="280" w:line="269" w:lineRule="auto"/>
      <w:outlineLvl w:val="2"/>
    </w:pPr>
    <w:rPr>
      <w:rFonts w:asciiTheme="majorHAnsi" w:cstheme="majorBidi" w:eastAsiaTheme="majorEastAsia" w:hAnsiTheme="majorHAnsi" w:ascii="Calibri" w:hAnsi="Calibri"/>
      <w:b/>
      <w:bCs/>
      <w:color w:val="175D86"/>
      <w:sz w:val="22"/>
      <w:szCs w:val="24"/>
    </w:rPr>
  </w:style>
  <w:style w:styleId="Heading4" w:type="paragraph">
    <w:name w:val="Heading 4"/>
    <w:basedOn w:val="Normal"/>
    <w:next w:val="BodyText"/>
    <w:uiPriority w:val="9"/>
    <w:unhideWhenUsed/>
    <w:qFormat/>
    <w:pPr>
      <w:keepNext w:val="0"/>
      <w:keepLines/>
      <w:pageBreakBefore w:val="0"/>
      <w:spacing w:after="140" w:before="200" w:line="269" w:lineRule="auto"/>
      <w:outlineLvl w:val="3"/>
    </w:pPr>
    <w:rPr>
      <w:rFonts w:asciiTheme="majorHAnsi" w:cstheme="majorBidi" w:eastAsiaTheme="majorEastAsia" w:hAnsiTheme="majorHAnsi" w:ascii="Calibri" w:hAnsi="Calibri"/>
      <w:i/>
      <w:bCs/>
      <w:color w:themeColor="accent1" w:val="4F81BD"/>
      <w:sz w:val="22"/>
      <w:szCs w:val="24"/>
    </w:rPr>
  </w:style>
  <w:style w:styleId="Heading5" w:type="paragraph">
    <w:name w:val="Heading 5"/>
    <w:basedOn w:val="Normal"/>
    <w:next w:val="BodyText"/>
    <w:uiPriority w:val="9"/>
    <w:unhideWhenUsed/>
    <w:qFormat/>
    <w:pPr>
      <w:keepNext w:val="0"/>
      <w:keepLines/>
      <w:pageBreakBefore w:val="0"/>
      <w:spacing w:after="140" w:before="200" w:line="269" w:lineRule="auto"/>
      <w:outlineLvl w:val="4"/>
    </w:pPr>
    <w:rPr>
      <w:rFonts w:asciiTheme="majorHAnsi" w:cstheme="majorBidi" w:eastAsiaTheme="majorEastAsia" w:hAnsiTheme="majorHAnsi" w:ascii="Calibri" w:hAnsi="Calibri"/>
      <w:iCs/>
      <w:color w:themeColor="accent1" w:val="4F81BD"/>
      <w:sz w:val="22"/>
      <w:szCs w:val="24"/>
    </w:rPr>
  </w:style>
  <w:style w:styleId="Heading6" w:type="paragraph">
    <w:name w:val="Heading 6"/>
    <w:basedOn w:val="Normal"/>
    <w:next w:val="BodyText"/>
    <w:uiPriority w:val="9"/>
    <w:unhideWhenUsed/>
    <w:qFormat/>
    <w:pPr>
      <w:keepNext w:val="0"/>
      <w:keepLines/>
      <w:pageBreakBefore w:val="0"/>
      <w:spacing w:after="140" w:before="200" w:line="269" w:lineRule="auto"/>
      <w:outlineLvl w:val="5"/>
    </w:pPr>
    <w:rPr>
      <w:rFonts w:asciiTheme="majorHAnsi" w:cstheme="majorBidi" w:eastAsiaTheme="majorEastAsia" w:hAnsiTheme="majorHAnsi" w:ascii="Calibri" w:hAnsi="Calibri"/>
      <w:color w:themeColor="accent1" w:val="4F81BD"/>
      <w:sz w:val="22"/>
      <w:szCs w:val="24"/>
    </w:rPr>
  </w:style>
  <w:style w:styleId="Heading7" w:type="paragraph">
    <w:name w:val="Heading 7"/>
    <w:basedOn w:val="Normal"/>
    <w:next w:val="BodyText"/>
    <w:uiPriority w:val="9"/>
    <w:unhideWhenUsed/>
    <w:qFormat/>
    <w:pPr>
      <w:keepNext w:val="0"/>
      <w:keepLines/>
      <w:pageBreakBefore w:val="0"/>
      <w:spacing w:after="140" w:before="200" w:line="269" w:lineRule="auto"/>
      <w:outlineLvl w:val="6"/>
    </w:pPr>
    <w:rPr>
      <w:rFonts w:asciiTheme="majorHAnsi" w:cstheme="majorBidi" w:eastAsiaTheme="majorEastAsia" w:hAnsiTheme="majorHAnsi" w:ascii="Calibri" w:hAnsi="Calibri"/>
      <w:color w:themeColor="accent1" w:val="4F81BD"/>
      <w:sz w:val="22"/>
      <w:szCs w:val="24"/>
    </w:rPr>
  </w:style>
  <w:style w:styleId="Heading8" w:type="paragraph">
    <w:name w:val="Heading 8"/>
    <w:basedOn w:val="Normal"/>
    <w:next w:val="BodyText"/>
    <w:uiPriority w:val="9"/>
    <w:unhideWhenUsed/>
    <w:qFormat/>
    <w:pPr>
      <w:keepNext w:val="0"/>
      <w:keepLines/>
      <w:pageBreakBefore w:val="0"/>
      <w:spacing w:after="140" w:before="200" w:line="269" w:lineRule="auto"/>
      <w:outlineLvl w:val="7"/>
    </w:pPr>
    <w:rPr>
      <w:rFonts w:asciiTheme="majorHAnsi" w:cstheme="majorBidi" w:eastAsiaTheme="majorEastAsia" w:hAnsiTheme="majorHAnsi" w:ascii="Calibri" w:hAnsi="Calibri"/>
      <w:color w:themeColor="accent1" w:val="4F81BD"/>
      <w:sz w:val="22"/>
      <w:szCs w:val="24"/>
    </w:rPr>
  </w:style>
  <w:style w:styleId="Heading9" w:type="paragraph">
    <w:name w:val="Heading 9"/>
    <w:basedOn w:val="Normal"/>
    <w:next w:val="BodyText"/>
    <w:uiPriority w:val="9"/>
    <w:unhideWhenUsed/>
    <w:qFormat/>
    <w:pPr>
      <w:keepNext w:val="0"/>
      <w:keepLines/>
      <w:pageBreakBefore w:val="0"/>
      <w:spacing w:after="140" w:before="200" w:line="269" w:lineRule="auto"/>
      <w:outlineLvl w:val="8"/>
    </w:pPr>
    <w:rPr>
      <w:rFonts w:asciiTheme="majorHAnsi" w:cstheme="majorBidi" w:eastAsiaTheme="majorEastAsia" w:hAnsiTheme="majorHAnsi" w:ascii="Calibri" w:hAnsi="Calibri"/>
      <w:color w:themeColor="accent1" w:val="4F81BD"/>
      <w:sz w:val="22"/>
      <w:szCs w:val="24"/>
    </w:rPr>
  </w:style>
  <w:style w:styleId="BlockText" w:type="paragraph">
    <w:name w:val="Block Text"/>
    <w:basedOn w:val="BodyText"/>
    <w:next w:val="BodyText"/>
    <w:uiPriority w:val="9"/>
    <w:unhideWhenUsed/>
    <w:qFormat/>
    <w:pPr>
      <w:keepNext w:val="0"/>
      <w:pageBreakBefore w:val="0"/>
      <w:spacing w:after="140" w:before="100" w:line="269" w:lineRule="auto"/>
      <w:ind w:firstLine="0" w:left="480" w:right="480"/>
    </w:pPr>
    <w:rPr>
      <w:rFonts w:ascii="Calibri" w:hAnsi="Calibri"/>
      <w:sz w:val="22"/>
    </w:rPr>
  </w:style>
  <w:style w:styleId="FootnoteText" w:type="paragraph">
    <w:name w:val="Footnote Text"/>
    <w:basedOn w:val="Normal"/>
    <w:next w:val="FootnoteText"/>
    <w:uiPriority w:val="9"/>
    <w:unhideWhenUsed/>
    <w:qFormat/>
    <w:pPr>
      <w:keepNext w:val="0"/>
      <w:pageBreakBefore w:val="0"/>
      <w:spacing w:line="269" w:lineRule="auto" w:after="140"/>
    </w:pPr>
    <w:rPr>
      <w:rFonts w:ascii="Calibri" w:hAnsi="Calibri"/>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val="0"/>
      <w:keepLines/>
      <w:pageBreakBefore w:val="0"/>
      <w:spacing w:after="140" w:line="269" w:lineRule="auto"/>
    </w:pPr>
    <w:rPr>
      <w:rFonts w:ascii="Calibri" w:hAnsi="Calibri"/>
      <w:b/>
      <w:sz w:val="22"/>
    </w:rPr>
  </w:style>
  <w:style w:customStyle="1" w:styleId="Definition" w:type="paragraph">
    <w:name w:val="Definition"/>
    <w:basedOn w:val="Normal"/>
    <w:pPr>
      <w:keepNext w:val="0"/>
      <w:pageBreakBefore w:val="0"/>
      <w:spacing w:line="269" w:lineRule="auto" w:after="140"/>
    </w:pPr>
    <w:rPr>
      <w:rFonts w:ascii="Calibri" w:hAnsi="Calibri"/>
      <w:sz w:val="22"/>
    </w:rPr>
  </w:style>
  <w:style w:styleId="Caption" w:type="paragraph">
    <w:name w:val="Caption"/>
    <w:basedOn w:val="Normal"/>
    <w:link w:val="BodyTextChar"/>
    <w:pPr>
      <w:keepNext w:val="0"/>
      <w:pageBreakBefore w:val="0"/>
      <w:spacing w:after="140" w:before="0" w:line="269" w:lineRule="auto"/>
    </w:pPr>
    <w:rPr>
      <w:rFonts w:ascii="Calibri" w:hAnsi="Calibri"/>
      <w:i/>
      <w:sz w:val="22"/>
    </w:rPr>
  </w:style>
  <w:style w:customStyle="1" w:styleId="TableCaption" w:type="paragraph">
    <w:name w:val="Table Caption"/>
    <w:basedOn w:val="Caption"/>
    <w:pPr>
      <w:keepNext w:val="0"/>
      <w:pageBreakBefore w:val="0"/>
      <w:spacing w:line="269" w:lineRule="auto" w:after="140"/>
    </w:pPr>
    <w:rPr>
      <w:rFonts w:ascii="Calibri" w:hAnsi="Calibri"/>
      <w:sz w:val="22"/>
    </w:rPr>
  </w:style>
  <w:style w:customStyle="1" w:styleId="ImageCaption" w:type="paragraph">
    <w:name w:val="Image Caption"/>
    <w:basedOn w:val="Caption"/>
    <w:pPr>
      <w:keepNext w:val="0"/>
      <w:pageBreakBefore w:val="0"/>
      <w:spacing w:line="269" w:lineRule="auto" w:after="140"/>
    </w:pPr>
    <w:rPr>
      <w:rFonts w:ascii="Calibri" w:hAnsi="Calibri"/>
      <w:sz w:val="22"/>
    </w:rPr>
  </w:style>
  <w:style w:customStyle="1" w:styleId="Figure" w:type="paragraph">
    <w:name w:val="Figure"/>
    <w:basedOn w:val="Normal"/>
    <w:pPr>
      <w:keepNext w:val="0"/>
      <w:pageBreakBefore w:val="0"/>
      <w:spacing w:line="269" w:lineRule="auto" w:after="140"/>
    </w:pPr>
    <w:rPr>
      <w:rFonts w:ascii="Calibri" w:hAnsi="Calibri"/>
      <w:sz w:val="22"/>
    </w:rPr>
  </w:style>
  <w:style w:customStyle="1" w:styleId="CaptionedFigure" w:type="paragraph">
    <w:name w:val="Captioned Figure"/>
    <w:basedOn w:val="Figure"/>
    <w:pPr>
      <w:keepNext w:val="0"/>
      <w:pageBreakBefore w:val="0"/>
      <w:spacing w:line="269" w:lineRule="auto" w:after="140"/>
    </w:pPr>
    <w:rPr>
      <w:rFonts w:ascii="Calibri" w:hAnsi="Calibri"/>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pageBreakBefore w:val="0"/>
      <w:spacing w:before="240" w:line="269" w:lineRule="auto" w:after="140"/>
      <w:outlineLvl w:val="9"/>
    </w:pPr>
    <w:rPr>
      <w:rFonts w:asciiTheme="majorHAnsi" w:cstheme="majorBidi" w:eastAsiaTheme="majorEastAsia" w:hAnsiTheme="majorHAnsi" w:ascii="Calibri" w:hAnsi="Calibri"/>
      <w:b w:val="0"/>
      <w:bCs w:val="0"/>
      <w:color w:themeColor="accent1" w:themeShade="BF" w:val="365F91"/>
      <w:sz w:val="22"/>
    </w:rPr>
  </w:style>
  <w:style w:type="paragraph" w:customStyle="1" w:styleId="SourceCode">
    <w:name w:val="Source Code"/>
    <w:basedOn w:val="Normal"/>
    <w:link w:val="VerbatimChar"/>
    <w:pPr>
      <w:keepNext w:val="0"/>
      <w:pageBreakBefore w:val="0"/>
      <w:wordWrap w:val="off"/>
      <w:spacing w:line="269" w:lineRule="auto" w:after="140"/>
    </w:pPr>
    <w:rPr>
      <w:rFonts w:ascii="Calibri" w:hAnsi="Calibri"/>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CodeInline">
    <w:name w:val="Code Inline"/>
    <w:rPr>
      <w:rFonts w:ascii="Consolas" w:hAnsi="Consolas"/>
      <w:color w:val="1F4D78"/>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6 - Executive Brief</dc:title>
  <dc:creator>Mbaye Kebe | SRAI</dc:creator>
  <cp:keywords/>
  <dcterms:created xsi:type="dcterms:W3CDTF">2026-07-28T15:17:18Z</dcterms:created>
  <dcterms:modified xsi:type="dcterms:W3CDTF">2026-07-28T15:17:18Z</dcterms:modified>
  <dc:subject>Complete controlled publication master edition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July 2026</vt:lpwstr>
  </property>
  <property fmtid="{D5CDD505-2E9C-101B-9397-08002B2CF9AE}" pid="3" name="subtitle">
    <vt:lpwstr>Book 1 Complete Controlled Master Edition</vt:lpwstr>
  </property>
  <property fmtid="{D5CDD505-2E9C-101B-9397-08002B2CF9AE}" pid="4" name="toc-title">
    <vt:lpwstr>Contents</vt:lpwstr>
  </property>
</Properties>
</file>