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68A8A"/>
          <w:sz w:val="40"/>
        </w:rPr>
        <w:t>SRAI</w:t>
      </w:r>
    </w:p>
    <w:p>
      <w:pPr>
        <w:pStyle w:val="Title"/>
        <w:jc w:val="center"/>
      </w:pPr>
      <w:r>
        <w:t>PU-B01-C04</w:t>
        <w:br/>
        <w:t>Matrix Algebra and Linear Systems</w:t>
      </w:r>
    </w:p>
    <w:p>
      <w:pPr>
        <w:pStyle w:val="Subtitle"/>
        <w:jc w:val="center"/>
      </w:pPr>
      <w:r>
        <w:t>Executive Brief</w:t>
      </w:r>
    </w:p>
    <w:tbl>
      <w:tblPr>
        <w:tblW w:type="auto" w:w="0"/>
        <w:jc w:val="center"/>
        <w:tblLayout w:type="fixed"/>
        <w:tblLook w:firstColumn="1" w:firstRow="1" w:lastColumn="0" w:lastRow="0" w:noHBand="0" w:noVBand="1" w:val="04A0"/>
      </w:tblPr>
      <w:tblGrid>
        <w:gridCol w:w="4939"/>
        <w:gridCol w:w="4939"/>
      </w:tblGrid>
      <w:tr>
        <w:tc>
          <w:tcPr>
            <w:tcW w:type="dxa" w:w="2088"/>
            <w:shd w:fill="17365D"/>
            <w:tcMar>
              <w:top w:w="100" w:type="dxa"/>
              <w:start w:w="120" w:type="dxa"/>
              <w:bottom w:w="100" w:type="dxa"/>
              <w:end w:w="120" w:type="dxa"/>
            </w:tcMar>
            <w:vAlign w:val="center"/>
          </w:tcPr>
          <w:p>
            <w:r>
              <w:rPr>
                <w:b/>
                <w:color w:val="FFFFFF"/>
              </w:rPr>
              <w:t>Version</w:t>
            </w:r>
          </w:p>
        </w:tc>
        <w:tc>
          <w:tcPr>
            <w:tcW w:type="dxa" w:w="6984"/>
            <w:shd w:fill="F5F8FB"/>
            <w:tcMar>
              <w:top w:w="100" w:type="dxa"/>
              <w:start w:w="120" w:type="dxa"/>
              <w:bottom w:w="100" w:type="dxa"/>
              <w:end w:w="120" w:type="dxa"/>
            </w:tcMar>
            <w:vAlign w:val="center"/>
          </w:tcPr>
          <w:p>
            <w:r>
              <w:t>v1.0</w:t>
            </w:r>
          </w:p>
        </w:tc>
      </w:tr>
      <w:tr>
        <w:tc>
          <w:tcPr>
            <w:tcW w:type="dxa" w:w="2088"/>
            <w:shd w:fill="17365D"/>
            <w:tcMar>
              <w:top w:w="100" w:type="dxa"/>
              <w:start w:w="120" w:type="dxa"/>
              <w:bottom w:w="100" w:type="dxa"/>
              <w:end w:w="120" w:type="dxa"/>
            </w:tcMar>
            <w:vAlign w:val="center"/>
          </w:tcPr>
          <w:p>
            <w:r>
              <w:rPr>
                <w:b/>
                <w:color w:val="FFFFFF"/>
              </w:rPr>
              <w:t>Control status</w:t>
            </w:r>
          </w:p>
        </w:tc>
        <w:tc>
          <w:tcPr>
            <w:tcW w:type="dxa" w:w="6984"/>
            <w:shd w:fill="F5F8FB"/>
            <w:tcMar>
              <w:top w:w="100" w:type="dxa"/>
              <w:start w:w="120" w:type="dxa"/>
              <w:bottom w:w="100" w:type="dxa"/>
              <w:end w:w="120" w:type="dxa"/>
            </w:tcMar>
            <w:vAlign w:val="center"/>
          </w:tcPr>
          <w:p>
            <w:r>
              <w:t>Production candidate</w:t>
            </w:r>
          </w:p>
        </w:tc>
      </w:tr>
      <w:tr>
        <w:tc>
          <w:tcPr>
            <w:tcW w:type="dxa" w:w="2088"/>
            <w:shd w:fill="17365D"/>
            <w:tcMar>
              <w:top w:w="100" w:type="dxa"/>
              <w:start w:w="120" w:type="dxa"/>
              <w:bottom w:w="100" w:type="dxa"/>
              <w:end w:w="120" w:type="dxa"/>
            </w:tcMar>
            <w:vAlign w:val="center"/>
          </w:tcPr>
          <w:p>
            <w:r>
              <w:rPr>
                <w:b/>
                <w:color w:val="FFFFFF"/>
              </w:rPr>
              <w:t>Purpose</w:t>
            </w:r>
          </w:p>
        </w:tc>
        <w:tc>
          <w:tcPr>
            <w:tcW w:type="dxa" w:w="6984"/>
            <w:shd w:fill="F5F8FB"/>
            <w:tcMar>
              <w:top w:w="100" w:type="dxa"/>
              <w:start w:w="120" w:type="dxa"/>
              <w:bottom w:w="100" w:type="dxa"/>
              <w:end w:w="120" w:type="dxa"/>
            </w:tcMar>
            <w:vAlign w:val="center"/>
          </w:tcPr>
          <w:p>
            <w:r>
              <w:t>Decision-oriented interpretation for leaders and practitioners</w:t>
            </w:r>
          </w:p>
        </w:tc>
      </w:tr>
    </w:tbl>
    <w:p/>
    <w:tbl>
      <w:tblPr>
        <w:tblW w:type="auto" w:w="0"/>
        <w:jc w:val="center"/>
        <w:tblLook w:firstColumn="1" w:firstRow="1" w:lastColumn="0" w:lastRow="0" w:noHBand="0" w:noVBand="1" w:val="04A0"/>
      </w:tblPr>
      <w:tblGrid>
        <w:gridCol w:w="9878"/>
      </w:tblGrid>
      <w:tr>
        <w:tc>
          <w:tcPr>
            <w:tcW w:type="dxa" w:w="9878"/>
            <w:shd w:fill="FFF3D6"/>
            <w:tcMar>
              <w:top w:w="160" w:type="dxa"/>
              <w:start w:w="180" w:type="dxa"/>
              <w:bottom w:w="160" w:type="dxa"/>
              <w:end w:w="180" w:type="dxa"/>
            </w:tcMar>
          </w:tcPr>
          <w:p>
            <w:r>
              <w:t>Controlled learning asset. Advancement to public release requires completion of the remaining SRAI publication gates.</w:t>
            </w:r>
          </w:p>
        </w:tc>
      </w:tr>
    </w:tbl>
    <w:p>
      <w:r>
        <w:br w:type="page"/>
      </w:r>
    </w:p>
    <w:p>
      <w:pPr>
        <w:pStyle w:val="Heading1"/>
      </w:pPr>
      <w:r>
        <w:t>Executive message</w:t>
      </w:r>
    </w:p>
    <w:p>
      <w:r>
        <w:t>Matrices make connected systems explicit. Linear systems convert those relationships into allocations, estimates or scenarios. Their value is not that they remove judgment, but that they expose assumptions, dependencies and numerical fragility before a decision is made.</w:t>
      </w:r>
    </w:p>
    <w:tbl>
      <w:tblPr>
        <w:tblW w:type="auto" w:w="0"/>
        <w:tblLook w:firstColumn="1" w:firstRow="1" w:lastColumn="0" w:lastRow="0" w:noHBand="0" w:noVBand="1" w:val="04A0"/>
      </w:tblPr>
      <w:tblGrid>
        <w:gridCol w:w="9878"/>
      </w:tblGrid>
      <w:tr>
        <w:tc>
          <w:tcPr>
            <w:tcW w:type="dxa" w:w="9878"/>
            <w:shd w:fill="FFF3D6"/>
            <w:tcMar>
              <w:top w:w="180" w:type="dxa"/>
              <w:start w:w="200" w:type="dxa"/>
              <w:bottom w:w="180" w:type="dxa"/>
              <w:end w:w="200" w:type="dxa"/>
            </w:tcMar>
          </w:tcPr>
          <w:p>
            <w:r>
              <w:t>SRAI Principle No. 4: Solving a system correctly does not establish that the system describes the world correctly.</w:t>
            </w:r>
          </w:p>
        </w:tc>
      </w:tr>
    </w:tbl>
    <w:p>
      <w:pPr>
        <w:pStyle w:val="Heading1"/>
      </w:pPr>
      <w:r>
        <w:t>Why this matters for institutions</w:t>
      </w:r>
    </w:p>
    <w:p>
      <w:pPr>
        <w:pStyle w:val="ListBullet"/>
      </w:pPr>
      <w:r>
        <w:t>Budgets, staffing, logistics and sector plans contain simultaneous constraints.</w:t>
      </w:r>
    </w:p>
    <w:p>
      <w:pPr>
        <w:pStyle w:val="ListBullet"/>
      </w:pPr>
      <w:r>
        <w:t>Statistical models and AI systems depend on matrix operations even when users never see them.</w:t>
      </w:r>
    </w:p>
    <w:p>
      <w:pPr>
        <w:pStyle w:val="ListBullet"/>
      </w:pPr>
      <w:r>
        <w:t>Rank reveals missing or redundant information; conditioning reveals fragile conclusions.</w:t>
      </w:r>
    </w:p>
    <w:p>
      <w:pPr>
        <w:pStyle w:val="ListBullet"/>
      </w:pPr>
      <w:r>
        <w:t>Residuals verify equation fit, not causal truth or policy validity.</w:t>
      </w:r>
    </w:p>
    <w:p>
      <w:pPr>
        <w:pStyle w:val="Heading1"/>
      </w:pPr>
      <w:r>
        <w:t>Decision example: constrained allocation</w:t>
      </w:r>
    </w:p>
    <w:p>
      <w:r>
        <w:t>Suppose two programme packages consume staff and equipment capacity:</w:t>
      </w:r>
    </w:p>
    <w:p>
      <w:pPr>
        <w:spacing w:before="80" w:after="160"/>
        <w:jc w:val="center"/>
      </w:pPr>
      <w:r>
        <w:rPr>
          <w:rFonts w:ascii="Cambria Math" w:hAnsi="Cambria Math"/>
          <w:b/>
          <w:sz w:val="24"/>
        </w:rPr>
        <w:t>2x + y = 100     and     x + 2y = 80</w:t>
      </w:r>
    </w:p>
    <w:p>
      <w:r>
        <w:t>The mathematical solution is x=40 and y=20. It exactly satisfies both constraints. Before approval, management must still verify that coefficients reflect current operations, units are consistent, fractional or minimum allocations are handled, uncertainty is assessed and the solution is politically and operationally feasible.</w:t>
      </w:r>
    </w:p>
    <w:p>
      <w:pPr>
        <w:pStyle w:val="Heading1"/>
      </w:pPr>
      <w:r>
        <w:t>The controlled reasoning chain</w:t>
      </w:r>
    </w:p>
    <w:p>
      <w:pPr>
        <w:pStyle w:val="ListNumber"/>
      </w:pPr>
      <w:r>
        <w:t>Define the decision, unknowns, units and constraints.</w:t>
      </w:r>
    </w:p>
    <w:p>
      <w:pPr>
        <w:pStyle w:val="ListNumber"/>
      </w:pPr>
      <w:r>
        <w:t>Construct the matrix from documented evidence.</w:t>
      </w:r>
    </w:p>
    <w:p>
      <w:pPr>
        <w:pStyle w:val="ListNumber"/>
      </w:pPr>
      <w:r>
        <w:t>Check dimensions, rank and conditioning.</w:t>
      </w:r>
    </w:p>
    <w:p>
      <w:pPr>
        <w:pStyle w:val="ListNumber"/>
      </w:pPr>
      <w:r>
        <w:t>Solve with a stable method rather than explicit inversion.</w:t>
      </w:r>
    </w:p>
    <w:p>
      <w:pPr>
        <w:pStyle w:val="ListNumber"/>
      </w:pPr>
      <w:r>
        <w:t>Inspect residuals and perturb inputs.</w:t>
      </w:r>
    </w:p>
    <w:p>
      <w:pPr>
        <w:pStyle w:val="ListNumber"/>
      </w:pPr>
      <w:r>
        <w:t>Apply feasibility, equity and domain constraints.</w:t>
      </w:r>
    </w:p>
    <w:p>
      <w:pPr>
        <w:pStyle w:val="ListNumber"/>
      </w:pPr>
      <w:r>
        <w:t>Record assumptions, evidence, version and accountable approval.</w:t>
      </w:r>
    </w:p>
    <w:p>
      <w:pPr>
        <w:pStyle w:val="Heading1"/>
      </w:pPr>
      <w:r>
        <w:t>Risk and control matrix</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shd w:fill="17365D"/>
            <w:tcMar>
              <w:top w:w="100" w:type="dxa"/>
              <w:start w:w="120" w:type="dxa"/>
              <w:bottom w:w="100" w:type="dxa"/>
              <w:end w:w="120" w:type="dxa"/>
            </w:tcMar>
          </w:tcPr>
          <w:p>
            <w:r>
              <w:rPr>
                <w:b/>
                <w:color w:val="FFFFFF"/>
              </w:rPr>
              <w:t>Risk</w:t>
            </w:r>
          </w:p>
        </w:tc>
        <w:tc>
          <w:tcPr>
            <w:tcW w:type="dxa" w:w="3293"/>
            <w:shd w:fill="17365D"/>
            <w:tcMar>
              <w:top w:w="100" w:type="dxa"/>
              <w:start w:w="120" w:type="dxa"/>
              <w:bottom w:w="100" w:type="dxa"/>
              <w:end w:w="120" w:type="dxa"/>
            </w:tcMar>
          </w:tcPr>
          <w:p>
            <w:r>
              <w:rPr>
                <w:b/>
                <w:color w:val="FFFFFF"/>
              </w:rPr>
              <w:t>Consequence</w:t>
            </w:r>
          </w:p>
        </w:tc>
        <w:tc>
          <w:tcPr>
            <w:tcW w:type="dxa" w:w="3293"/>
            <w:shd w:fill="17365D"/>
            <w:tcMar>
              <w:top w:w="100" w:type="dxa"/>
              <w:start w:w="120" w:type="dxa"/>
              <w:bottom w:w="100" w:type="dxa"/>
              <w:end w:w="120" w:type="dxa"/>
            </w:tcMar>
          </w:tcPr>
          <w:p>
            <w:r>
              <w:rPr>
                <w:b/>
                <w:color w:val="FFFFFF"/>
              </w:rPr>
              <w:t>Required control</w:t>
            </w:r>
          </w:p>
        </w:tc>
      </w:tr>
      <w:tr>
        <w:tc>
          <w:tcPr>
            <w:tcW w:type="dxa" w:w="3293"/>
            <w:tcMar>
              <w:top w:w="100" w:type="dxa"/>
              <w:start w:w="120" w:type="dxa"/>
              <w:bottom w:w="100" w:type="dxa"/>
              <w:end w:w="120" w:type="dxa"/>
            </w:tcMar>
            <w:shd w:fill="EAF2F8"/>
          </w:tcPr>
          <w:p>
            <w:r>
              <w:t>Wrong units or dimensions</w:t>
            </w:r>
          </w:p>
        </w:tc>
        <w:tc>
          <w:tcPr>
            <w:tcW w:type="dxa" w:w="3293"/>
            <w:tcMar>
              <w:top w:w="100" w:type="dxa"/>
              <w:start w:w="120" w:type="dxa"/>
              <w:bottom w:w="100" w:type="dxa"/>
              <w:end w:w="120" w:type="dxa"/>
            </w:tcMar>
            <w:shd w:fill="EAF2F8"/>
          </w:tcPr>
          <w:p>
            <w:r>
              <w:t>Plausible but meaningless output</w:t>
            </w:r>
          </w:p>
        </w:tc>
        <w:tc>
          <w:tcPr>
            <w:tcW w:type="dxa" w:w="3293"/>
            <w:tcMar>
              <w:top w:w="100" w:type="dxa"/>
              <w:start w:w="120" w:type="dxa"/>
              <w:bottom w:w="100" w:type="dxa"/>
              <w:end w:w="120" w:type="dxa"/>
            </w:tcMar>
            <w:shd w:fill="EAF2F8"/>
          </w:tcPr>
          <w:p>
            <w:r>
              <w:t>Dimension and unit review</w:t>
            </w:r>
          </w:p>
        </w:tc>
      </w:tr>
      <w:tr>
        <w:tc>
          <w:tcPr>
            <w:tcW w:type="dxa" w:w="3293"/>
            <w:tcMar>
              <w:top w:w="100" w:type="dxa"/>
              <w:start w:w="120" w:type="dxa"/>
              <w:bottom w:w="100" w:type="dxa"/>
              <w:end w:w="120" w:type="dxa"/>
            </w:tcMar>
            <w:shd w:fill="FFFFFF"/>
          </w:tcPr>
          <w:p>
            <w:r>
              <w:t>Rank deficiency</w:t>
            </w:r>
          </w:p>
        </w:tc>
        <w:tc>
          <w:tcPr>
            <w:tcW w:type="dxa" w:w="3293"/>
            <w:tcMar>
              <w:top w:w="100" w:type="dxa"/>
              <w:start w:w="120" w:type="dxa"/>
              <w:bottom w:w="100" w:type="dxa"/>
              <w:end w:w="120" w:type="dxa"/>
            </w:tcMar>
            <w:shd w:fill="FFFFFF"/>
          </w:tcPr>
          <w:p>
            <w:r>
              <w:t>Non-identifiable allocation</w:t>
            </w:r>
          </w:p>
        </w:tc>
        <w:tc>
          <w:tcPr>
            <w:tcW w:type="dxa" w:w="3293"/>
            <w:tcMar>
              <w:top w:w="100" w:type="dxa"/>
              <w:start w:w="120" w:type="dxa"/>
              <w:bottom w:w="100" w:type="dxa"/>
              <w:end w:w="120" w:type="dxa"/>
            </w:tcMar>
            <w:shd w:fill="FFFFFF"/>
          </w:tcPr>
          <w:p>
            <w:r>
              <w:t>Rank diagnostic and redesign</w:t>
            </w:r>
          </w:p>
        </w:tc>
      </w:tr>
      <w:tr>
        <w:tc>
          <w:tcPr>
            <w:tcW w:type="dxa" w:w="3293"/>
            <w:tcMar>
              <w:top w:w="100" w:type="dxa"/>
              <w:start w:w="120" w:type="dxa"/>
              <w:bottom w:w="100" w:type="dxa"/>
              <w:end w:w="120" w:type="dxa"/>
            </w:tcMar>
            <w:shd w:fill="EAF2F8"/>
          </w:tcPr>
          <w:p>
            <w:r>
              <w:t>Ill-conditioning</w:t>
            </w:r>
          </w:p>
        </w:tc>
        <w:tc>
          <w:tcPr>
            <w:tcW w:type="dxa" w:w="3293"/>
            <w:tcMar>
              <w:top w:w="100" w:type="dxa"/>
              <w:start w:w="120" w:type="dxa"/>
              <w:bottom w:w="100" w:type="dxa"/>
              <w:end w:w="120" w:type="dxa"/>
            </w:tcMar>
            <w:shd w:fill="EAF2F8"/>
          </w:tcPr>
          <w:p>
            <w:r>
              <w:t>Unstable recommendations</w:t>
            </w:r>
          </w:p>
        </w:tc>
        <w:tc>
          <w:tcPr>
            <w:tcW w:type="dxa" w:w="3293"/>
            <w:tcMar>
              <w:top w:w="100" w:type="dxa"/>
              <w:start w:w="120" w:type="dxa"/>
              <w:bottom w:w="100" w:type="dxa"/>
              <w:end w:w="120" w:type="dxa"/>
            </w:tcMar>
            <w:shd w:fill="EAF2F8"/>
          </w:tcPr>
          <w:p>
            <w:r>
              <w:t>Condition number and sensitivity tests</w:t>
            </w:r>
          </w:p>
        </w:tc>
      </w:tr>
      <w:tr>
        <w:tc>
          <w:tcPr>
            <w:tcW w:type="dxa" w:w="3293"/>
            <w:tcMar>
              <w:top w:w="100" w:type="dxa"/>
              <w:start w:w="120" w:type="dxa"/>
              <w:bottom w:w="100" w:type="dxa"/>
              <w:end w:w="120" w:type="dxa"/>
            </w:tcMar>
            <w:shd w:fill="FFFFFF"/>
          </w:tcPr>
          <w:p>
            <w:r>
              <w:t>Biased coefficients</w:t>
            </w:r>
          </w:p>
        </w:tc>
        <w:tc>
          <w:tcPr>
            <w:tcW w:type="dxa" w:w="3293"/>
            <w:tcMar>
              <w:top w:w="100" w:type="dxa"/>
              <w:start w:w="120" w:type="dxa"/>
              <w:bottom w:w="100" w:type="dxa"/>
              <w:end w:w="120" w:type="dxa"/>
            </w:tcMar>
            <w:shd w:fill="FFFFFF"/>
          </w:tcPr>
          <w:p>
            <w:r>
              <w:t>Systematic policy error</w:t>
            </w:r>
          </w:p>
        </w:tc>
        <w:tc>
          <w:tcPr>
            <w:tcW w:type="dxa" w:w="3293"/>
            <w:tcMar>
              <w:top w:w="100" w:type="dxa"/>
              <w:start w:w="120" w:type="dxa"/>
              <w:bottom w:w="100" w:type="dxa"/>
              <w:end w:w="120" w:type="dxa"/>
            </w:tcMar>
            <w:shd w:fill="FFFFFF"/>
          </w:tcPr>
          <w:p>
            <w:r>
              <w:t>Evidence traceability and domain validation</w:t>
            </w:r>
          </w:p>
        </w:tc>
      </w:tr>
      <w:tr>
        <w:tc>
          <w:tcPr>
            <w:tcW w:type="dxa" w:w="3293"/>
            <w:tcMar>
              <w:top w:w="100" w:type="dxa"/>
              <w:start w:w="120" w:type="dxa"/>
              <w:bottom w:w="100" w:type="dxa"/>
              <w:end w:w="120" w:type="dxa"/>
            </w:tcMar>
            <w:shd w:fill="EAF2F8"/>
          </w:tcPr>
          <w:p>
            <w:r>
              <w:t>Constraint omission</w:t>
            </w:r>
          </w:p>
        </w:tc>
        <w:tc>
          <w:tcPr>
            <w:tcW w:type="dxa" w:w="3293"/>
            <w:tcMar>
              <w:top w:w="100" w:type="dxa"/>
              <w:start w:w="120" w:type="dxa"/>
              <w:bottom w:w="100" w:type="dxa"/>
              <w:end w:w="120" w:type="dxa"/>
            </w:tcMar>
            <w:shd w:fill="EAF2F8"/>
          </w:tcPr>
          <w:p>
            <w:r>
              <w:t>Infeasible implementation</w:t>
            </w:r>
          </w:p>
        </w:tc>
        <w:tc>
          <w:tcPr>
            <w:tcW w:type="dxa" w:w="3293"/>
            <w:tcMar>
              <w:top w:w="100" w:type="dxa"/>
              <w:start w:w="120" w:type="dxa"/>
              <w:bottom w:w="100" w:type="dxa"/>
              <w:end w:w="120" w:type="dxa"/>
            </w:tcMar>
            <w:shd w:fill="EAF2F8"/>
          </w:tcPr>
          <w:p>
            <w:r>
              <w:t>Operational and equity constraints</w:t>
            </w:r>
          </w:p>
        </w:tc>
      </w:tr>
      <w:tr>
        <w:tc>
          <w:tcPr>
            <w:tcW w:type="dxa" w:w="3293"/>
            <w:tcMar>
              <w:top w:w="100" w:type="dxa"/>
              <w:start w:w="120" w:type="dxa"/>
              <w:bottom w:w="100" w:type="dxa"/>
              <w:end w:w="120" w:type="dxa"/>
            </w:tcMar>
            <w:shd w:fill="FFFFFF"/>
          </w:tcPr>
          <w:p>
            <w:r>
              <w:t>Overclaiming residuals</w:t>
            </w:r>
          </w:p>
        </w:tc>
        <w:tc>
          <w:tcPr>
            <w:tcW w:type="dxa" w:w="3293"/>
            <w:tcMar>
              <w:top w:w="100" w:type="dxa"/>
              <w:start w:w="120" w:type="dxa"/>
              <w:bottom w:w="100" w:type="dxa"/>
              <w:end w:w="120" w:type="dxa"/>
            </w:tcMar>
            <w:shd w:fill="FFFFFF"/>
          </w:tcPr>
          <w:p>
            <w:r>
              <w:t>False confidence</w:t>
            </w:r>
          </w:p>
        </w:tc>
        <w:tc>
          <w:tcPr>
            <w:tcW w:type="dxa" w:w="3293"/>
            <w:tcMar>
              <w:top w:w="100" w:type="dxa"/>
              <w:start w:w="120" w:type="dxa"/>
              <w:bottom w:w="100" w:type="dxa"/>
              <w:end w:w="120" w:type="dxa"/>
            </w:tcMar>
            <w:shd w:fill="FFFFFF"/>
          </w:tcPr>
          <w:p>
            <w:r>
              <w:t>Separate computational fit from model validity</w:t>
            </w:r>
          </w:p>
        </w:tc>
      </w:tr>
    </w:tbl>
    <w:p>
      <w:pPr>
        <w:pStyle w:val="Heading1"/>
      </w:pPr>
      <w:r>
        <w:t>Leadership questions before authorization</w:t>
      </w:r>
    </w:p>
    <w:p>
      <w:pPr>
        <w:pStyle w:val="ListBullet"/>
      </w:pPr>
      <w:r>
        <w:t>Who supplied each coefficient and when was it validated?</w:t>
      </w:r>
    </w:p>
    <w:p>
      <w:pPr>
        <w:pStyle w:val="ListBullet"/>
      </w:pPr>
      <w:r>
        <w:t>What information is redundant or missing?</w:t>
      </w:r>
    </w:p>
    <w:p>
      <w:pPr>
        <w:pStyle w:val="ListBullet"/>
      </w:pPr>
      <w:r>
        <w:t>How much does the recommendation change under credible perturbations?</w:t>
      </w:r>
    </w:p>
    <w:p>
      <w:pPr>
        <w:pStyle w:val="ListBullet"/>
      </w:pPr>
      <w:r>
        <w:t>Which constraints are mathematical, operational, legal or political?</w:t>
      </w:r>
    </w:p>
    <w:p>
      <w:pPr>
        <w:pStyle w:val="ListBullet"/>
      </w:pPr>
      <w:r>
        <w:t>Who owns the decision when the model and professional judgment disagree?</w:t>
      </w:r>
    </w:p>
    <w:p>
      <w:pPr>
        <w:pStyle w:val="ListBullet"/>
      </w:pPr>
      <w:r>
        <w:t>Can another analyst reproduce the complete calculation?</w:t>
      </w:r>
    </w:p>
    <w:p>
      <w:pPr>
        <w:pStyle w:val="Heading1"/>
      </w:pPr>
      <w:r>
        <w:t>Recommended institutional practice</w:t>
      </w:r>
    </w:p>
    <w:p>
      <w:r>
        <w:t>Treat every material matrix-based decision as a controlled analytical product. Preserve the source data, model definition, code, environment, diagnostics, sensitivity results, interpretation, reviewer decision and publication status. This creates accountability without pretending that mathematics can substitute for governance.</w:t>
      </w:r>
    </w:p>
    <w:p>
      <w:pPr>
        <w:pStyle w:val="Heading1"/>
      </w:pPr>
      <w:r>
        <w:t>Lesson 4 deliverables</w:t>
      </w:r>
    </w:p>
    <w:p>
      <w:pPr>
        <w:pStyle w:val="ListBullet"/>
      </w:pPr>
      <w:r>
        <w:t>Audited chapter on matrix algebra and linear systems.</w:t>
      </w:r>
    </w:p>
    <w:p>
      <w:pPr>
        <w:pStyle w:val="ListBullet"/>
      </w:pPr>
      <w:r>
        <w:t>Executable notebook implementing stable elimination and diagnostics.</w:t>
      </w:r>
    </w:p>
    <w:p>
      <w:pPr>
        <w:pStyle w:val="ListBullet"/>
      </w:pPr>
      <w:r>
        <w:t>Exercises and complete solutions.</w:t>
      </w:r>
    </w:p>
    <w:p>
      <w:pPr>
        <w:pStyle w:val="ListBullet"/>
      </w:pPr>
      <w:r>
        <w:t>Independent review and controlled validation evidence.</w:t>
      </w:r>
    </w:p>
    <w:p>
      <w:pPr>
        <w:pStyle w:val="ListBullet"/>
      </w:pPr>
      <w:r>
        <w:t>Production assets for video, GitHub and the public SRAI learning environment.</w:t>
      </w:r>
    </w:p>
    <w:p>
      <w:pPr>
        <w:pStyle w:val="Heading1"/>
      </w:pPr>
      <w:r>
        <w:t>Bottom line</w:t>
      </w:r>
    </w:p>
    <w:p>
      <w:r>
        <w:t>Matrices organize connected evidence. Linear systems make constraints solvable. Rank, conditioning, residuals and sensitivity determine whether the numerical answer deserves confidence. Responsible use requires mathematical discipline, reproducible computation and accountable professional judgment together.</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C69"/>
        <w:sz w:val="15"/>
      </w:rPr>
      <w:t>Statistics, Reasoning and Artificial Intelligence  |  Matrix Algebra and Linear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05C69"/>
        <w:sz w:val="15"/>
      </w:rPr>
      <w:t>SRAI  |  PU-B01-C04  |  CONTROLLED PRODUCTION CANDIDATE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6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ptos" w:hAnsi="Aptos"/>
      <w:b w:val="0"/>
      <w:i/>
      <w:iCs/>
      <w:color w:val="168A8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PU-B01-C04 Executive Brief</dc:title>
  <dc:subject>PU-B01-C04 controlled production asset</dc:subject>
  <dc:creator>SRAI</dc:creator>
  <cp:keywords>SRAI, matrix algebra, linear systems, reproducible computation</cp:keywords>
  <dc:description>generated by python-docx</dc:description>
  <cp:lastModifiedBy/>
  <cp:revision>1</cp:revision>
  <dcterms:created xsi:type="dcterms:W3CDTF">2013-12-23T23:15:00Z</dcterms:created>
  <dcterms:modified xsi:type="dcterms:W3CDTF">2013-12-23T23:15:00Z</dcterms:modified>
  <cp:category/>
</cp:coreProperties>
</file>