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i w:val="0"/>
          <w:color w:val="BE912A"/>
          <w:sz w:val="20"/>
        </w:rPr>
        <w:t>EXECUTIVE BRIEF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132D48"/>
          <w:sz w:val="52"/>
        </w:rPr>
        <w:t>Reducing Dimensions Without Losing What Matters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1F6FB2"/>
          <w:sz w:val="28"/>
        </w:rPr>
        <w:t>Decision controls for SVD and PCA</w:t>
      </w:r>
    </w:p>
    <w:p>
      <w:pPr>
        <w:jc w:val="center"/>
      </w:pPr>
      <w:r>
        <w:rPr>
          <w:rFonts w:ascii="Arial" w:hAnsi="Arial"/>
          <w:b/>
          <w:i w:val="0"/>
          <w:color w:val="5A626A"/>
          <w:sz w:val="20"/>
        </w:rPr>
        <w:t>SRAI - Statistics, Reasoning and Artificial Intelligence</w:t>
      </w:r>
    </w:p>
    <w:p>
      <w:pPr>
        <w:jc w:val="center"/>
      </w:pPr>
      <w:r>
        <w:rPr>
          <w:rFonts w:ascii="Arial" w:hAnsi="Arial"/>
          <w:b w:val="0"/>
          <w:i w:val="0"/>
          <w:color w:val="5A626A"/>
          <w:sz w:val="20"/>
        </w:rPr>
        <w:t>Book 1: Mathematical Foundations | Lesson 7</w:t>
      </w:r>
    </w:p>
    <w:p>
      <w:r>
        <w:br w:type="page"/>
      </w:r>
    </w:p>
    <w:p>
      <w:pPr>
        <w:pStyle w:val="Heading1"/>
      </w:pPr>
      <w:r>
        <w:t>Executive issue</w:t>
      </w:r>
    </w:p>
    <w:p>
      <w:r>
        <w:rPr>
          <w:rFonts w:ascii="Arial" w:hAnsi="Arial"/>
          <w:b w:val="0"/>
          <w:i w:val="0"/>
          <w:sz w:val="21"/>
        </w:rPr>
        <w:t>SVD and PCA can turn many correlated indicators into a smaller set of reproducible dimensions. This can improve clarity, speed and model stability. It can also remove low-variance information that is operationally, ethically or politically important.</w:t>
      </w:r>
    </w:p>
    <w:p>
      <w:pPr>
        <w:pStyle w:val="Heading1"/>
      </w:pPr>
      <w:r>
        <w:t>What leaders should require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A named decision purpose and accountable owner.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A documented choice of variables, units, centering and scaling.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A transparent rule for the number of retained dimensions.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Reconstruction and downstream-performance evidence, including subgroup checks.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A preservation-and-loss statement in plain language.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Access to original variables, residuals and an escalation or reversal path.</w:t>
      </w:r>
    </w:p>
    <w:p>
      <w:pPr>
        <w:pStyle w:val="Heading1"/>
      </w:pPr>
      <w:r>
        <w:t>Five questions for the decision meeting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What decision will use the compressed representation?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What information does it preserve, and according to which metric?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Which groups, anomalies or rare events are least well represented?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How does compression change downstream results and error costs?</w:t>
      </w:r>
    </w:p>
    <w:p>
      <w:pPr>
        <w:pStyle w:val="ListBullet"/>
        <w:ind w:left="360" w:hanging="259"/>
      </w:pPr>
      <w:r>
        <w:rPr>
          <w:rFonts w:ascii="Arial" w:hAnsi="Arial"/>
          <w:b w:val="0"/>
          <w:i w:val="0"/>
          <w:sz w:val="21"/>
        </w:rPr>
        <w:t>Who can stop, revise or reverse its use?</w:t>
      </w:r>
    </w:p>
    <w:p>
      <w:pPr>
        <w:pStyle w:val="Heading1"/>
      </w:pPr>
      <w:r>
        <w:t>Interpretation guardrails</w:t>
      </w:r>
    </w:p>
    <w:p>
      <w:r>
        <w:rPr>
          <w:rFonts w:ascii="Arial" w:hAnsi="Arial"/>
          <w:b w:val="0"/>
          <w:i w:val="0"/>
          <w:sz w:val="21"/>
        </w:rPr>
        <w:t>Explained variance is not accuracy, causal importance or fairness. Component names are hypotheses, not facts. Opposite component signs can be mathematically equivalent. A technically optimal low-rank approximation can still be institutionally unacceptable.</w:t>
      </w:r>
    </w:p>
    <w:p>
      <w:pPr>
        <w:pStyle w:val="Heading1"/>
      </w:pPr>
      <w:r>
        <w:t>Recommended decision condition</w:t>
      </w:r>
    </w:p>
    <w:p>
      <w:r>
        <w:rPr>
          <w:rFonts w:ascii="Arial" w:hAnsi="Arial"/>
          <w:b w:val="0"/>
          <w:i w:val="0"/>
          <w:sz w:val="21"/>
        </w:rPr>
        <w:t>Authorize dimensionality reduction only for a bounded use where preprocessing is reproducible, loss is measured, affected groups are reviewed, original information remains recoverable and a named owner can revise or stop the approach.</w:t>
      </w:r>
    </w:p>
    <w:p>
      <w:pPr>
        <w:pStyle w:val="Heading1"/>
      </w:pPr>
      <w:r>
        <w:t>Bottom line</w:t>
      </w:r>
    </w:p>
    <w:p>
      <w:r>
        <w:rPr>
          <w:rFonts w:ascii="Arial" w:hAnsi="Arial"/>
          <w:b w:val="0"/>
          <w:i w:val="0"/>
          <w:sz w:val="21"/>
        </w:rPr>
        <w:t>Compression is a decision about information removal. Treat it as a governed analytical intervention, not merely a preprocessing convenience.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A"/>
        <w:sz w:val="16"/>
      </w:rPr>
      <w:t xml:space="preserve">PU-B01-C07 | Controlled publication candidate v0.1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5A626A"/>
        <w:sz w:val="16"/>
      </w:rPr>
      <w:t>SRAI | Book 1 | Executive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32D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BE91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