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Exercises and</w:t>
        <w:br/>
        <w:t>Complete Solutions</w:t>
      </w:r>
    </w:p>
    <w:p>
      <w:pPr/>
      <w:r>
        <w:t>Vector Spaces, Bases, Rank and Projections · v1.0</w:t>
      </w:r>
    </w:p>
    <w:p>
      <w:pPr/>
      <w:r>
        <w:t>Work each problem before reading its solution. Vectors are real column vectors unless stated otherwise; semicolons separate matrix rows. Numerical checks allow floating-point tolerance. These exercises extend the owner-approved chapter and notebook and await review as new production assets.</w:t>
      </w:r>
    </w:p>
    <w:p>
      <w:pPr>
        <w:pStyle w:val="Heading1"/>
      </w:pPr>
      <w:r>
        <w:t>Level A · Subspaces and coordinates</w:t>
      </w:r>
    </w:p>
    <w:p>
      <w:pPr>
        <w:pStyle w:val="Heading2"/>
      </w:pPr>
      <w:r>
        <w:t>1. A plane through the origin—or a shifted plane?</w:t>
      </w:r>
    </w:p>
    <w:p>
      <w:pPr/>
      <w:r>
        <w:t>Question. In ℝ³, compare S = {(a, b, 0)ᵀ : a, b ∈ ℝ} and T = {(a, b, 1)ᵀ : a, b ∈ ℝ}. Which is a subspace? Give its basis and dimension, and locate (2, 3, 1)ᵀ.</w:t>
      </w:r>
    </w:p>
    <w:p>
      <w:pPr/>
      <w:r>
        <w:t>Solution. S contains zero. Adding two of its vectors keeps the third coordinate zero, and multiplying by any real scalar also keeps it zero. Thus S is a subspace. Every vector in S equals a(1, 0, 0)ᵀ + b(0, 1, 0)ᵀ. These two spanning vectors are independent, so they form a basis and dim S = 2. T excludes zero: even zero times a vector of T leaves T. It is not a subspace. The vector (2, 3, 1)ᵀ belongs to T but not to S.</w:t>
      </w:r>
    </w:p>
    <w:p>
      <w:pPr>
        <w:pStyle w:val="Heading2"/>
      </w:pPr>
      <w:r>
        <w:t>2. A different basis, the same vector</w:t>
      </w:r>
    </w:p>
    <w:p>
      <w:pPr/>
      <w:r>
        <w:t>Question. Use b₁ = (1, 1)ᵀ and b₂ = (1, −1)ᵀ to represent v = (6, 2)ᵀ. Establish that the representation is unique.</w:t>
      </w:r>
    </w:p>
    <w:p>
      <w:pPr>
        <w:jc w:val="center"/>
      </w:pPr>
      <w:r>
        <w:rPr>
          <w:rFonts w:ascii="Cambria Math" w:hAnsi="Cambria Math"/>
          <w:sz w:val="22"/>
        </w:rPr>
        <w:t>c₁ + c₂ = 6,     c₁ − c₂ = 2     ⇒     c₁ = 4, c₂ = 2</w:t>
      </w:r>
    </w:p>
    <w:p>
      <w:pPr/>
      <w:r>
        <w:t>Solution. Adding the equations gives 2c₁ = 8; subtraction gives 2c₂ = 4. Reconstruction yields 4(1, 1)ᵀ + 2(1, −1)ᵀ = (6, 2)ᵀ. The basis matrix has determinant −2, which is nonzero, so its columns are independent and the coordinates (4, 2)ᵀ are unique. They are coefficients in this basis, not a new position for v.</w:t>
      </w:r>
    </w:p>
    <w:p>
      <w:pPr>
        <w:pStyle w:val="Heading1"/>
        <w:pageBreakBefore/>
      </w:pPr>
      <w:r>
        <w:t>Level B · Rank and fundamental subspaces</w:t>
      </w:r>
    </w:p>
    <w:p>
      <w:pPr>
        <w:pStyle w:val="Heading2"/>
      </w:pPr>
      <w:r>
        <w:t>3. Describe all three spaces of a rectangular matrix</w:t>
      </w:r>
    </w:p>
    <w:p>
      <w:pPr/>
      <w:r>
        <w:t>Question. For A = [(1, 2, 3); (2, 4, 6)], find bases for its column, row and null spaces. Check rank–nullity and identify their ambient spaces.</w:t>
      </w:r>
    </w:p>
    <w:p>
      <w:pPr/>
      <w:r>
        <w:t>Solution. All columns are multiples of (1, 2)ᵀ; the second row is twice the first. A column-space basis is {(1, 2)ᵀ} in ℝ², and a row-space basis is {(1, 2, 3)} in ℝ³. Both spaces have dimension 1. The null-space equation reduces to x₁ + 2x₂ + 3x₃ = 0. Write x₂ = s and x₃ = t.</w:t>
      </w:r>
    </w:p>
    <w:p>
      <w:pPr>
        <w:jc w:val="center"/>
      </w:pPr>
      <w:r>
        <w:rPr>
          <w:rFonts w:ascii="Cambria Math" w:hAnsi="Cambria Math"/>
          <w:sz w:val="22"/>
        </w:rPr>
        <w:t>x = s(−2, 1, 0)ᵀ + t(−3, 0, 1)ᵀ</w:t>
      </w:r>
    </w:p>
    <w:p>
      <w:pPr/>
      <w:r>
        <w:t>These two vectors lie in ℝ³, are independent, and are both sent to zero by A. They form a null-space basis. Hence nullity is 2 and rank + nullity = 1 + 2 = 3, the number of columns. The row and null spaces are perpendicular: each null basis vector has dot product zero with (1, 2, 3). The column space is in a different ambient space and must not be directly compared to these three-coordinate spaces.</w:t>
      </w:r>
    </w:p>
    <w:p>
      <w:pPr>
        <w:pStyle w:val="Heading2"/>
      </w:pPr>
      <w:r>
        <w:t>4. Redundant columns and nonunique coefficients</w:t>
      </w:r>
    </w:p>
    <w:p>
      <w:pPr/>
      <w:r>
        <w:t>Question. Let B have columns (1, 2)ᵀ and (2, 4)ᵀ. Represent y = (3, 6)ᵀ. Are its coefficients unique? Does adding the second column increase the span?</w:t>
      </w:r>
    </w:p>
    <w:p>
      <w:pPr>
        <w:jc w:val="center"/>
      </w:pPr>
      <w:r>
        <w:rPr>
          <w:rFonts w:ascii="Cambria Math" w:hAnsi="Cambria Math"/>
          <w:sz w:val="22"/>
        </w:rPr>
        <w:t>c₁ + 2c₂ = 3     ⇒     c = (3 − 2t, t)ᵀ, t ∈ ℝ</w:t>
      </w:r>
    </w:p>
    <w:p>
      <w:pPr/>
      <w:r>
        <w:t>Solution. Every such pair reconstructs y. Examples are (3, 0)ᵀ and (1, 1)ᵀ, so the coefficients are not unique. The second column is twice the first; it adds no new direction. Rank(B) = 1 and its span is the line through (1, 2)ᵀ. This shows why a spanning collection is not necessarily a basis, and why unique fitted vectors do not imply unique coefficient vectors.</w:t>
      </w:r>
    </w:p>
    <w:p>
      <w:pPr>
        <w:pStyle w:val="Heading2"/>
      </w:pPr>
      <w:r>
        <w:t>Numerical verification</w:t>
      </w:r>
    </w:p>
    <w:p>
      <w:pPr/>
      <w:r>
        <w:t>Use matrix multiplication to verify each null-space vector and reconstruction. If SVD returns different signed basis vectors, compare the spaces or their orthogonal projectors instead of expecting identical entries. For nearly dependent columns, record the rank tolerance.</w:t>
      </w:r>
    </w:p>
    <w:p>
      <w:pPr>
        <w:pStyle w:val="Heading1"/>
        <w:pageBreakBefore/>
      </w:pPr>
      <w:r>
        <w:t>Level B · Constructing an orthogonal projector</w:t>
      </w:r>
    </w:p>
    <w:p>
      <w:pPr>
        <w:pStyle w:val="Heading2"/>
      </w:pPr>
      <w:r>
        <w:t>5. Project onto a line and prove closest distance</w:t>
      </w:r>
    </w:p>
    <w:p>
      <w:pPr/>
      <w:r>
        <w:t>Question. Project x = (2, 3)ᵀ onto span{u}, where u = (1, 1)ᵀ. Find P, the projected vector p and residual r. Why is p the closest point?</w:t>
      </w:r>
    </w:p>
    <w:p>
      <w:pPr>
        <w:jc w:val="center"/>
      </w:pPr>
      <w:r>
        <w:rPr>
          <w:rFonts w:ascii="Cambria Math" w:hAnsi="Cambria Math"/>
          <w:sz w:val="22"/>
        </w:rPr>
        <w:t>P = uuᵀ/(uᵀu) = [(1/2, 1/2); (1/2, 1/2)]</w:t>
      </w:r>
    </w:p>
    <w:p>
      <w:pPr>
        <w:jc w:val="center"/>
      </w:pPr>
      <w:r>
        <w:rPr>
          <w:rFonts w:ascii="Cambria Math" w:hAnsi="Cambria Math"/>
          <w:sz w:val="22"/>
        </w:rPr>
        <w:t>p = Px = (5/2, 5/2)ᵀ,     r = (−1/2, 1/2)ᵀ</w:t>
      </w:r>
    </w:p>
    <w:p>
      <w:pPr/>
      <w:r>
        <w:t>Solution. Since uᵀu = 2 and uᵀx = 5, the coefficient is 5/2. Symmetry is immediate, and multiplying P by itself gives P. Also uᵀr = 0 and pᵀr = 0. For any z in the line, p − z lies in the line and is perpendicular to r. Therefore ‖x − z‖² = ‖r‖² + ‖p − z‖², minimized at z = p. Here ‖x‖² = 13, ‖p‖² = 25/2, and ‖r‖² = 1/2.</w:t>
      </w:r>
    </w:p>
    <w:p>
      <w:pPr>
        <w:pStyle w:val="Heading2"/>
      </w:pPr>
      <w:r>
        <w:t>6. Projection onto a plane and a partial plot</w:t>
      </w:r>
    </w:p>
    <w:p>
      <w:pPr/>
      <w:r>
        <w:t>Question. Project x = (2, 3, 4)ᵀ onto S = span{(1, 0, 0)ᵀ, (0, 1, 0)ᵀ}. Explain what is lost from a plot showing only coordinates 1 and 3.</w:t>
      </w:r>
    </w:p>
    <w:p>
      <w:pPr>
        <w:jc w:val="center"/>
      </w:pPr>
      <w:r>
        <w:rPr>
          <w:rFonts w:ascii="Cambria Math" w:hAnsi="Cambria Math"/>
          <w:sz w:val="22"/>
        </w:rPr>
        <w:t>P = diag(1, 1, 0),     p = (2, 3, 0)ᵀ,     r = (0, 0, 4)ᵀ</w:t>
      </w:r>
    </w:p>
    <w:p>
      <w:pPr/>
      <w:r>
        <w:t>Solution. P keeps the first two coordinates and removes the third. It is symmetric and idempotent. The residual is perpendicular to both spanning vectors. The squared-length check is 29 = 13 + 16. In the notebook’s two-coordinate view, p appears as (2, 0), but that is not the full vector. The omitted second coordinate remains 3. Reading the plotted arrow as the full projection would incorrectly discard retained information.</w:t>
      </w:r>
    </w:p>
    <w:p>
      <w:pPr>
        <w:pStyle w:val="Heading2"/>
      </w:pPr>
      <w:r>
        <w:t>Check to retain in every implementation</w:t>
      </w:r>
    </w:p>
    <w:p>
      <w:pPr/>
      <w:r>
        <w:t>For an orthonormal basis Q, verify P = QQᵀ, Pᵀ ≈ P, P² ≈ P and Qᵀ(x − Px) ≈ 0. Reconstruction x ≈ p + r is necessary but not sufficient to prove orthogonality.</w:t>
      </w:r>
    </w:p>
    <w:p>
      <w:pPr>
        <w:pStyle w:val="Heading1"/>
        <w:pageBreakBefore/>
      </w:pPr>
      <w:r>
        <w:t>Level C · Regression tests and least squares</w:t>
      </w:r>
    </w:p>
    <w:p>
      <w:pPr>
        <w:pStyle w:val="Heading2"/>
      </w:pPr>
      <w:r>
        <w:t>7. A zero leading column must not change the answer</w:t>
      </w:r>
    </w:p>
    <w:p>
      <w:pPr/>
      <w:r>
        <w:t>Question. For B = [(0, 0); (0, 1)], find the orthogonal projector onto Col(B). Explain why column order must not affect the projector.</w:t>
      </w:r>
    </w:p>
    <w:p>
      <w:pPr/>
      <w:r>
        <w:t>Solution. The first column is zero and the second is (0, 1)ᵀ, so the column space is the second coordinate axis. Its orthonormal basis can be Q = (0, 1)ᵀ; therefore P = QQᵀ = diag(0, 1). Swapping the columns does not change their span or the projector. Simply retaining the first rank(B) columns from an unpivoted QR result can select the wrong direction. An SVD-based column-space basis handles this case. A regression test should check the known projector and its invariance under column permutation, not only P² = P.</w:t>
      </w:r>
    </w:p>
    <w:p>
      <w:pPr>
        <w:pStyle w:val="Heading2"/>
      </w:pPr>
      <w:r>
        <w:t>8. Fit a line and verify residual orthogonality</w:t>
      </w:r>
    </w:p>
    <w:p>
      <w:pPr/>
      <w:r>
        <w:t>Question. Fit an intercept and slope to responses b = (1, 2, 2)ᵀ observed at t = 0, 1, 2. Find coefficients, fitted values, residual and squared error.</w:t>
      </w:r>
    </w:p>
    <w:p>
      <w:pPr>
        <w:jc w:val="center"/>
      </w:pPr>
      <w:r>
        <w:rPr>
          <w:rFonts w:ascii="Cambria Math" w:hAnsi="Cambria Math"/>
          <w:sz w:val="22"/>
        </w:rPr>
        <w:t>A = [(1, 0); (1, 1); (1, 2)]</w:t>
      </w:r>
    </w:p>
    <w:p>
      <w:pPr>
        <w:jc w:val="center"/>
      </w:pPr>
      <w:r>
        <w:rPr>
          <w:rFonts w:ascii="Cambria Math" w:hAnsi="Cambria Math"/>
          <w:sz w:val="22"/>
        </w:rPr>
        <w:t>AᵀA = [(3, 3); (3, 5)],     Aᵀb = (5, 6)ᵀ</w:t>
      </w:r>
    </w:p>
    <w:p>
      <w:pPr/>
      <w:r>
        <w:t>Solution. The normal equations are 3β₀ + 3β₁ = 5 and 3β₀ + 5β₁ = 6. Subtraction gives 2β₁ = 1; then β₀ = 7/6. These equations provide a hand derivation; use a stable least-squares solver in numerical work rather than explicitly inverting AᵀA.</w:t>
      </w:r>
    </w:p>
    <w:p>
      <w:pPr>
        <w:jc w:val="center"/>
      </w:pPr>
      <w:r>
        <w:rPr>
          <w:rFonts w:ascii="Cambria Math" w:hAnsi="Cambria Math"/>
          <w:sz w:val="22"/>
        </w:rPr>
        <w:t>β = (7/6, 1/2)ᵀ,     Aβ = (7/6, 5/3, 13/6)ᵀ</w:t>
      </w:r>
    </w:p>
    <w:p>
      <w:pPr>
        <w:jc w:val="center"/>
      </w:pPr>
      <w:r>
        <w:rPr>
          <w:rFonts w:ascii="Cambria Math" w:hAnsi="Cambria Math"/>
          <w:sz w:val="22"/>
        </w:rPr>
        <w:t>r = (−1/6, 1/3, −1/6)ᵀ,     ‖r‖² = 1/6</w:t>
      </w:r>
    </w:p>
    <w:p>
      <w:pPr/>
      <w:r>
        <w:t>The residual sum is −1/6 + 1/3 − 1/6 = 0. Its inner product with the time column is 0 + 1/3 − 2/6 = 0. Hence Aᵀr = 0, establishing that the fitted vector is the orthogonal projection onto Col(A). Independent design columns make β unique in this example.</w:t>
      </w:r>
    </w:p>
    <w:p>
      <w:pPr>
        <w:pStyle w:val="Heading1"/>
        <w:pageBreakBefore/>
      </w:pPr>
      <w:r>
        <w:t>Level C · Interpreting mathematical guarantees</w:t>
      </w:r>
    </w:p>
    <w:p>
      <w:pPr>
        <w:pStyle w:val="Heading2"/>
      </w:pPr>
      <w:r>
        <w:t>9. Is every idempotent matrix an orthogonal projector?</w:t>
      </w:r>
    </w:p>
    <w:p>
      <w:pPr/>
      <w:r>
        <w:t>Question. Consider H = [(1, 1); (0, 0)]. Compute H² and Hᵀ. For x = (0, 1)ᵀ, inspect p = Hx and r = x − p.</w:t>
      </w:r>
    </w:p>
    <w:p>
      <w:pPr>
        <w:jc w:val="center"/>
      </w:pPr>
      <w:r>
        <w:rPr>
          <w:rFonts w:ascii="Cambria Math" w:hAnsi="Cambria Math"/>
          <w:sz w:val="22"/>
        </w:rPr>
        <w:t>H² = H,     Hᵀ = [(1, 0); (1, 0)] ≠ H</w:t>
      </w:r>
    </w:p>
    <w:p>
      <w:pPr>
        <w:jc w:val="center"/>
      </w:pPr>
      <w:r>
        <w:rPr>
          <w:rFonts w:ascii="Cambria Math" w:hAnsi="Cambria Math"/>
          <w:sz w:val="22"/>
        </w:rPr>
        <w:t>p = (1, 0)ᵀ,     r = (−1, 1)ᵀ,     pᵀr = −1</w:t>
      </w:r>
    </w:p>
    <w:p>
      <w:pPr/>
      <w:r>
        <w:t>Solution. H is idempotent but not symmetric. Its residual is not perpendicular to its range, the first coordinate axis. H is an oblique projection, not the Euclidean orthogonal projection. The closest point on that axis to (0, 1)ᵀ is actually zero. This counterexample explains why an idempotence-only test is insufficient.</w:t>
      </w:r>
    </w:p>
    <w:p>
      <w:pPr>
        <w:pStyle w:val="Heading2"/>
      </w:pPr>
      <w:r>
        <w:t>10. Unique fitted values, multiple coefficients</w:t>
      </w:r>
    </w:p>
    <w:p>
      <w:pPr/>
      <w:r>
        <w:t>Question. Let A = [(1, 1); (1, 1)] and b = (1, 3)ᵀ. Find the fitted vector and all least-squares coefficients. Which has minimum Euclidean norm?</w:t>
      </w:r>
    </w:p>
    <w:p>
      <w:pPr/>
      <w:r>
        <w:t>Solution. The column space is span{(1, 1)ᵀ}; the orthogonal projection of b is its coordinate mean times this vector, giving fitted values (2, 2)ᵀ. The residual (−1, 1)ᵀ is perpendicular to that line. Every β satisfying β₁ + β₂ = 2 produces the same fitted values. Write β = (1 + t, 1 − t)ᵀ. Its squared norm is 2 + 2t², minimized at t = 0, so the minimum-norm solution is (1, 1)ᵀ.</w:t>
      </w:r>
    </w:p>
    <w:p>
      <w:pPr>
        <w:pStyle w:val="Heading2"/>
      </w:pPr>
      <w:r>
        <w:t>Application distinction</w:t>
      </w:r>
    </w:p>
    <w:p>
      <w:pPr/>
      <w:r>
        <w:t>PCA projects centered data onto selected orthonormal principal directions. A learned linear map in an attention architecture is not guaranteed to be a projector: it may be rectangular, nonsymmetric or nonidempotent. The label “projection” is not sufficient evidence of the orthogonal-projection properties used above. Specify the actual map and test the relevant assumptions.</w:t>
      </w:r>
    </w:p>
    <w:p>
      <w:pPr>
        <w:pStyle w:val="Heading1"/>
        <w:pageBreakBefore/>
      </w:pPr>
      <w:r>
        <w:t>Capstone · A policy residual is not a verdict</w:t>
      </w:r>
    </w:p>
    <w:p>
      <w:pPr>
        <w:pStyle w:val="Heading2"/>
      </w:pPr>
      <w:r>
        <w:t>11. Reproduce the illustrative policy decomposition</w:t>
      </w:r>
    </w:p>
    <w:p>
      <w:pPr/>
      <w:r>
        <w:t>Question. Let b₁ = (1, 0.2, 0.6)ᵀ, b₂ = (0.2, 1, 0.6)ᵀ, B = [b₁ b₂], and x = (0.9, 0.7, 0.1)ᵀ. Coordinates describe standardized Agriculture, Health and Energy priorities. Find the projection and interpret the residual. These are illustrative values, not empirical estimates.</w:t>
      </w:r>
    </w:p>
    <w:p>
      <w:pPr>
        <w:jc w:val="center"/>
      </w:pPr>
      <w:r>
        <w:rPr>
          <w:rFonts w:ascii="Cambria Math" w:hAnsi="Cambria Math"/>
          <w:sz w:val="22"/>
        </w:rPr>
        <w:t>BᵀB = [(7/5, 19/25); (19/25, 7/5)],     Bᵀx = (11/10, 47/50)ᵀ</w:t>
      </w:r>
    </w:p>
    <w:p>
      <w:pPr>
        <w:jc w:val="center"/>
      </w:pPr>
      <w:r>
        <w:rPr>
          <w:rFonts w:ascii="Cambria Math" w:hAnsi="Cambria Math"/>
          <w:sz w:val="22"/>
        </w:rPr>
        <w:t>c = (43/72, 25/72)ᵀ,     p = Bc = (2/3, 7/15, 17/30)ᵀ</w:t>
      </w:r>
    </w:p>
    <w:p>
      <w:pPr>
        <w:jc w:val="center"/>
      </w:pPr>
      <w:r>
        <w:rPr>
          <w:rFonts w:ascii="Cambria Math" w:hAnsi="Cambria Math"/>
          <w:sz w:val="22"/>
        </w:rPr>
        <w:t>r = (7/30, 7/30, −7/15)ᵀ</w:t>
      </w:r>
    </w:p>
    <w:p>
      <w:pPr/>
      <w:r>
        <w:t>Solution. Solve the two coefficient equations to obtain c above. Multiplication by B reconstructs p; subtracting it from x yields r. Both archetype dot products with r are zero: for b₁, 7/30 + 7/150 − 7/25 = 0, and b₂ gives the same sum with its first two terms exchanged. The negative Energy residual says that the proposal is lower on that coordinate than its fitted component. It does not prove inadequacy or establish a spending recommendation.</w:t>
      </w:r>
    </w:p>
    <w:p>
      <w:pPr>
        <w:pStyle w:val="Heading2"/>
      </w:pPr>
      <w:r>
        <w:t>12. Write a defensible interpretation</w:t>
      </w:r>
    </w:p>
    <w:p>
      <w:pPr/>
      <w:r>
        <w:t>Question. What should a decision-maker be told before using this fit? Would this projection automatically respect nonnegative coefficients summing to one?</w:t>
      </w:r>
    </w:p>
    <w:p>
      <w:pPr/>
      <w:r>
        <w:t>Solution. State how each coordinate was standardized, why the two archetypes were chosen, and why Euclidean distance is appropriate. Report both p and r, verify rank and orthogonality, and examine sensitivity to plausible changes in scaling or archetypes. No: a linear subspace allows arbitrary real coefficients. Here the coefficients sum to 17/18, not one. If weights must be nonnegative and sum to one, solve an explicitly constrained problem. Even a mathematically correct projection is conditional on the representation and cannot substitute for evidence, feasibility checks or accountable judgment.</w:t>
      </w:r>
    </w:p>
    <w:p>
      <w:pPr/>
      <w:r>
        <w:t>Reference: owner-approved Chapter 5, sections 5.1–5.6, and companion notebook v0.2.2. New exercises 9–10 are explicit counterexamples/extensions of those definitions. Verify calculations with the packaged mathematical QA script.</w:t>
      </w:r>
    </w:p>
    <w:sectPr>
      <w:headerReference w:type="default" r:id="rId9"/>
      <w:footerReference w:type="default" r:id="rId10"/>
      <w:pgSz w:w="12240" w:h="15840"/>
      <w:pgMar w:top="1440" w:bottom="1440" w:left="1440" w:righ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PU-B01-C05 · Exercises v1.0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SRAI  |  Book 1 · Mathematical Foundations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8116">
    <w:nsid w:val="A998116"/>
    <w:multiLevelType w:val="multilevel"/>
    <w:lvl w:ilvl="0">
      <w:start w:val="16"/>
      <w:numFmt w:val="upperLetter"/>
      <w:lvlText w:val="%1."/>
      <w:lvlJc w:val="left"/>
      <w:pPr>
        <w:ind w:left="720" w:hanging="480"/>
      </w:pPr>
    </w:lvl>
    <w:lvl w:ilvl="1">
      <w:start w:val="16"/>
      <w:numFmt w:val="upperLetter"/>
      <w:lvlText w:val="%2."/>
      <w:lvlJc w:val="left"/>
      <w:pPr>
        <w:ind w:left="1440" w:hanging="480"/>
      </w:pPr>
    </w:lvl>
    <w:lvl w:ilvl="2">
      <w:start w:val="16"/>
      <w:numFmt w:val="upperLetter"/>
      <w:lvlText w:val="%3."/>
      <w:lvlJc w:val="left"/>
      <w:pPr>
        <w:ind w:left="2160" w:hanging="480"/>
      </w:pPr>
    </w:lvl>
    <w:lvl w:ilvl="3">
      <w:start w:val="16"/>
      <w:numFmt w:val="upperLetter"/>
      <w:lvlText w:val="%4."/>
      <w:lvlJc w:val="left"/>
      <w:pPr>
        <w:ind w:left="2880" w:hanging="480"/>
      </w:pPr>
    </w:lvl>
    <w:lvl w:ilvl="4">
      <w:start w:val="16"/>
      <w:numFmt w:val="upperLetter"/>
      <w:lvlText w:val="%5."/>
      <w:lvlJc w:val="left"/>
      <w:pPr>
        <w:ind w:left="3600" w:hanging="480"/>
      </w:pPr>
    </w:lvl>
    <w:lvl w:ilvl="5">
      <w:start w:val="16"/>
      <w:numFmt w:val="upperLetter"/>
      <w:lvlText w:val="%6."/>
      <w:lvlJc w:val="left"/>
      <w:pPr>
        <w:ind w:left="4320" w:hanging="480"/>
      </w:pPr>
    </w:lvl>
    <w:lvl w:ilvl="6">
      <w:start w:val="16"/>
      <w:numFmt w:val="upperLetter"/>
      <w:lvlText w:val="%7."/>
      <w:lvlJc w:val="left"/>
      <w:pPr>
        <w:ind w:left="5040" w:hanging="480"/>
      </w:pPr>
    </w:lvl>
    <w:lvl w:ilvl="7">
      <w:start w:val="16"/>
      <w:numFmt w:val="upperLetter"/>
      <w:lvlText w:val="%8."/>
      <w:lvlJc w:val="left"/>
      <w:pPr>
        <w:ind w:left="5760" w:hanging="480"/>
      </w:pPr>
    </w:lvl>
    <w:lvl w:ilvl="8">
      <w:start w:val="16"/>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1"/>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8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3">
    <w:abstractNumId w:val="991"/>
  </w:num>
  <w:num w:numId="105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1"/>
  </w:num>
  <w:num w:numId="105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1"/>
  </w:num>
  <w:num w:numId="106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1"/>
  </w:num>
  <w:num w:numId="10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2">
    <w:abstractNumId w:val="991"/>
  </w:num>
  <w:num w:numId="107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1"/>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1"/>
  </w:num>
  <w:num w:numId="109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1"/>
  </w:num>
  <w:num w:numId="109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1"/>
  </w:num>
  <w:num w:numId="11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9">
    <w:abstractNumId w:val="991"/>
  </w:num>
  <w:num w:numId="11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1"/>
  </w:num>
  <w:num w:numId="11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1"/>
  </w:num>
  <w:num w:numId="11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1">
    <w:abstractNumId w:val="991"/>
  </w:num>
  <w:num w:numId="11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1"/>
  </w:num>
  <w:num w:numId="11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1">
    <w:abstractNumId w:val="991"/>
  </w:num>
  <w:num w:numId="11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3">
    <w:abstractNumId w:val="991"/>
  </w:num>
  <w:num w:numId="11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1"/>
  </w:num>
  <w:num w:numId="11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4">
    <w:abstractNumId w:val="991"/>
  </w:num>
  <w:num w:numId="114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6">
    <w:abstractNumId w:val="991"/>
  </w:num>
  <w:num w:numId="114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1"/>
  </w:num>
  <w:num w:numId="115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7">
    <w:abstractNumId w:val="991"/>
  </w:num>
  <w:num w:numId="11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1"/>
  </w:num>
  <w:num w:numId="116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1"/>
  </w:num>
  <w:num w:numId="116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9">
    <w:abstractNumId w:val="991"/>
  </w:num>
  <w:num w:numId="11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9">
    <w:abstractNumId w:val="991"/>
  </w:num>
  <w:num w:numId="118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1">
    <w:abstractNumId w:val="991"/>
  </w:num>
  <w:num w:numId="11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3">
    <w:abstractNumId w:val="991"/>
  </w:num>
  <w:num w:numId="118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1">
    <w:abstractNumId w:val="991"/>
  </w:num>
  <w:num w:numId="119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3">
    <w:abstractNumId w:val="991"/>
  </w:num>
  <w:num w:numId="119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5">
    <w:abstractNumId w:val="991"/>
  </w:num>
  <w:num w:numId="119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3">
    <w:abstractNumId w:val="991"/>
  </w:num>
  <w:num w:numId="12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5">
    <w:abstractNumId w:val="991"/>
  </w:num>
  <w:num w:numId="12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7">
    <w:abstractNumId w:val="991"/>
  </w:num>
  <w:num w:numId="12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6">
    <w:abstractNumId w:val="991"/>
  </w:num>
  <w:num w:numId="12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8">
    <w:abstractNumId w:val="991"/>
  </w:num>
  <w:num w:numId="12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0">
    <w:abstractNumId w:val="991"/>
  </w:num>
  <w:num w:numId="12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8">
    <w:abstractNumId w:val="991"/>
  </w:num>
  <w:num w:numId="12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0">
    <w:abstractNumId w:val="991"/>
  </w:num>
  <w:num w:numId="12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2">
    <w:abstractNumId w:val="991"/>
  </w:num>
  <w:num w:numId="12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0">
    <w:abstractNumId w:val="991"/>
  </w:num>
  <w:num w:numId="12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2">
    <w:abstractNumId w:val="991"/>
  </w:num>
  <w:num w:numId="12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4">
    <w:abstractNumId w:val="991"/>
  </w:num>
  <w:num w:numId="124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2">
    <w:abstractNumId w:val="991"/>
  </w:num>
  <w:num w:numId="12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4">
    <w:abstractNumId w:val="991"/>
  </w:num>
  <w:num w:numId="12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6">
    <w:abstractNumId w:val="991"/>
  </w:num>
  <w:num w:numId="125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4">
    <w:abstractNumId w:val="991"/>
  </w:num>
  <w:num w:numId="12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6">
    <w:abstractNumId w:val="991"/>
  </w:num>
  <w:num w:numId="126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8">
    <w:abstractNumId w:val="991"/>
  </w:num>
  <w:num w:numId="12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6">
    <w:abstractNumId w:val="991"/>
  </w:num>
  <w:num w:numId="12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8">
    <w:abstractNumId w:val="991"/>
  </w:num>
  <w:num w:numId="127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0">
    <w:abstractNumId w:val="991"/>
  </w:num>
  <w:num w:numId="128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8">
    <w:abstractNumId w:val="991"/>
  </w:num>
  <w:num w:numId="128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0">
    <w:abstractNumId w:val="991"/>
  </w:num>
  <w:num w:numId="12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2">
    <w:abstractNumId w:val="991"/>
  </w:num>
  <w:num w:numId="129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1">
    <w:abstractNumId w:val="991"/>
  </w:num>
  <w:num w:numId="13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3">
    <w:abstractNumId w:val="991"/>
  </w:num>
  <w:num w:numId="13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5">
    <w:abstractNumId w:val="991"/>
  </w:num>
  <w:num w:numId="13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3">
    <w:abstractNumId w:val="991"/>
  </w:num>
  <w:num w:numId="13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5">
    <w:abstractNumId w:val="991"/>
  </w:num>
  <w:num w:numId="13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7">
    <w:abstractNumId w:val="991"/>
  </w:num>
  <w:num w:numId="13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5">
    <w:abstractNumId w:val="991"/>
  </w:num>
  <w:num w:numId="13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7">
    <w:abstractNumId w:val="991"/>
  </w:num>
  <w:num w:numId="13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9">
    <w:abstractNumId w:val="991"/>
  </w:num>
  <w:num w:numId="13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7">
    <w:abstractNumId w:val="991"/>
  </w:num>
  <w:num w:numId="13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9">
    <w:abstractNumId w:val="991"/>
  </w:num>
  <w:num w:numId="134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1">
    <w:abstractNumId w:val="991"/>
  </w:num>
  <w:num w:numId="13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43">
    <w:abstractNumId w:val="991"/>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9">
    <w:abstractNumId w:val="991"/>
  </w:num>
  <w:num w:numId="135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1">
    <w:abstractNumId w:val="991"/>
  </w:num>
  <w:num w:numId="13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3">
    <w:abstractNumId w:val="991"/>
  </w:num>
  <w:num w:numId="135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1">
    <w:abstractNumId w:val="991"/>
  </w:num>
  <w:num w:numId="13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3">
    <w:abstractNumId w:val="991"/>
  </w:num>
  <w:num w:numId="13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5">
    <w:abstractNumId w:val="991"/>
  </w:num>
  <w:num w:numId="136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1"/>
  </w:num>
  <w:num w:numId="13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4">
    <w:abstractNumId w:val="991"/>
  </w:num>
  <w:num w:numId="13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6">
    <w:abstractNumId w:val="991"/>
  </w:num>
  <w:num w:numId="13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8">
    <w:abstractNumId w:val="991"/>
  </w:num>
  <w:num w:numId="137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1"/>
  </w:num>
  <w:num w:numId="138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6">
    <w:abstractNumId w:val="991"/>
  </w:num>
  <w:num w:numId="13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8">
    <w:abstractNumId w:val="991"/>
  </w:num>
  <w:num w:numId="138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90">
    <w:abstractNumId w:val="991"/>
  </w:num>
  <w:num w:numId="139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92">
    <w:abstractNumId w:val="991"/>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9">
    <w:abstractNumId w:val="991"/>
  </w:num>
  <w:num w:numId="140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1">
    <w:abstractNumId w:val="991"/>
  </w:num>
  <w:num w:numId="14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03">
    <w:abstractNumId w:val="991"/>
  </w:num>
  <w:num w:numId="14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0">
    <w:abstractNumId w:val="991"/>
  </w:num>
  <w:num w:numId="14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12">
    <w:abstractNumId w:val="991"/>
  </w:num>
  <w:num w:numId="14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4">
    <w:abstractNumId w:val="991"/>
  </w:num>
  <w:num w:numId="14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16">
    <w:abstractNumId w:val="991"/>
  </w:num>
  <w:num w:numId="1417">
    <w:abstractNumId w:val="991"/>
  </w:num>
  <w:num w:numId="14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60" w:line="269" w:lineRule="auto" w:before="0"/>
    </w:pPr>
    <w:rPr>
      <w:rFonts w:ascii="Calibri" w:hAnsi="Calibri"/>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0"/>
      <w:jc w:val="center"/>
    </w:pPr>
    <w:rPr>
      <w:rFonts w:asciiTheme="majorHAnsi" w:cstheme="majorBidi" w:eastAsiaTheme="majorEastAsia" w:hAnsiTheme="majorHAnsi" w:ascii="Calibri" w:hAnsi="Calibri"/>
      <w:b/>
      <w:bCs/>
      <w:color w:val="203748"/>
      <w:sz w:val="5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240"/>
      <w:outlineLvl w:val="0"/>
    </w:pPr>
    <w:rPr>
      <w:rFonts w:asciiTheme="majorHAnsi" w:cstheme="majorBidi" w:eastAsiaTheme="majorEastAsia" w:hAnsiTheme="majorHAnsi" w:ascii="Calibri" w:hAnsi="Calibri"/>
      <w:b/>
      <w:bCs/>
      <w:color w:val="1F4D78"/>
      <w:sz w:val="32"/>
      <w:szCs w:val="32"/>
    </w:rPr>
  </w:style>
  <w:style w:styleId="Heading2" w:type="paragraph">
    <w:name w:val="Heading 2"/>
    <w:basedOn w:val="Normal"/>
    <w:next w:val="BodyText"/>
    <w:uiPriority w:val="9"/>
    <w:unhideWhenUsed/>
    <w:qFormat/>
    <w:pPr>
      <w:keepNext/>
      <w:keepLines/>
      <w:spacing w:after="140" w:before="240"/>
      <w:outlineLvl w:val="1"/>
    </w:pPr>
    <w:rPr>
      <w:rFonts w:asciiTheme="majorHAnsi" w:cstheme="majorBidi" w:eastAsiaTheme="majorEastAsia" w:hAnsiTheme="majorHAnsi" w:ascii="Calibri" w:hAnsi="Calibri"/>
      <w:b/>
      <w:bCs/>
      <w:color w:val="1F4D78"/>
      <w:sz w:val="26"/>
      <w:szCs w:val="28"/>
    </w:rPr>
  </w:style>
  <w:style w:styleId="Heading3" w:type="paragraph">
    <w:name w:val="Heading 3"/>
    <w:basedOn w:val="Normal"/>
    <w:next w:val="BodyText"/>
    <w:uiPriority w:val="9"/>
    <w:unhideWhenUsed/>
    <w:qFormat/>
    <w:pPr>
      <w:keepNext/>
      <w:keepLines/>
      <w:spacing w:after="80" w:before="160"/>
      <w:outlineLvl w:val="2"/>
    </w:pPr>
    <w:rPr>
      <w:rFonts w:asciiTheme="majorHAnsi" w:cstheme="majorBidi" w:eastAsiaTheme="majorEastAsia" w:hAnsiTheme="majorHAnsi" w:ascii="Calibri" w:hAnsi="Calibri"/>
      <w:b/>
      <w:bCs/>
      <w:color w:val="1F4D7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customStyle="1" w:styleId="CodeInline">
    <w:name w:val="Code Inline"/>
    <w:rPr>
      <w:rFonts w:ascii="Consolas" w:hAnsi="Consolas"/>
      <w:color w:val="1F4D78"/>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 — Educational Exercises and Solutions</dc:title>
  <dc:creator>Mbaye Kebe | SRAI</dc:creator>
  <cp:keywords>SRAI, vector spaces, bases, rank, projections, least squares</cp:keywords>
  <dcterms:created xsi:type="dcterms:W3CDTF">2026-07-28T15:17:18Z</dcterms:created>
  <dcterms:modified xsi:type="dcterms:W3CDTF">2026-07-28T15:17:18Z</dcterms:modified>
  <dc:subject>PU-B01-C05 controlled asset production candidate; not public release approval</dc:subject>
  <dc:description>Rebuilt from Chapter 5 themes and approved-markup notebook; original master unchanged.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July 2026</vt:lpwstr>
  </property>
  <property fmtid="{D5CDD505-2E9C-101B-9397-08002B2CF9AE}" pid="3" name="subtitle">
    <vt:lpwstr>Book 1 Complete Controlled Master Edition</vt:lpwstr>
  </property>
  <property fmtid="{D5CDD505-2E9C-101B-9397-08002B2CF9AE}" pid="4" name="toc-title">
    <vt:lpwstr>Contents</vt:lpwstr>
  </property>
</Properties>
</file>