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rStyle w:val="Strong"/>
          <w:b/>
          <w:bCs/>
        </w:rPr>
        <w:t>Secure Reasoning with AI: A Framework for Public-Interest Infrastructure</w:t>
      </w:r>
    </w:p>
    <w:p>
      <w:pPr>
        <w:pStyle w:val="BodyText"/>
        <w:bidi w:val="0"/>
        <w:jc w:val="start"/>
        <w:rPr/>
      </w:pPr>
      <w:r>
        <w:rPr>
          <w:rStyle w:val="Strong"/>
        </w:rPr>
        <w:t>Author:</w:t>
      </w:r>
      <w:r>
        <w:rPr/>
        <w:t xml:space="preserve"> Resonant Knowledge Lab (RKL)</w:t>
        <w:br/>
      </w:r>
      <w:r>
        <w:rPr>
          <w:rStyle w:val="Strong"/>
        </w:rPr>
        <w:t>Status:</w:t>
      </w:r>
      <w:r>
        <w:rPr/>
        <w:t xml:space="preserve"> Draft Working Paper v1.0 (2025)</w:t>
        <w:br/>
      </w:r>
      <w:r>
        <w:rPr>
          <w:rStyle w:val="Strong"/>
        </w:rPr>
        <w:t>Contact:</w:t>
      </w:r>
      <w:r>
        <w:rPr/>
        <w:t xml:space="preserve"> </w:t>
      </w:r>
      <w:hyperlink r:id="rId2">
        <w:r>
          <w:rPr>
            <w:rStyle w:val="Hyperlink"/>
          </w:rPr>
          <w:t>info@resonantknowledgelab.org</w:t>
        </w:r>
      </w:hyperlink>
      <w:r>
        <w:rPr/>
        <w:br/>
      </w:r>
      <w:r>
        <w:rPr>
          <w:rStyle w:val="Strong"/>
        </w:rPr>
        <w:t>Website:</w:t>
      </w:r>
      <w:r>
        <w:rPr/>
        <w:t xml:space="preserve"> </w:t>
      </w:r>
      <w:hyperlink r:id="rId3" w:tgtFrame="_new">
        <w:r>
          <w:rPr>
            <w:rStyle w:val="Hyperlink"/>
          </w:rPr>
          <w:t>resonantknowledgelab.org</w:t>
        </w:r>
      </w:hyperlink>
      <w:r>
        <w:rPr/>
        <w:br/>
      </w:r>
      <w:r>
        <w:rPr>
          <w:rStyle w:val="Strong"/>
        </w:rPr>
        <w:t>Tagline:</w:t>
      </w:r>
      <w:r>
        <w:rPr/>
        <w:t xml:space="preserve"> </w:t>
      </w:r>
      <w:r>
        <w:rPr>
          <w:rStyle w:val="Emphasis"/>
        </w:rPr>
        <w:t>Secure reasoning. Local control.</w:t>
      </w:r>
    </w:p>
    <w:p>
      <w:pPr>
        <w:pStyle w:val="HorizontalLine"/>
        <w:bidi w:val="0"/>
        <w:jc w:val="start"/>
        <w:rPr/>
      </w:pPr>
      <w:r>
        <w:rPr/>
      </w:r>
    </w:p>
    <w:p>
      <w:pPr>
        <w:pStyle w:val="Heading2"/>
        <w:bidi w:val="0"/>
        <w:jc w:val="start"/>
        <w:rPr/>
      </w:pPr>
      <w:r>
        <w:rPr>
          <w:rStyle w:val="Strong"/>
          <w:b/>
          <w:bCs/>
        </w:rPr>
        <w:t>Abstract</w:t>
      </w:r>
    </w:p>
    <w:p>
      <w:pPr>
        <w:pStyle w:val="BodyText"/>
        <w:bidi w:val="0"/>
        <w:jc w:val="start"/>
        <w:rPr/>
      </w:pPr>
      <w:r>
        <w:rPr/>
        <w:t>Artificial intelligence has expanded society’s capacity to generate, process, and interpret knowledge. Yet most reasoning systems operate on data that are centralized, proprietary, or ethically ungoverned. This dynamic undermines trust, constrains access, and prevents the safe use of AI in sensitive or high-value domains.</w:t>
      </w:r>
    </w:p>
    <w:p>
      <w:pPr>
        <w:pStyle w:val="BodyText"/>
        <w:bidi w:val="0"/>
        <w:jc w:val="start"/>
        <w:rPr/>
      </w:pPr>
      <w:r>
        <w:rPr>
          <w:rStyle w:val="Strong"/>
        </w:rPr>
        <w:t>Secure reasoning</w:t>
      </w:r>
      <w:r>
        <w:rPr/>
        <w:t xml:space="preserve"> reframes the problem: rather than moving data to the model, it brings governance to the reasoning process itself.</w:t>
        <w:br/>
        <w:t>By embedding ethical and technical controls into the interfaces between AI systems and knowledge domains, organizations can allow insight to flow while keeping data under local authority.</w:t>
      </w:r>
    </w:p>
    <w:p>
      <w:pPr>
        <w:pStyle w:val="BodyText"/>
        <w:bidi w:val="0"/>
        <w:jc w:val="start"/>
        <w:rPr/>
      </w:pPr>
      <w:r>
        <w:rPr/>
        <w:t>This paper introduces the concept of secure reasoning, situates it within the principles of CARE (Collective Benefit, Authority to Control, Responsibility, Ethics) and FAIR (Findable, Accessible, Interoperable, Reusable), and outlines the Resonant Knowledge Lab’s approach to building open, verifiable infrastructure for public-benefit AI.</w:t>
      </w:r>
    </w:p>
    <w:p>
      <w:pPr>
        <w:pStyle w:val="HorizontalLine"/>
        <w:bidi w:val="0"/>
        <w:jc w:val="start"/>
        <w:rPr/>
      </w:pPr>
      <w:r>
        <w:rPr/>
      </w:r>
    </w:p>
    <w:p>
      <w:pPr>
        <w:pStyle w:val="Heading2"/>
        <w:bidi w:val="0"/>
        <w:jc w:val="start"/>
        <w:rPr/>
      </w:pPr>
      <w:r>
        <w:rPr>
          <w:rStyle w:val="Strong"/>
          <w:b/>
          <w:bCs/>
        </w:rPr>
        <w:t>1. The Challenge: Data Rich, Governance Poor</w:t>
      </w:r>
    </w:p>
    <w:p>
      <w:pPr>
        <w:pStyle w:val="BodyText"/>
        <w:bidi w:val="0"/>
        <w:jc w:val="start"/>
        <w:rPr/>
      </w:pPr>
      <w:r>
        <w:rPr/>
        <w:t>Across sectors—healthcare, research, heritage, environment—organizations hold knowledge essential to the public good. Yet most cannot engage AI safely because they lack governance capacity.</w:t>
      </w:r>
    </w:p>
    <w:p>
      <w:pPr>
        <w:pStyle w:val="BodyText"/>
        <w:bidi w:val="0"/>
        <w:jc w:val="start"/>
        <w:rPr/>
      </w:pPr>
      <w:r>
        <w:rPr/>
        <w:t>The result is a global asymmetry:</w:t>
      </w:r>
    </w:p>
    <w:p>
      <w:pPr>
        <w:pStyle w:val="BodyText"/>
        <w:numPr>
          <w:ilvl w:val="0"/>
          <w:numId w:val="1"/>
        </w:numPr>
        <w:tabs>
          <w:tab w:val="clear" w:pos="709"/>
          <w:tab w:val="left" w:pos="709" w:leader="none"/>
        </w:tabs>
        <w:bidi w:val="0"/>
        <w:ind w:hanging="283" w:start="709"/>
        <w:jc w:val="start"/>
        <w:rPr/>
      </w:pPr>
      <w:r>
        <w:rPr>
          <w:rStyle w:val="Strong"/>
        </w:rPr>
        <w:t>Data-rich institutions</w:t>
      </w:r>
      <w:r>
        <w:rPr/>
        <w:t xml:space="preserve"> (governments, universities, communities) keep information siloed to prevent misuse.</w:t>
      </w:r>
    </w:p>
    <w:p>
      <w:pPr>
        <w:pStyle w:val="BodyText"/>
        <w:numPr>
          <w:ilvl w:val="0"/>
          <w:numId w:val="1"/>
        </w:numPr>
        <w:tabs>
          <w:tab w:val="clear" w:pos="709"/>
          <w:tab w:val="left" w:pos="709" w:leader="none"/>
        </w:tabs>
        <w:bidi w:val="0"/>
        <w:ind w:hanging="283" w:start="709"/>
        <w:jc w:val="start"/>
        <w:rPr/>
      </w:pPr>
      <w:r>
        <w:rPr>
          <w:rStyle w:val="Strong"/>
        </w:rPr>
        <w:t>Model-rich actors</w:t>
      </w:r>
      <w:r>
        <w:rPr/>
        <w:t xml:space="preserve"> (corporate AI developers) accumulate disproportionate control over reasoning systems.</w:t>
      </w:r>
    </w:p>
    <w:p>
      <w:pPr>
        <w:pStyle w:val="BodyText"/>
        <w:bidi w:val="0"/>
        <w:jc w:val="start"/>
        <w:rPr/>
      </w:pPr>
      <w:r>
        <w:rPr/>
        <w:t xml:space="preserve">This imbalance widens the gap between what AI </w:t>
      </w:r>
      <w:r>
        <w:rPr>
          <w:rStyle w:val="Emphasis"/>
        </w:rPr>
        <w:t>can</w:t>
      </w:r>
      <w:r>
        <w:rPr/>
        <w:t xml:space="preserve"> know and what society </w:t>
      </w:r>
      <w:r>
        <w:rPr>
          <w:rStyle w:val="Emphasis"/>
        </w:rPr>
        <w:t>should</w:t>
      </w:r>
      <w:r>
        <w:rPr/>
        <w:t xml:space="preserve"> know.</w:t>
        <w:br/>
        <w:t>Weak governance, not sensitivity itself, keeps knowledge silent.</w:t>
      </w:r>
    </w:p>
    <w:p>
      <w:pPr>
        <w:pStyle w:val="HorizontalLine"/>
        <w:bidi w:val="0"/>
        <w:jc w:val="start"/>
        <w:rPr/>
      </w:pPr>
      <w:r>
        <w:rPr/>
      </w:r>
    </w:p>
    <w:p>
      <w:pPr>
        <w:pStyle w:val="Heading2"/>
        <w:bidi w:val="0"/>
        <w:jc w:val="start"/>
        <w:rPr/>
      </w:pPr>
      <w:r>
        <w:rPr>
          <w:rStyle w:val="Strong"/>
          <w:b/>
          <w:bCs/>
        </w:rPr>
        <w:t>2. From Open Data to Governed Reasoning</w:t>
      </w:r>
    </w:p>
    <w:p>
      <w:pPr>
        <w:pStyle w:val="BodyText"/>
        <w:bidi w:val="0"/>
        <w:jc w:val="start"/>
        <w:rPr/>
      </w:pPr>
      <w:r>
        <w:rPr/>
        <w:t xml:space="preserve">Early AI governance debates focused on openness and transparency—values embodied in the </w:t>
      </w:r>
      <w:r>
        <w:rPr>
          <w:rStyle w:val="Strong"/>
        </w:rPr>
        <w:t>FAIR principles</w:t>
      </w:r>
      <w:r>
        <w:rPr/>
        <w:t>, which guide data to be Findable, Accessible, Interoperable, and Reusable.</w:t>
        <w:br/>
        <w:t>But FAIR alone assumes that openness is good by default. For many knowledge holders—communities, agencies, institutions—openness without governance risks harm, loss of sovereignty, or exploitation.</w:t>
      </w:r>
    </w:p>
    <w:p>
      <w:pPr>
        <w:pStyle w:val="BodyText"/>
        <w:bidi w:val="0"/>
        <w:jc w:val="start"/>
        <w:rPr/>
      </w:pPr>
      <w:r>
        <w:rPr/>
        <w:t xml:space="preserve">The </w:t>
      </w:r>
      <w:r>
        <w:rPr>
          <w:rStyle w:val="Strong"/>
        </w:rPr>
        <w:t>CARE Principles</w:t>
      </w:r>
      <w:r>
        <w:rPr/>
        <w:t xml:space="preserve">, developed by the Global Indigenous Data Alliance, address this limitation by asserting that data must serve </w:t>
      </w:r>
      <w:r>
        <w:rPr>
          <w:rStyle w:val="Strong"/>
        </w:rPr>
        <w:t>Collective Benefit</w:t>
      </w:r>
      <w:r>
        <w:rPr/>
        <w:t xml:space="preserve">, respect </w:t>
      </w:r>
      <w:r>
        <w:rPr>
          <w:rStyle w:val="Strong"/>
        </w:rPr>
        <w:t>Authority to Control</w:t>
      </w:r>
      <w:r>
        <w:rPr/>
        <w:t xml:space="preserve">, uphold </w:t>
      </w:r>
      <w:r>
        <w:rPr>
          <w:rStyle w:val="Strong"/>
        </w:rPr>
        <w:t>Responsibility</w:t>
      </w:r>
      <w:r>
        <w:rPr/>
        <w:t xml:space="preserve">, and ensure </w:t>
      </w:r>
      <w:r>
        <w:rPr>
          <w:rStyle w:val="Strong"/>
        </w:rPr>
        <w:t>Ethics</w:t>
      </w:r>
      <w:r>
        <w:rPr/>
        <w:t>.</w:t>
      </w:r>
    </w:p>
    <w:p>
      <w:pPr>
        <w:pStyle w:val="BodyText"/>
        <w:bidi w:val="0"/>
        <w:jc w:val="start"/>
        <w:rPr/>
      </w:pPr>
      <w:r>
        <w:rPr/>
        <w:t xml:space="preserve">RKL integrates these two traditions through </w:t>
      </w:r>
      <w:r>
        <w:rPr>
          <w:rStyle w:val="Strong"/>
        </w:rPr>
        <w:t>secure reasoning</w:t>
      </w:r>
      <w:r>
        <w:rPr/>
        <w:t>:</w:t>
        <w:br/>
        <w:t>a method where AI systems operate within controlled, auditable, and ethically governed environments—enabling knowledge use without loss of custody.</w:t>
      </w:r>
    </w:p>
    <w:p>
      <w:pPr>
        <w:pStyle w:val="BlockQuotation"/>
        <w:bidi w:val="0"/>
        <w:jc w:val="start"/>
        <w:rPr/>
      </w:pPr>
      <w:r>
        <w:rPr/>
        <w:t>When governance ensures collective benefit, authority, responsibility, and ethics, data can finally become FAIR—without compromising sovereignty or trust.</w:t>
      </w:r>
    </w:p>
    <w:p>
      <w:pPr>
        <w:pStyle w:val="HorizontalLine"/>
        <w:bidi w:val="0"/>
        <w:jc w:val="start"/>
        <w:rPr/>
      </w:pPr>
      <w:r>
        <w:rPr/>
      </w:r>
    </w:p>
    <w:p>
      <w:pPr>
        <w:pStyle w:val="Heading2"/>
        <w:bidi w:val="0"/>
        <w:jc w:val="start"/>
        <w:rPr/>
      </w:pPr>
      <w:r>
        <w:rPr>
          <w:rStyle w:val="Strong"/>
          <w:b/>
          <w:bCs/>
        </w:rPr>
        <w:t>3. Defining Secure Reasoning</w:t>
      </w:r>
    </w:p>
    <w:p>
      <w:pPr>
        <w:pStyle w:val="BodyText"/>
        <w:bidi w:val="0"/>
        <w:jc w:val="start"/>
        <w:rPr/>
      </w:pPr>
      <w:r>
        <w:rPr>
          <w:rStyle w:val="Strong"/>
        </w:rPr>
        <w:t>Secure reasoning</w:t>
      </w:r>
      <w:r>
        <w:rPr/>
        <w:t xml:space="preserve"> is the practice of enabling AI systems to reason with data, information, and knowledge </w:t>
      </w:r>
      <w:r>
        <w:rPr>
          <w:rStyle w:val="Strong"/>
        </w:rPr>
        <w:t>under explicit governance rules</w:t>
      </w:r>
      <w:r>
        <w:rPr/>
        <w:t xml:space="preserve"> that ensure:</w:t>
      </w:r>
    </w:p>
    <w:p>
      <w:pPr>
        <w:pStyle w:val="BodyText"/>
        <w:numPr>
          <w:ilvl w:val="0"/>
          <w:numId w:val="2"/>
        </w:numPr>
        <w:tabs>
          <w:tab w:val="clear" w:pos="709"/>
          <w:tab w:val="left" w:pos="709" w:leader="none"/>
        </w:tabs>
        <w:bidi w:val="0"/>
        <w:ind w:hanging="283" w:start="709"/>
        <w:jc w:val="start"/>
        <w:rPr/>
      </w:pPr>
      <w:r>
        <w:rPr>
          <w:rStyle w:val="Strong"/>
        </w:rPr>
        <w:t>Custody never transfers.</w:t>
      </w:r>
      <w:r>
        <w:rPr/>
        <w:t xml:space="preserve"> Data remain under the control of the organization or community that stewards them.</w:t>
      </w:r>
    </w:p>
    <w:p>
      <w:pPr>
        <w:pStyle w:val="BodyText"/>
        <w:numPr>
          <w:ilvl w:val="0"/>
          <w:numId w:val="2"/>
        </w:numPr>
        <w:tabs>
          <w:tab w:val="clear" w:pos="709"/>
          <w:tab w:val="left" w:pos="709" w:leader="none"/>
        </w:tabs>
        <w:bidi w:val="0"/>
        <w:ind w:hanging="283" w:start="709"/>
        <w:jc w:val="start"/>
        <w:rPr/>
      </w:pPr>
      <w:r>
        <w:rPr>
          <w:rStyle w:val="Strong"/>
        </w:rPr>
        <w:t>Reasoning is policy-aware.</w:t>
      </w:r>
      <w:r>
        <w:rPr/>
        <w:t xml:space="preserve"> Access, context, and consent are verified before any inference or output.</w:t>
      </w:r>
    </w:p>
    <w:p>
      <w:pPr>
        <w:pStyle w:val="BodyText"/>
        <w:numPr>
          <w:ilvl w:val="0"/>
          <w:numId w:val="2"/>
        </w:numPr>
        <w:tabs>
          <w:tab w:val="clear" w:pos="709"/>
          <w:tab w:val="left" w:pos="709" w:leader="none"/>
        </w:tabs>
        <w:bidi w:val="0"/>
        <w:ind w:hanging="283" w:start="709"/>
        <w:jc w:val="start"/>
        <w:rPr/>
      </w:pPr>
      <w:r>
        <w:rPr>
          <w:rStyle w:val="Strong"/>
        </w:rPr>
        <w:t>Outputs are traceable.</w:t>
      </w:r>
      <w:r>
        <w:rPr/>
        <w:t xml:space="preserve"> Every reasoning step is logged, attributable, and auditable.</w:t>
      </w:r>
    </w:p>
    <w:p>
      <w:pPr>
        <w:pStyle w:val="BodyText"/>
        <w:numPr>
          <w:ilvl w:val="0"/>
          <w:numId w:val="2"/>
        </w:numPr>
        <w:tabs>
          <w:tab w:val="clear" w:pos="709"/>
          <w:tab w:val="left" w:pos="709" w:leader="none"/>
        </w:tabs>
        <w:bidi w:val="0"/>
        <w:ind w:hanging="283" w:start="709"/>
        <w:jc w:val="start"/>
        <w:rPr/>
      </w:pPr>
      <w:r>
        <w:rPr>
          <w:rStyle w:val="Strong"/>
        </w:rPr>
        <w:t>Ethical constraints are enforceable.</w:t>
      </w:r>
      <w:r>
        <w:rPr/>
        <w:t xml:space="preserve"> Responsibility is not advisory—it is embedded in the protocol itself.</w:t>
      </w:r>
    </w:p>
    <w:p>
      <w:pPr>
        <w:pStyle w:val="BodyText"/>
        <w:bidi w:val="0"/>
        <w:jc w:val="start"/>
        <w:rPr/>
      </w:pPr>
      <w:r>
        <w:rPr/>
        <w:t xml:space="preserve">In secure reasoning, </w:t>
      </w:r>
      <w:r>
        <w:rPr>
          <w:rStyle w:val="Emphasis"/>
        </w:rPr>
        <w:t>trust is not assumed; it is encoded.</w:t>
      </w:r>
    </w:p>
    <w:p>
      <w:pPr>
        <w:pStyle w:val="HorizontalLine"/>
        <w:bidi w:val="0"/>
        <w:jc w:val="start"/>
        <w:rPr/>
      </w:pPr>
      <w:r>
        <w:rPr/>
      </w:r>
    </w:p>
    <w:p>
      <w:pPr>
        <w:pStyle w:val="Heading2"/>
        <w:bidi w:val="0"/>
        <w:jc w:val="start"/>
        <w:rPr/>
      </w:pPr>
      <w:r>
        <w:rPr>
          <w:rStyle w:val="Strong"/>
          <w:b/>
          <w:bCs/>
        </w:rPr>
        <w:t>4. The RKL Framework</w:t>
      </w:r>
    </w:p>
    <w:p>
      <w:pPr>
        <w:pStyle w:val="BodyText"/>
        <w:bidi w:val="0"/>
        <w:jc w:val="start"/>
        <w:rPr/>
      </w:pPr>
      <w:r>
        <w:rPr/>
        <w:t>RKL builds the public-interest infrastructure for secure reasoning through three interdependent layers:</w:t>
      </w:r>
    </w:p>
    <w:tbl>
      <w:tblPr>
        <w:tblW w:w="9972" w:type="dxa"/>
        <w:jc w:val="start"/>
        <w:tblInd w:w="0" w:type="dxa"/>
        <w:tblLayout w:type="fixed"/>
        <w:tblCellMar>
          <w:top w:w="28" w:type="dxa"/>
          <w:start w:w="28" w:type="dxa"/>
          <w:bottom w:w="28" w:type="dxa"/>
          <w:end w:w="28" w:type="dxa"/>
        </w:tblCellMar>
      </w:tblPr>
      <w:tblGrid>
        <w:gridCol w:w="1567"/>
        <w:gridCol w:w="3464"/>
        <w:gridCol w:w="4941"/>
      </w:tblGrid>
      <w:tr>
        <w:trPr>
          <w:tblHeader w:val="true"/>
        </w:trPr>
        <w:tc>
          <w:tcPr>
            <w:tcW w:w="1567" w:type="dxa"/>
            <w:tcBorders/>
            <w:vAlign w:val="center"/>
          </w:tcPr>
          <w:p>
            <w:pPr>
              <w:pStyle w:val="TableHeading"/>
              <w:suppressLineNumbers/>
              <w:bidi w:val="0"/>
              <w:jc w:val="center"/>
              <w:rPr/>
            </w:pPr>
            <w:r>
              <w:rPr/>
              <w:t>Layer</w:t>
            </w:r>
          </w:p>
        </w:tc>
        <w:tc>
          <w:tcPr>
            <w:tcW w:w="3464" w:type="dxa"/>
            <w:tcBorders/>
            <w:vAlign w:val="center"/>
          </w:tcPr>
          <w:p>
            <w:pPr>
              <w:pStyle w:val="TableHeading"/>
              <w:suppressLineNumbers/>
              <w:bidi w:val="0"/>
              <w:jc w:val="center"/>
              <w:rPr/>
            </w:pPr>
            <w:r>
              <w:rPr/>
              <w:t>Function</w:t>
            </w:r>
          </w:p>
        </w:tc>
        <w:tc>
          <w:tcPr>
            <w:tcW w:w="4941" w:type="dxa"/>
            <w:tcBorders/>
            <w:vAlign w:val="center"/>
          </w:tcPr>
          <w:p>
            <w:pPr>
              <w:pStyle w:val="TableHeading"/>
              <w:suppressLineNumbers/>
              <w:bidi w:val="0"/>
              <w:jc w:val="center"/>
              <w:rPr/>
            </w:pPr>
            <w:r>
              <w:rPr/>
              <w:t>Implementation</w:t>
            </w:r>
          </w:p>
        </w:tc>
      </w:tr>
      <w:tr>
        <w:trPr/>
        <w:tc>
          <w:tcPr>
            <w:tcW w:w="1567" w:type="dxa"/>
            <w:tcBorders/>
            <w:vAlign w:val="center"/>
          </w:tcPr>
          <w:p>
            <w:pPr>
              <w:pStyle w:val="TableContents"/>
              <w:widowControl w:val="false"/>
              <w:suppressLineNumbers/>
              <w:bidi w:val="0"/>
              <w:jc w:val="start"/>
              <w:rPr/>
            </w:pPr>
            <w:r>
              <w:rPr>
                <w:rStyle w:val="Strong"/>
              </w:rPr>
              <w:t>Governance Layer</w:t>
            </w:r>
          </w:p>
        </w:tc>
        <w:tc>
          <w:tcPr>
            <w:tcW w:w="3464" w:type="dxa"/>
            <w:tcBorders/>
            <w:vAlign w:val="center"/>
          </w:tcPr>
          <w:p>
            <w:pPr>
              <w:pStyle w:val="TableContents"/>
              <w:widowControl w:val="false"/>
              <w:suppressLineNumbers/>
              <w:bidi w:val="0"/>
              <w:jc w:val="start"/>
              <w:rPr/>
            </w:pPr>
            <w:r>
              <w:rPr/>
              <w:t>Defines who controls the data, for what purpose, under what ethical and technical rules.</w:t>
            </w:r>
          </w:p>
        </w:tc>
        <w:tc>
          <w:tcPr>
            <w:tcW w:w="4941" w:type="dxa"/>
            <w:tcBorders/>
            <w:vAlign w:val="center"/>
          </w:tcPr>
          <w:p>
            <w:pPr>
              <w:pStyle w:val="TableContents"/>
              <w:widowControl w:val="false"/>
              <w:suppressLineNumbers/>
              <w:bidi w:val="0"/>
              <w:jc w:val="start"/>
              <w:rPr/>
            </w:pPr>
            <w:r>
              <w:rPr/>
              <w:t>Policy metadata, consent frameworks, CARE governance templates</w:t>
            </w:r>
          </w:p>
        </w:tc>
      </w:tr>
      <w:tr>
        <w:trPr/>
        <w:tc>
          <w:tcPr>
            <w:tcW w:w="1567" w:type="dxa"/>
            <w:tcBorders/>
            <w:vAlign w:val="center"/>
          </w:tcPr>
          <w:p>
            <w:pPr>
              <w:pStyle w:val="TableContents"/>
              <w:widowControl w:val="false"/>
              <w:suppressLineNumbers/>
              <w:bidi w:val="0"/>
              <w:jc w:val="start"/>
              <w:rPr/>
            </w:pPr>
            <w:r>
              <w:rPr>
                <w:rStyle w:val="Strong"/>
              </w:rPr>
              <w:t>Reasoning Layer</w:t>
            </w:r>
          </w:p>
        </w:tc>
        <w:tc>
          <w:tcPr>
            <w:tcW w:w="3464" w:type="dxa"/>
            <w:tcBorders/>
            <w:vAlign w:val="center"/>
          </w:tcPr>
          <w:p>
            <w:pPr>
              <w:pStyle w:val="TableContents"/>
              <w:widowControl w:val="false"/>
              <w:suppressLineNumbers/>
              <w:bidi w:val="0"/>
              <w:jc w:val="start"/>
              <w:rPr/>
            </w:pPr>
            <w:r>
              <w:rPr/>
              <w:t>Executes AI reasoning within governed boundaries.</w:t>
            </w:r>
          </w:p>
        </w:tc>
        <w:tc>
          <w:tcPr>
            <w:tcW w:w="4941" w:type="dxa"/>
            <w:tcBorders/>
            <w:vAlign w:val="center"/>
          </w:tcPr>
          <w:p>
            <w:pPr>
              <w:pStyle w:val="TableContents"/>
              <w:widowControl w:val="false"/>
              <w:suppressLineNumbers/>
              <w:bidi w:val="0"/>
              <w:jc w:val="start"/>
              <w:rPr/>
            </w:pPr>
            <w:r>
              <w:rPr/>
              <w:t>Model Context Protocol (MCP), policy-aware Retrieval-Augmented Generation (RAG+), local inference systems</w:t>
            </w:r>
          </w:p>
        </w:tc>
      </w:tr>
      <w:tr>
        <w:trPr/>
        <w:tc>
          <w:tcPr>
            <w:tcW w:w="1567" w:type="dxa"/>
            <w:tcBorders/>
            <w:vAlign w:val="center"/>
          </w:tcPr>
          <w:p>
            <w:pPr>
              <w:pStyle w:val="TableContents"/>
              <w:widowControl w:val="false"/>
              <w:suppressLineNumbers/>
              <w:bidi w:val="0"/>
              <w:jc w:val="start"/>
              <w:rPr/>
            </w:pPr>
            <w:r>
              <w:rPr>
                <w:rStyle w:val="Strong"/>
              </w:rPr>
              <w:t>Access Layer</w:t>
            </w:r>
          </w:p>
        </w:tc>
        <w:tc>
          <w:tcPr>
            <w:tcW w:w="3464" w:type="dxa"/>
            <w:tcBorders/>
            <w:vAlign w:val="center"/>
          </w:tcPr>
          <w:p>
            <w:pPr>
              <w:pStyle w:val="TableContents"/>
              <w:widowControl w:val="false"/>
              <w:suppressLineNumbers/>
              <w:bidi w:val="0"/>
              <w:jc w:val="start"/>
              <w:rPr/>
            </w:pPr>
            <w:r>
              <w:rPr/>
              <w:t>Exposes approved insights or derived knowledge for collective use.</w:t>
            </w:r>
          </w:p>
        </w:tc>
        <w:tc>
          <w:tcPr>
            <w:tcW w:w="4941" w:type="dxa"/>
            <w:tcBorders/>
            <w:vAlign w:val="center"/>
          </w:tcPr>
          <w:p>
            <w:pPr>
              <w:pStyle w:val="TableContents"/>
              <w:widowControl w:val="false"/>
              <w:suppressLineNumbers/>
              <w:bidi w:val="0"/>
              <w:jc w:val="start"/>
              <w:rPr/>
            </w:pPr>
            <w:r>
              <w:rPr/>
              <w:t>Provenance-tracked FAIR outputs, attribution metadata, audit logging</w:t>
            </w:r>
          </w:p>
        </w:tc>
      </w:tr>
    </w:tbl>
    <w:p>
      <w:pPr>
        <w:pStyle w:val="BodyText"/>
        <w:bidi w:val="0"/>
        <w:jc w:val="start"/>
        <w:rPr/>
      </w:pPr>
      <w:r>
        <w:rPr/>
        <w:t xml:space="preserve">Together, these layers form a </w:t>
      </w:r>
      <w:r>
        <w:rPr>
          <w:rStyle w:val="Strong"/>
        </w:rPr>
        <w:t>trust-through-protocol architecture</w:t>
      </w:r>
      <w:r>
        <w:rPr/>
        <w:t>: insight moves across systems, but data sovereignty is preserved.</w:t>
      </w:r>
    </w:p>
    <w:p>
      <w:pPr>
        <w:pStyle w:val="HorizontalLine"/>
        <w:bidi w:val="0"/>
        <w:jc w:val="start"/>
        <w:rPr/>
      </w:pPr>
      <w:r>
        <w:rPr/>
      </w:r>
    </w:p>
    <w:p>
      <w:pPr>
        <w:pStyle w:val="Heading2"/>
        <w:bidi w:val="0"/>
        <w:jc w:val="start"/>
        <w:rPr/>
      </w:pPr>
      <w:r>
        <w:rPr>
          <w:rStyle w:val="Strong"/>
          <w:b/>
          <w:bCs/>
        </w:rPr>
        <w:t>5. Modes of Practice</w:t>
      </w:r>
    </w:p>
    <w:p>
      <w:pPr>
        <w:pStyle w:val="BodyText"/>
        <w:bidi w:val="0"/>
        <w:jc w:val="start"/>
        <w:rPr/>
      </w:pPr>
      <w:r>
        <w:rPr/>
        <w:t>RKL applies secure reasoning through three complementary modes, reflecting varying degrees of openness and control.</w:t>
      </w:r>
    </w:p>
    <w:tbl>
      <w:tblPr>
        <w:tblW w:w="9972" w:type="dxa"/>
        <w:jc w:val="start"/>
        <w:tblInd w:w="0" w:type="dxa"/>
        <w:tblLayout w:type="fixed"/>
        <w:tblCellMar>
          <w:top w:w="28" w:type="dxa"/>
          <w:start w:w="28" w:type="dxa"/>
          <w:bottom w:w="28" w:type="dxa"/>
          <w:end w:w="28" w:type="dxa"/>
        </w:tblCellMar>
      </w:tblPr>
      <w:tblGrid>
        <w:gridCol w:w="2413"/>
        <w:gridCol w:w="2332"/>
        <w:gridCol w:w="2398"/>
        <w:gridCol w:w="2829"/>
      </w:tblGrid>
      <w:tr>
        <w:trPr>
          <w:tblHeader w:val="true"/>
        </w:trPr>
        <w:tc>
          <w:tcPr>
            <w:tcW w:w="2413" w:type="dxa"/>
            <w:tcBorders/>
            <w:vAlign w:val="center"/>
          </w:tcPr>
          <w:p>
            <w:pPr>
              <w:pStyle w:val="TableHeading"/>
              <w:suppressLineNumbers/>
              <w:bidi w:val="0"/>
              <w:jc w:val="center"/>
              <w:rPr/>
            </w:pPr>
            <w:r>
              <w:rPr/>
              <w:t>Type</w:t>
            </w:r>
          </w:p>
        </w:tc>
        <w:tc>
          <w:tcPr>
            <w:tcW w:w="2332" w:type="dxa"/>
            <w:tcBorders/>
            <w:vAlign w:val="center"/>
          </w:tcPr>
          <w:p>
            <w:pPr>
              <w:pStyle w:val="TableHeading"/>
              <w:suppressLineNumbers/>
              <w:bidi w:val="0"/>
              <w:jc w:val="center"/>
              <w:rPr/>
            </w:pPr>
            <w:r>
              <w:rPr/>
              <w:t>Description</w:t>
            </w:r>
          </w:p>
        </w:tc>
        <w:tc>
          <w:tcPr>
            <w:tcW w:w="2398" w:type="dxa"/>
            <w:tcBorders/>
            <w:vAlign w:val="center"/>
          </w:tcPr>
          <w:p>
            <w:pPr>
              <w:pStyle w:val="TableHeading"/>
              <w:suppressLineNumbers/>
              <w:bidi w:val="0"/>
              <w:jc w:val="center"/>
              <w:rPr/>
            </w:pPr>
            <w:r>
              <w:rPr/>
              <w:t>Relationship of CARE and FAIR</w:t>
            </w:r>
          </w:p>
        </w:tc>
        <w:tc>
          <w:tcPr>
            <w:tcW w:w="2829" w:type="dxa"/>
            <w:tcBorders/>
            <w:vAlign w:val="center"/>
          </w:tcPr>
          <w:p>
            <w:pPr>
              <w:pStyle w:val="TableHeading"/>
              <w:suppressLineNumbers/>
              <w:bidi w:val="0"/>
              <w:jc w:val="center"/>
              <w:rPr/>
            </w:pPr>
            <w:r>
              <w:rPr/>
              <w:t>Example</w:t>
            </w:r>
          </w:p>
        </w:tc>
      </w:tr>
      <w:tr>
        <w:trPr/>
        <w:tc>
          <w:tcPr>
            <w:tcW w:w="2413" w:type="dxa"/>
            <w:tcBorders/>
            <w:vAlign w:val="center"/>
          </w:tcPr>
          <w:p>
            <w:pPr>
              <w:pStyle w:val="TableContents"/>
              <w:widowControl w:val="false"/>
              <w:suppressLineNumbers/>
              <w:bidi w:val="0"/>
              <w:jc w:val="start"/>
              <w:rPr/>
            </w:pPr>
            <w:r>
              <w:rPr>
                <w:rStyle w:val="Strong"/>
              </w:rPr>
              <w:t>Type I – CARE-Focused</w:t>
            </w:r>
          </w:p>
        </w:tc>
        <w:tc>
          <w:tcPr>
            <w:tcW w:w="2332" w:type="dxa"/>
            <w:tcBorders/>
            <w:vAlign w:val="center"/>
          </w:tcPr>
          <w:p>
            <w:pPr>
              <w:pStyle w:val="TableContents"/>
              <w:widowControl w:val="false"/>
              <w:suppressLineNumbers/>
              <w:bidi w:val="0"/>
              <w:jc w:val="start"/>
              <w:rPr/>
            </w:pPr>
            <w:r>
              <w:rPr/>
              <w:t>Reasoning occurs entirely within local systems; no external exposure.</w:t>
            </w:r>
          </w:p>
        </w:tc>
        <w:tc>
          <w:tcPr>
            <w:tcW w:w="2398" w:type="dxa"/>
            <w:tcBorders/>
            <w:vAlign w:val="center"/>
          </w:tcPr>
          <w:p>
            <w:pPr>
              <w:pStyle w:val="TableContents"/>
              <w:widowControl w:val="false"/>
              <w:suppressLineNumbers/>
              <w:bidi w:val="0"/>
              <w:jc w:val="start"/>
              <w:rPr/>
            </w:pPr>
            <w:r>
              <w:rPr/>
              <w:t>CARE-dominant; internal FAIR only.</w:t>
            </w:r>
          </w:p>
        </w:tc>
        <w:tc>
          <w:tcPr>
            <w:tcW w:w="2829" w:type="dxa"/>
            <w:tcBorders/>
            <w:vAlign w:val="center"/>
          </w:tcPr>
          <w:p>
            <w:pPr>
              <w:pStyle w:val="TableContents"/>
              <w:widowControl w:val="false"/>
              <w:suppressLineNumbers/>
              <w:bidi w:val="0"/>
              <w:jc w:val="start"/>
              <w:rPr/>
            </w:pPr>
            <w:r>
              <w:rPr/>
              <w:t>A regional health authority analyzing patient data under local consent.</w:t>
            </w:r>
          </w:p>
        </w:tc>
      </w:tr>
      <w:tr>
        <w:trPr/>
        <w:tc>
          <w:tcPr>
            <w:tcW w:w="2413" w:type="dxa"/>
            <w:tcBorders/>
            <w:vAlign w:val="center"/>
          </w:tcPr>
          <w:p>
            <w:pPr>
              <w:pStyle w:val="TableContents"/>
              <w:widowControl w:val="false"/>
              <w:suppressLineNumbers/>
              <w:bidi w:val="0"/>
              <w:jc w:val="start"/>
              <w:rPr/>
            </w:pPr>
            <w:r>
              <w:rPr>
                <w:rStyle w:val="Strong"/>
              </w:rPr>
              <w:t>Type II – Open Knowledge Sharing</w:t>
            </w:r>
          </w:p>
        </w:tc>
        <w:tc>
          <w:tcPr>
            <w:tcW w:w="2332" w:type="dxa"/>
            <w:tcBorders/>
            <w:vAlign w:val="center"/>
          </w:tcPr>
          <w:p>
            <w:pPr>
              <w:pStyle w:val="TableContents"/>
              <w:widowControl w:val="false"/>
              <w:suppressLineNumbers/>
              <w:bidi w:val="0"/>
              <w:jc w:val="start"/>
              <w:rPr/>
            </w:pPr>
            <w:r>
              <w:rPr/>
              <w:t>Responsible, transparent reasoning on open or public datasets.</w:t>
            </w:r>
          </w:p>
        </w:tc>
        <w:tc>
          <w:tcPr>
            <w:tcW w:w="2398" w:type="dxa"/>
            <w:tcBorders/>
            <w:vAlign w:val="center"/>
          </w:tcPr>
          <w:p>
            <w:pPr>
              <w:pStyle w:val="TableContents"/>
              <w:widowControl w:val="false"/>
              <w:suppressLineNumbers/>
              <w:bidi w:val="0"/>
              <w:jc w:val="start"/>
              <w:rPr/>
            </w:pPr>
            <w:r>
              <w:rPr/>
              <w:t>FAIR-dominant but CARE-informed.</w:t>
            </w:r>
          </w:p>
        </w:tc>
        <w:tc>
          <w:tcPr>
            <w:tcW w:w="2829" w:type="dxa"/>
            <w:tcBorders/>
            <w:vAlign w:val="center"/>
          </w:tcPr>
          <w:p>
            <w:pPr>
              <w:pStyle w:val="TableContents"/>
              <w:widowControl w:val="false"/>
              <w:suppressLineNumbers/>
              <w:bidi w:val="0"/>
              <w:jc w:val="start"/>
              <w:rPr/>
            </w:pPr>
            <w:r>
              <w:rPr>
                <w:rStyle w:val="Emphasis"/>
              </w:rPr>
              <w:t>Open Ocean Research Project</w:t>
            </w:r>
            <w:r>
              <w:rPr/>
              <w:t xml:space="preserve"> prototype: AI reasoning on open marine-plastics data.</w:t>
            </w:r>
          </w:p>
        </w:tc>
      </w:tr>
      <w:tr>
        <w:trPr/>
        <w:tc>
          <w:tcPr>
            <w:tcW w:w="2413" w:type="dxa"/>
            <w:tcBorders/>
            <w:vAlign w:val="center"/>
          </w:tcPr>
          <w:p>
            <w:pPr>
              <w:pStyle w:val="TableContents"/>
              <w:widowControl w:val="false"/>
              <w:suppressLineNumbers/>
              <w:bidi w:val="0"/>
              <w:jc w:val="start"/>
              <w:rPr/>
            </w:pPr>
            <w:r>
              <w:rPr>
                <w:rStyle w:val="Strong"/>
              </w:rPr>
              <w:t>Type III – CARE-Enabled Insight Exchange</w:t>
            </w:r>
          </w:p>
        </w:tc>
        <w:tc>
          <w:tcPr>
            <w:tcW w:w="2332" w:type="dxa"/>
            <w:tcBorders/>
            <w:vAlign w:val="center"/>
          </w:tcPr>
          <w:p>
            <w:pPr>
              <w:pStyle w:val="TableContents"/>
              <w:widowControl w:val="false"/>
              <w:suppressLineNumbers/>
              <w:bidi w:val="0"/>
              <w:jc w:val="start"/>
              <w:rPr/>
            </w:pPr>
            <w:r>
              <w:rPr/>
              <w:t>Derived insights shared externally; raw data remain secure.</w:t>
            </w:r>
          </w:p>
        </w:tc>
        <w:tc>
          <w:tcPr>
            <w:tcW w:w="2398" w:type="dxa"/>
            <w:tcBorders/>
            <w:vAlign w:val="center"/>
          </w:tcPr>
          <w:p>
            <w:pPr>
              <w:pStyle w:val="TableContents"/>
              <w:widowControl w:val="false"/>
              <w:suppressLineNumbers/>
              <w:bidi w:val="0"/>
              <w:jc w:val="start"/>
              <w:rPr/>
            </w:pPr>
            <w:r>
              <w:rPr/>
              <w:t>CARE enables FAIR; governance mediates sharing.</w:t>
            </w:r>
          </w:p>
        </w:tc>
        <w:tc>
          <w:tcPr>
            <w:tcW w:w="2829" w:type="dxa"/>
            <w:tcBorders/>
            <w:vAlign w:val="center"/>
          </w:tcPr>
          <w:p>
            <w:pPr>
              <w:pStyle w:val="TableContents"/>
              <w:widowControl w:val="false"/>
              <w:suppressLineNumbers/>
              <w:bidi w:val="0"/>
              <w:jc w:val="start"/>
              <w:rPr/>
            </w:pPr>
            <w:r>
              <w:rPr/>
              <w:t>A coastal community generating anonymized climate insights for policy use.</w:t>
            </w:r>
          </w:p>
        </w:tc>
      </w:tr>
    </w:tbl>
    <w:p>
      <w:pPr>
        <w:pStyle w:val="BodyText"/>
        <w:bidi w:val="0"/>
        <w:jc w:val="start"/>
        <w:rPr/>
      </w:pPr>
      <w:r>
        <w:rPr/>
        <w:t>Type III represents the transformative frontier—where local control and global understanding coexist.</w:t>
      </w:r>
    </w:p>
    <w:p>
      <w:pPr>
        <w:pStyle w:val="HorizontalLine"/>
        <w:bidi w:val="0"/>
        <w:jc w:val="start"/>
        <w:rPr/>
      </w:pPr>
      <w:r>
        <w:rPr/>
      </w:r>
    </w:p>
    <w:p>
      <w:pPr>
        <w:pStyle w:val="Heading2"/>
        <w:bidi w:val="0"/>
        <w:jc w:val="start"/>
        <w:rPr/>
      </w:pPr>
      <w:r>
        <w:rPr>
          <w:rStyle w:val="Strong"/>
          <w:b/>
          <w:bCs/>
        </w:rPr>
        <w:t>6. Technical Foundations</w:t>
      </w:r>
    </w:p>
    <w:p>
      <w:pPr>
        <w:pStyle w:val="BodyText"/>
        <w:bidi w:val="0"/>
        <w:jc w:val="start"/>
        <w:rPr/>
      </w:pPr>
      <w:r>
        <w:rPr/>
        <w:t>RKL’s technical approach combines established AI architectures with new governance mechanisms:</w:t>
      </w:r>
    </w:p>
    <w:p>
      <w:pPr>
        <w:pStyle w:val="BodyText"/>
        <w:numPr>
          <w:ilvl w:val="0"/>
          <w:numId w:val="3"/>
        </w:numPr>
        <w:tabs>
          <w:tab w:val="clear" w:pos="709"/>
          <w:tab w:val="left" w:pos="709" w:leader="none"/>
        </w:tabs>
        <w:bidi w:val="0"/>
        <w:ind w:hanging="283" w:start="709"/>
        <w:jc w:val="start"/>
        <w:rPr/>
      </w:pPr>
      <w:r>
        <w:rPr>
          <w:rStyle w:val="Strong"/>
        </w:rPr>
        <w:t>Model Context Protocol (MCP):</w:t>
      </w:r>
      <w:r>
        <w:rPr/>
        <w:t xml:space="preserve"> An open protocol for verifiable model–data interaction, embedding consent, purpose, and provenance metadata.</w:t>
      </w:r>
    </w:p>
    <w:p>
      <w:pPr>
        <w:pStyle w:val="BodyText"/>
        <w:numPr>
          <w:ilvl w:val="0"/>
          <w:numId w:val="3"/>
        </w:numPr>
        <w:tabs>
          <w:tab w:val="clear" w:pos="709"/>
          <w:tab w:val="left" w:pos="709" w:leader="none"/>
        </w:tabs>
        <w:bidi w:val="0"/>
        <w:ind w:hanging="283" w:start="709"/>
        <w:jc w:val="start"/>
        <w:rPr/>
      </w:pPr>
      <w:r>
        <w:rPr>
          <w:rStyle w:val="Strong"/>
        </w:rPr>
        <w:t>Policy-Aware RAG:</w:t>
      </w:r>
      <w:r>
        <w:rPr/>
        <w:t xml:space="preserve"> Retrieval-Augmented Generation that enforces access rules and contextual boundaries.</w:t>
      </w:r>
    </w:p>
    <w:p>
      <w:pPr>
        <w:pStyle w:val="BodyText"/>
        <w:numPr>
          <w:ilvl w:val="0"/>
          <w:numId w:val="3"/>
        </w:numPr>
        <w:tabs>
          <w:tab w:val="clear" w:pos="709"/>
          <w:tab w:val="left" w:pos="709" w:leader="none"/>
        </w:tabs>
        <w:bidi w:val="0"/>
        <w:ind w:hanging="283" w:start="709"/>
        <w:jc w:val="start"/>
        <w:rPr/>
      </w:pPr>
      <w:r>
        <w:rPr>
          <w:rStyle w:val="Strong"/>
        </w:rPr>
        <w:t>Vector Databases with Governance Hooks:</w:t>
      </w:r>
      <w:r>
        <w:rPr/>
        <w:t xml:space="preserve"> Semantic search limited by policy metadata.</w:t>
      </w:r>
    </w:p>
    <w:p>
      <w:pPr>
        <w:pStyle w:val="BodyText"/>
        <w:numPr>
          <w:ilvl w:val="0"/>
          <w:numId w:val="3"/>
        </w:numPr>
        <w:tabs>
          <w:tab w:val="clear" w:pos="709"/>
          <w:tab w:val="left" w:pos="709" w:leader="none"/>
        </w:tabs>
        <w:bidi w:val="0"/>
        <w:ind w:hanging="283" w:start="709"/>
        <w:jc w:val="start"/>
        <w:rPr/>
      </w:pPr>
      <w:r>
        <w:rPr>
          <w:rStyle w:val="Strong"/>
        </w:rPr>
        <w:t>Audit and Provenance Systems:</w:t>
      </w:r>
      <w:r>
        <w:rPr/>
        <w:t xml:space="preserve"> Transparent record of data sources, reasoning steps, and decision context.</w:t>
      </w:r>
    </w:p>
    <w:p>
      <w:pPr>
        <w:pStyle w:val="BodyText"/>
        <w:numPr>
          <w:ilvl w:val="0"/>
          <w:numId w:val="3"/>
        </w:numPr>
        <w:tabs>
          <w:tab w:val="clear" w:pos="709"/>
          <w:tab w:val="left" w:pos="709" w:leader="none"/>
        </w:tabs>
        <w:bidi w:val="0"/>
        <w:ind w:hanging="283" w:start="709"/>
        <w:jc w:val="start"/>
        <w:rPr/>
      </w:pPr>
      <w:r>
        <w:rPr>
          <w:rStyle w:val="Strong"/>
        </w:rPr>
        <w:t>Local Deployment Toolkits:</w:t>
      </w:r>
      <w:r>
        <w:rPr/>
        <w:t xml:space="preserve"> Containerized reasoning environments allowing organizations to host their own secure AI systems.</w:t>
      </w:r>
    </w:p>
    <w:p>
      <w:pPr>
        <w:pStyle w:val="BodyText"/>
        <w:bidi w:val="0"/>
        <w:jc w:val="start"/>
        <w:rPr/>
      </w:pPr>
      <w:r>
        <w:rPr/>
        <w:t xml:space="preserve">These components together demonstrate that </w:t>
      </w:r>
      <w:r>
        <w:rPr>
          <w:rStyle w:val="Strong"/>
        </w:rPr>
        <w:t>governance can be technical</w:t>
      </w:r>
      <w:r>
        <w:rPr/>
        <w:t>, not just procedural.</w:t>
      </w:r>
    </w:p>
    <w:p>
      <w:pPr>
        <w:pStyle w:val="HorizontalLine"/>
        <w:bidi w:val="0"/>
        <w:jc w:val="start"/>
        <w:rPr/>
      </w:pPr>
      <w:r>
        <w:rPr/>
      </w:r>
    </w:p>
    <w:p>
      <w:pPr>
        <w:pStyle w:val="Heading2"/>
        <w:bidi w:val="0"/>
        <w:jc w:val="start"/>
        <w:rPr/>
      </w:pPr>
      <w:r>
        <w:rPr>
          <w:rStyle w:val="Strong"/>
          <w:b/>
          <w:bCs/>
        </w:rPr>
        <w:t>7. Ethical and Institutional Design</w:t>
      </w:r>
    </w:p>
    <w:p>
      <w:pPr>
        <w:pStyle w:val="BodyText"/>
        <w:bidi w:val="0"/>
        <w:jc w:val="start"/>
        <w:rPr/>
      </w:pPr>
      <w:r>
        <w:rPr/>
        <w:t>Secure reasoning requires institutions to view governance not as bureaucracy but as infrastructure.</w:t>
        <w:br/>
        <w:t>RKL’s approach encodes ethical review, consent renewal, and community veto mechanisms directly into the workflow.</w:t>
        <w:br/>
        <w:t>This transforms compliance from a one-time document into a living system that enforces CARE in real time.</w:t>
      </w:r>
    </w:p>
    <w:p>
      <w:pPr>
        <w:pStyle w:val="BodyText"/>
        <w:bidi w:val="0"/>
        <w:jc w:val="start"/>
        <w:rPr/>
      </w:pPr>
      <w:r>
        <w:rPr/>
        <w:t>Key principles:</w:t>
      </w:r>
    </w:p>
    <w:p>
      <w:pPr>
        <w:pStyle w:val="BodyText"/>
        <w:numPr>
          <w:ilvl w:val="0"/>
          <w:numId w:val="4"/>
        </w:numPr>
        <w:tabs>
          <w:tab w:val="clear" w:pos="709"/>
          <w:tab w:val="left" w:pos="709" w:leader="none"/>
        </w:tabs>
        <w:bidi w:val="0"/>
        <w:ind w:hanging="283" w:start="709"/>
        <w:jc w:val="start"/>
        <w:rPr/>
      </w:pPr>
      <w:r>
        <w:rPr>
          <w:rStyle w:val="Strong"/>
        </w:rPr>
        <w:t>Context Over Content:</w:t>
      </w:r>
      <w:r>
        <w:rPr/>
        <w:t xml:space="preserve"> Reasoning systems access only what they are authorized to contextualize.</w:t>
      </w:r>
    </w:p>
    <w:p>
      <w:pPr>
        <w:pStyle w:val="BodyText"/>
        <w:numPr>
          <w:ilvl w:val="0"/>
          <w:numId w:val="4"/>
        </w:numPr>
        <w:tabs>
          <w:tab w:val="clear" w:pos="709"/>
          <w:tab w:val="left" w:pos="709" w:leader="none"/>
        </w:tabs>
        <w:bidi w:val="0"/>
        <w:ind w:hanging="283" w:start="709"/>
        <w:jc w:val="start"/>
        <w:rPr/>
      </w:pPr>
      <w:r>
        <w:rPr>
          <w:rStyle w:val="Strong"/>
        </w:rPr>
        <w:t>Governance by Design:</w:t>
      </w:r>
      <w:r>
        <w:rPr/>
        <w:t xml:space="preserve"> Authority and consent are built into the system, not appended later.</w:t>
      </w:r>
    </w:p>
    <w:p>
      <w:pPr>
        <w:pStyle w:val="BodyText"/>
        <w:numPr>
          <w:ilvl w:val="0"/>
          <w:numId w:val="4"/>
        </w:numPr>
        <w:tabs>
          <w:tab w:val="clear" w:pos="709"/>
          <w:tab w:val="left" w:pos="709" w:leader="none"/>
        </w:tabs>
        <w:bidi w:val="0"/>
        <w:ind w:hanging="283" w:start="709"/>
        <w:jc w:val="start"/>
        <w:rPr/>
      </w:pPr>
      <w:r>
        <w:rPr>
          <w:rStyle w:val="Strong"/>
        </w:rPr>
        <w:t>Verification Over Assumption:</w:t>
      </w:r>
      <w:r>
        <w:rPr/>
        <w:t xml:space="preserve"> Privacy and provenance must be provable, not implied.</w:t>
      </w:r>
    </w:p>
    <w:p>
      <w:pPr>
        <w:pStyle w:val="BodyText"/>
        <w:numPr>
          <w:ilvl w:val="0"/>
          <w:numId w:val="4"/>
        </w:numPr>
        <w:tabs>
          <w:tab w:val="clear" w:pos="709"/>
          <w:tab w:val="left" w:pos="709" w:leader="none"/>
        </w:tabs>
        <w:bidi w:val="0"/>
        <w:ind w:hanging="283" w:start="709"/>
        <w:jc w:val="start"/>
        <w:rPr/>
      </w:pPr>
      <w:r>
        <w:rPr>
          <w:rStyle w:val="Strong"/>
        </w:rPr>
        <w:t>Protocols Over Platforms:</w:t>
      </w:r>
      <w:r>
        <w:rPr/>
        <w:t xml:space="preserve"> The trust layer must remain open and inspectable.</w:t>
      </w:r>
    </w:p>
    <w:p>
      <w:pPr>
        <w:pStyle w:val="HorizontalLine"/>
        <w:bidi w:val="0"/>
        <w:jc w:val="start"/>
        <w:rPr/>
      </w:pPr>
      <w:r>
        <w:rPr/>
      </w:r>
    </w:p>
    <w:p>
      <w:pPr>
        <w:pStyle w:val="Heading2"/>
        <w:bidi w:val="0"/>
        <w:jc w:val="start"/>
        <w:rPr/>
      </w:pPr>
      <w:r>
        <w:rPr>
          <w:rStyle w:val="Strong"/>
          <w:b/>
          <w:bCs/>
        </w:rPr>
        <w:t>8. Demonstration Phase (2025–2026)</w:t>
      </w:r>
    </w:p>
    <w:p>
      <w:pPr>
        <w:pStyle w:val="BodyText"/>
        <w:bidi w:val="0"/>
        <w:jc w:val="start"/>
        <w:rPr/>
      </w:pPr>
      <w:r>
        <w:rPr/>
        <w:t>RKL’s first operational phase will demonstrate secure reasoning through three deliverables:</w:t>
      </w:r>
    </w:p>
    <w:p>
      <w:pPr>
        <w:pStyle w:val="BodyText"/>
        <w:numPr>
          <w:ilvl w:val="0"/>
          <w:numId w:val="5"/>
        </w:numPr>
        <w:tabs>
          <w:tab w:val="clear" w:pos="709"/>
          <w:tab w:val="left" w:pos="709" w:leader="none"/>
        </w:tabs>
        <w:bidi w:val="0"/>
        <w:ind w:hanging="283" w:start="709"/>
        <w:jc w:val="start"/>
        <w:rPr/>
      </w:pPr>
      <w:r>
        <w:rPr>
          <w:rStyle w:val="Strong"/>
        </w:rPr>
        <w:t>White Paper (this document):</w:t>
      </w:r>
      <w:r>
        <w:rPr/>
        <w:t xml:space="preserve"> Defines the secure reasoning model and governance architecture.</w:t>
      </w:r>
    </w:p>
    <w:p>
      <w:pPr>
        <w:pStyle w:val="BodyText"/>
        <w:numPr>
          <w:ilvl w:val="0"/>
          <w:numId w:val="5"/>
        </w:numPr>
        <w:tabs>
          <w:tab w:val="clear" w:pos="709"/>
          <w:tab w:val="left" w:pos="709" w:leader="none"/>
        </w:tabs>
        <w:bidi w:val="0"/>
        <w:ind w:hanging="283" w:start="709"/>
        <w:jc w:val="start"/>
        <w:rPr/>
      </w:pPr>
      <w:r>
        <w:rPr>
          <w:rStyle w:val="Strong"/>
        </w:rPr>
        <w:t>Open Ocean Research Project (Prototype):</w:t>
      </w:r>
      <w:r>
        <w:rPr/>
        <w:t xml:space="preserve"> Tests the model using open marine-plastics data (Type II – Open Knowledge Sharing).</w:t>
      </w:r>
    </w:p>
    <w:p>
      <w:pPr>
        <w:pStyle w:val="BodyText"/>
        <w:numPr>
          <w:ilvl w:val="0"/>
          <w:numId w:val="5"/>
        </w:numPr>
        <w:tabs>
          <w:tab w:val="clear" w:pos="709"/>
          <w:tab w:val="left" w:pos="709" w:leader="none"/>
        </w:tabs>
        <w:bidi w:val="0"/>
        <w:ind w:hanging="283" w:start="709"/>
        <w:jc w:val="start"/>
        <w:rPr/>
      </w:pPr>
      <w:r>
        <w:rPr>
          <w:rStyle w:val="Strong"/>
        </w:rPr>
        <w:t>Governance Toolkit v1:</w:t>
      </w:r>
      <w:r>
        <w:rPr/>
        <w:t xml:space="preserve"> Provides templates for consent, access control, and licensing in AI contexts.</w:t>
      </w:r>
    </w:p>
    <w:p>
      <w:pPr>
        <w:pStyle w:val="BodyText"/>
        <w:bidi w:val="0"/>
        <w:jc w:val="start"/>
        <w:rPr/>
      </w:pPr>
      <w:r>
        <w:rPr/>
        <w:t>These artifacts together form the foundation of a reproducible ecosystem for secure reasoning.</w:t>
      </w:r>
    </w:p>
    <w:p>
      <w:pPr>
        <w:pStyle w:val="HorizontalLine"/>
        <w:bidi w:val="0"/>
        <w:jc w:val="start"/>
        <w:rPr/>
      </w:pPr>
      <w:r>
        <w:rPr/>
      </w:r>
    </w:p>
    <w:p>
      <w:pPr>
        <w:pStyle w:val="Heading2"/>
        <w:bidi w:val="0"/>
        <w:jc w:val="start"/>
        <w:rPr/>
      </w:pPr>
      <w:r>
        <w:rPr>
          <w:rStyle w:val="Strong"/>
          <w:b/>
          <w:bCs/>
        </w:rPr>
        <w:t>9. Long-Term Vision</w:t>
      </w:r>
    </w:p>
    <w:p>
      <w:pPr>
        <w:pStyle w:val="BodyText"/>
        <w:bidi w:val="0"/>
        <w:jc w:val="start"/>
        <w:rPr/>
      </w:pPr>
      <w:r>
        <w:rPr/>
        <w:t xml:space="preserve">RKL’s vision is to establish a </w:t>
      </w:r>
      <w:r>
        <w:rPr>
          <w:rStyle w:val="Strong"/>
        </w:rPr>
        <w:t>Public-Interest Compute Consortium</w:t>
      </w:r>
      <w:r>
        <w:rPr/>
        <w:t>—a distributed network of institutions running governed reasoning environments under shared ethical and technical standards.</w:t>
        <w:br/>
        <w:t>This network would:</w:t>
      </w:r>
    </w:p>
    <w:p>
      <w:pPr>
        <w:pStyle w:val="BodyText"/>
        <w:numPr>
          <w:ilvl w:val="0"/>
          <w:numId w:val="6"/>
        </w:numPr>
        <w:tabs>
          <w:tab w:val="clear" w:pos="709"/>
          <w:tab w:val="left" w:pos="709" w:leader="none"/>
        </w:tabs>
        <w:bidi w:val="0"/>
        <w:ind w:hanging="283" w:start="709"/>
        <w:jc w:val="start"/>
        <w:rPr/>
      </w:pPr>
      <w:r>
        <w:rPr/>
        <w:t>Provide an alternative to centralized, opaque AI infrastructure</w:t>
      </w:r>
    </w:p>
    <w:p>
      <w:pPr>
        <w:pStyle w:val="BodyText"/>
        <w:numPr>
          <w:ilvl w:val="0"/>
          <w:numId w:val="6"/>
        </w:numPr>
        <w:tabs>
          <w:tab w:val="clear" w:pos="709"/>
          <w:tab w:val="left" w:pos="709" w:leader="none"/>
        </w:tabs>
        <w:bidi w:val="0"/>
        <w:ind w:hanging="283" w:start="709"/>
        <w:jc w:val="start"/>
        <w:rPr/>
      </w:pPr>
      <w:r>
        <w:rPr/>
        <w:t>Enable transparent, auditable reasoning for science, policy, and governance</w:t>
      </w:r>
    </w:p>
    <w:p>
      <w:pPr>
        <w:pStyle w:val="BodyText"/>
        <w:numPr>
          <w:ilvl w:val="0"/>
          <w:numId w:val="6"/>
        </w:numPr>
        <w:tabs>
          <w:tab w:val="clear" w:pos="709"/>
          <w:tab w:val="left" w:pos="709" w:leader="none"/>
        </w:tabs>
        <w:bidi w:val="0"/>
        <w:ind w:hanging="283" w:start="709"/>
        <w:jc w:val="start"/>
        <w:rPr/>
      </w:pPr>
      <w:r>
        <w:rPr/>
        <w:t>Preserve local authority while supporting global collaboration</w:t>
      </w:r>
    </w:p>
    <w:p>
      <w:pPr>
        <w:pStyle w:val="BodyText"/>
        <w:bidi w:val="0"/>
        <w:jc w:val="start"/>
        <w:rPr/>
      </w:pPr>
      <w:r>
        <w:rPr/>
        <w:t xml:space="preserve">Ultimately, RKL aims to make </w:t>
      </w:r>
      <w:r>
        <w:rPr>
          <w:rStyle w:val="Strong"/>
        </w:rPr>
        <w:t>secure reasoning a default capability</w:t>
      </w:r>
      <w:r>
        <w:rPr/>
        <w:t xml:space="preserve"> of AI systems everywhere.</w:t>
      </w:r>
    </w:p>
    <w:p>
      <w:pPr>
        <w:pStyle w:val="HorizontalLine"/>
        <w:bidi w:val="0"/>
        <w:jc w:val="start"/>
        <w:rPr/>
      </w:pPr>
      <w:r>
        <w:rPr/>
      </w:r>
    </w:p>
    <w:p>
      <w:pPr>
        <w:pStyle w:val="Heading2"/>
        <w:bidi w:val="0"/>
        <w:jc w:val="start"/>
        <w:rPr/>
      </w:pPr>
      <w:r>
        <w:rPr>
          <w:rStyle w:val="Strong"/>
          <w:b/>
          <w:bCs/>
        </w:rPr>
        <w:t>10. Conclusion</w:t>
      </w:r>
    </w:p>
    <w:p>
      <w:pPr>
        <w:pStyle w:val="BodyText"/>
        <w:bidi w:val="0"/>
        <w:jc w:val="start"/>
        <w:rPr/>
      </w:pPr>
      <w:r>
        <w:rPr/>
        <w:t xml:space="preserve">AI’s next frontier is not capability—it is </w:t>
      </w:r>
      <w:r>
        <w:rPr>
          <w:rStyle w:val="Strong"/>
        </w:rPr>
        <w:t>trust</w:t>
      </w:r>
      <w:r>
        <w:rPr/>
        <w:t>.</w:t>
        <w:br/>
        <w:t>Without governance infrastructure, AI cannot safely integrate with the world’s most valuable knowledge.</w:t>
        <w:br/>
        <w:t>Secure reasoning offers a practical path forward: insight without exposure, openness without exploitation, and collaboration without loss of control.</w:t>
      </w:r>
    </w:p>
    <w:p>
      <w:pPr>
        <w:pStyle w:val="BodyText"/>
        <w:bidi w:val="0"/>
        <w:jc w:val="start"/>
        <w:rPr/>
      </w:pPr>
      <w:r>
        <w:rPr>
          <w:rStyle w:val="Strong"/>
        </w:rPr>
        <w:t>RKL builds the infrastructure that makes this possible.</w:t>
      </w:r>
      <w:r>
        <w:rPr/>
        <w:br/>
        <w:t>It is time to treat governance not as a barrier to knowledge, but as its foundation.</w:t>
      </w:r>
    </w:p>
    <w:p>
      <w:pPr>
        <w:pStyle w:val="HorizontalLine"/>
        <w:bidi w:val="0"/>
        <w:jc w:val="start"/>
        <w:rPr/>
      </w:pPr>
      <w:r>
        <w:rPr/>
      </w:r>
    </w:p>
    <w:p>
      <w:pPr>
        <w:pStyle w:val="BodyText"/>
        <w:bidi w:val="0"/>
        <w:jc w:val="start"/>
        <w:rPr/>
      </w:pPr>
      <w:r>
        <w:rPr>
          <w:rStyle w:val="Strong"/>
        </w:rPr>
        <w:t>Contact:</w:t>
      </w:r>
      <w:r>
        <w:rPr/>
        <w:t xml:space="preserve"> </w:t>
      </w:r>
      <w:hyperlink r:id="rId4">
        <w:r>
          <w:rPr>
            <w:rStyle w:val="Hyperlink"/>
          </w:rPr>
          <w:t>info@resonantknowledgelab.org</w:t>
        </w:r>
      </w:hyperlink>
      <w:r>
        <w:rPr/>
        <w:br/>
      </w:r>
      <w:r>
        <w:rPr>
          <w:rStyle w:val="Strong"/>
        </w:rPr>
        <w:t>Website:</w:t>
      </w:r>
      <w:r>
        <w:rPr/>
        <w:t xml:space="preserve"> </w:t>
      </w:r>
      <w:hyperlink r:id="rId5" w:tgtFrame="_new">
        <w:r>
          <w:rPr>
            <w:rStyle w:val="Hyperlink"/>
          </w:rPr>
          <w:t>resonantknowledgelab.org</w:t>
        </w:r>
      </w:hyperlink>
      <w:r>
        <w:rPr/>
        <w:br/>
      </w:r>
      <w:r>
        <w:rPr>
          <w:rStyle w:val="Strong"/>
        </w:rPr>
        <w:t>Tagline:</w:t>
      </w:r>
      <w:r>
        <w:rPr/>
        <w:t xml:space="preserve"> </w:t>
      </w:r>
      <w:r>
        <w:rPr>
          <w:rStyle w:val="Emphasis"/>
        </w:rPr>
        <w:t>Secure reasoning. Local control.</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Strong">
    <w:name w:val="Strong"/>
    <w:qFormat/>
    <w:rPr>
      <w:b/>
      <w:bCs/>
    </w:rPr>
  </w:style>
  <w:style w:type="character" w:styleId="Hyperlink">
    <w:name w:val="Hyperlink"/>
    <w:rPr>
      <w:color w:val="000080"/>
      <w:u w:val="single"/>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info@resonantknowledgelab.org" TargetMode="External"/><Relationship Id="rId3" Type="http://schemas.openxmlformats.org/officeDocument/2006/relationships/hyperlink" Target="https://resonantknowledgelab.org/" TargetMode="External"/><Relationship Id="rId4" Type="http://schemas.openxmlformats.org/officeDocument/2006/relationships/hyperlink" Target="mailto:info@resonantknowledgelab.org" TargetMode="External"/><Relationship Id="rId5" Type="http://schemas.openxmlformats.org/officeDocument/2006/relationships/hyperlink" Target="https://resonantknowledgelab.org/"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5</Pages>
  <Words>1125</Words>
  <Characters>7292</Characters>
  <CharactersWithSpaces>8298</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2025-10-29T08:14:17Z</dcterms:created>
  <dc:creator/>
  <dc:description/>
  <dc:language>en-US</dc:language>
  <cp:lastModifiedBy/>
  <dcterms:modified xsi:type="dcterms:W3CDTF">2025-10-29T08:17:06Z</dcterms:modified>
  <cp:revision>1</cp:revision>
  <dc:subject/>
  <dc:title/>
</cp:coreProperties>
</file>