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rStyle w:val="Strong"/>
        </w:rPr>
      </w:pPr>
      <w:r>
        <w:rPr/>
      </w:r>
    </w:p>
    <w:p>
      <w:pPr>
        <w:pStyle w:val="BodyText"/>
        <w:bidi w:val="0"/>
        <w:jc w:val="center"/>
        <w:rPr/>
      </w:pPr>
      <w:r>
        <w:rPr>
          <w:rStyle w:val="Strong"/>
        </w:rPr>
        <w:t>Secure Reasoning with AI</w:t>
        <w:br/>
        <w:t>A Framework for Public-Interest Infrastructure</w:t>
      </w:r>
    </w:p>
    <w:p>
      <w:pPr>
        <w:pStyle w:val="BodyText"/>
        <w:bidi w:val="0"/>
        <w:jc w:val="center"/>
        <w:rPr/>
      </w:pPr>
      <w:r>
        <w:rPr>
          <w:rStyle w:val="Emphasis"/>
        </w:rPr>
        <w:t>Building Ethical, Verifiable, and Human-Centered AI Governance</w:t>
      </w:r>
    </w:p>
    <w:p>
      <w:pPr>
        <w:pStyle w:val="BodyText"/>
        <w:bidi w:val="0"/>
        <w:jc w:val="center"/>
        <w:rPr>
          <w:rStyle w:val="Strong"/>
        </w:rPr>
      </w:pPr>
      <w:r>
        <w:rPr/>
      </w:r>
    </w:p>
    <w:p>
      <w:pPr>
        <w:pStyle w:val="BodyText"/>
        <w:bidi w:val="0"/>
        <w:jc w:val="center"/>
        <w:rPr/>
      </w:pPr>
      <w:r>
        <w:rPr>
          <w:rStyle w:val="Strong"/>
        </w:rPr>
        <w:t>Resonant Knowledge Lab (RKL)</w:t>
      </w:r>
      <w:r>
        <w:rPr/>
        <w:br/>
        <w:t>A nonprofit research and implementation organization</w:t>
        <w:br/>
        <w:t>Virginia, USA</w:t>
      </w:r>
    </w:p>
    <w:p>
      <w:pPr>
        <w:pStyle w:val="BodyText"/>
        <w:bidi w:val="0"/>
        <w:jc w:val="center"/>
        <w:rPr/>
      </w:pPr>
      <w:r>
        <w:rPr>
          <w:rStyle w:val="Strong"/>
        </w:rPr>
        <w:t>Date:</w:t>
      </w:r>
      <w:r>
        <w:rPr/>
        <w:t xml:space="preserve"> October 2025</w:t>
        <w:br/>
      </w:r>
      <w:r>
        <w:rPr>
          <w:rStyle w:val="Strong"/>
        </w:rPr>
        <w:t>Version:</w:t>
      </w:r>
      <w:r>
        <w:rPr/>
        <w:t xml:space="preserve"> Draft Working Paper v1.0</w:t>
      </w:r>
    </w:p>
    <w:p>
      <w:pPr>
        <w:pStyle w:val="BodyText"/>
        <w:bidi w:val="0"/>
        <w:jc w:val="center"/>
        <w:rPr>
          <w:rStyle w:val="Strong"/>
        </w:rPr>
      </w:pPr>
      <w:r>
        <w:rPr/>
      </w:r>
    </w:p>
    <w:p>
      <w:pPr>
        <w:pStyle w:val="BodyText"/>
        <w:bidi w:val="0"/>
        <w:jc w:val="center"/>
        <w:rPr/>
      </w:pPr>
      <w:r>
        <w:rPr>
          <w:rStyle w:val="Strong"/>
        </w:rPr>
        <w:t>Author / Contact</w:t>
      </w:r>
      <w:r>
        <w:rPr/>
        <w:br/>
        <w:t>Resonant Knowledge Lab</w:t>
        <w:br/>
      </w:r>
      <w:hyperlink r:id="rId2">
        <w:r>
          <w:rPr>
            <w:rStyle w:val="Hyperlink"/>
          </w:rPr>
          <w:t>info@resonantknowledgelab.org</w:t>
        </w:r>
      </w:hyperlink>
      <w:r>
        <w:rPr/>
        <w:br/>
      </w:r>
      <w:hyperlink r:id="rId3" w:tgtFrame="_new">
        <w:r>
          <w:rPr>
            <w:rStyle w:val="Hyperlink"/>
          </w:rPr>
          <w:t>https://resonantknowledgelab.org</w:t>
        </w:r>
      </w:hyperlink>
    </w:p>
    <w:p>
      <w:pPr>
        <w:pStyle w:val="BodyText"/>
        <w:bidi w:val="0"/>
        <w:jc w:val="center"/>
        <w:rPr>
          <w:rStyle w:val="Strong"/>
        </w:rPr>
      </w:pPr>
      <w:r>
        <w:rPr/>
      </w:r>
    </w:p>
    <w:p>
      <w:pPr>
        <w:pStyle w:val="BodyText"/>
        <w:bidi w:val="0"/>
        <w:jc w:val="center"/>
        <w:rPr>
          <w:rStyle w:val="Strong"/>
        </w:rPr>
      </w:pPr>
      <w:r>
        <w:rPr/>
      </w:r>
    </w:p>
    <w:p>
      <w:pPr>
        <w:pStyle w:val="BodyText"/>
        <w:bidi w:val="0"/>
        <w:jc w:val="center"/>
        <w:rPr/>
      </w:pPr>
      <w:r>
        <w:rPr>
          <w:rStyle w:val="Strong"/>
        </w:rPr>
        <w:t>Abstracted Purpose</w:t>
      </w:r>
    </w:p>
    <w:p>
      <w:pPr>
        <w:pStyle w:val="BodyText"/>
        <w:bidi w:val="0"/>
        <w:jc w:val="both"/>
        <w:rPr/>
      </w:pPr>
      <w:r>
        <w:rPr/>
        <w:br/>
      </w:r>
      <w:r>
        <w:rPr>
          <w:sz w:val="24"/>
          <w:szCs w:val="24"/>
        </w:rPr>
        <w:t xml:space="preserve">This working paper introduces </w:t>
      </w:r>
      <w:r>
        <w:rPr>
          <w:rStyle w:val="Emphasis"/>
          <w:sz w:val="24"/>
          <w:szCs w:val="24"/>
        </w:rPr>
        <w:t>secure reasoning</w:t>
      </w:r>
      <w:r>
        <w:rPr>
          <w:sz w:val="24"/>
          <w:szCs w:val="24"/>
        </w:rPr>
        <w:t xml:space="preserve">, an approach that embeds governance directly into the reasoning process of artificial-intelligence systems. It describes how RKL’s open framework—guided by the </w:t>
      </w:r>
      <w:r>
        <w:rPr>
          <w:rStyle w:val="Strong"/>
          <w:sz w:val="24"/>
          <w:szCs w:val="24"/>
        </w:rPr>
        <w:t>CARE Principles for Indigenous Data Governance</w:t>
      </w:r>
      <w:r>
        <w:rPr>
          <w:sz w:val="24"/>
          <w:szCs w:val="24"/>
        </w:rPr>
        <w:t xml:space="preserve"> (Global Indigenous Data Alliance, 2019)—operationalizes ethical, human-centered, and sustainable AI for organizations pursuing public benefit on their own terms.</w:t>
      </w:r>
    </w:p>
    <w:p>
      <w:pPr>
        <w:pStyle w:val="Heading1"/>
        <w:bidi w:val="0"/>
        <w:jc w:val="start"/>
        <w:rPr/>
      </w:pPr>
      <w:r>
        <w:rPr>
          <w:rStyle w:val="Strong"/>
          <w:b/>
          <w:bCs/>
        </w:rPr>
        <w:t>Executive Summary</w:t>
      </w:r>
    </w:p>
    <w:p>
      <w:pPr>
        <w:pStyle w:val="BodyText"/>
        <w:bidi w:val="0"/>
        <w:jc w:val="start"/>
        <w:rPr/>
      </w:pPr>
      <w:r>
        <w:rPr/>
        <w:t>Organizations across research, public, and civic sectors are increasingly data-rich yet knowledge-constrained. Humanity’s capacity to harness the vast and accelerating flow of data and information has long been exceeded, and machine reasoning through natural language may help restore coherence—enabling organizations to translate that abundance into insight that advances their public missions. Yet most institutions lack the governance structures and technical capacity to use artificial intelligence safely and effectively. Most AI systems require data to move into external environments where control, consent, and accountability are lost, forcing institutions to choose between risk exposure and the inability to benefit from advanced reasoning in support of their missions. The Resonant Knowledge Lab (RKL) addresses this dilemma by helping organizations pursuing public benefit—however they define it— to use AI responsibly, transparently, and under local control.</w:t>
      </w:r>
    </w:p>
    <w:p>
      <w:pPr>
        <w:pStyle w:val="BodyText"/>
        <w:bidi w:val="0"/>
        <w:jc w:val="start"/>
        <w:rPr/>
      </w:pPr>
      <w:r>
        <w:rPr/>
        <w:t>Secure reasoning is RKL’s core contribution. It embeds governance into the reasoning process itself so that every interaction operates under explicit consent, transparent authority, and verifiable audit. Instead of exporting data to external models, reasoning occurs inside governed environments where insight can move while knowledge stays home. This approach turns AI from a black box into an accountable collaborator that amplifies, rather than replaces, human expertise.</w:t>
      </w:r>
    </w:p>
    <w:p>
      <w:pPr>
        <w:pStyle w:val="BodyText"/>
        <w:bidi w:val="0"/>
        <w:jc w:val="start"/>
        <w:rPr/>
      </w:pPr>
      <w:r>
        <w:rPr/>
        <w:t>RKL grounds its work in the CARE principles—Collective Benefit, Authority to Control, Responsibility, and Ethics—originally developed by the Global Indigenous Data Alliance to uphold Indigenous data sovereignty. RKL extends these values respectfully to all governed knowledge domains, ensuring that authority and benefit remain with the custodians of knowledge. Secure reasoning unites ethical and technical design so that governance becomes a computational principle. Every reasoning step is traceable, auditable, and bound by consent, making accountability intrinsic to AI rather than a policy add-on.</w:t>
      </w:r>
    </w:p>
    <w:p>
      <w:pPr>
        <w:pStyle w:val="BodyText"/>
        <w:bidi w:val="0"/>
        <w:jc w:val="start"/>
        <w:rPr/>
      </w:pPr>
      <w:r>
        <w:rPr/>
        <w:t>The RKL framework organizes secure reasoning into three interoperable layers—governance, reasoning, and access—that together create a loop of authority and transparency. It supports a range of practices from private reasoning within local systems to open knowledge sharing and cross-boundary exchange of derived insights. Most institutions operate across these modes, and RKL assists them in curating their data, information, and knowledge assets and in building the governance and technical capacity to engage AI safely. The technical foundations rely on open, auditable infrastructure such as context-exchange protocols, policy-aware retrieval, and provenance services that make accountability verifiable while remaining model-agnostic.</w:t>
      </w:r>
    </w:p>
    <w:p>
      <w:pPr>
        <w:pStyle w:val="BodyText"/>
        <w:bidi w:val="0"/>
        <w:jc w:val="start"/>
        <w:rPr/>
      </w:pPr>
      <w:r>
        <w:rPr/>
        <w:t>RKL is in its initial demonstration phase, developing open toolkits, pilot environments, and training materials that validate secure reasoning in real-world contexts. Early goals include shared compute capacity and “knowledge readiness,” helping partners prepare their information holdings for responsible AI interaction. The work proceeds deliberately and transparently, forming the basis for a broader public-interest ecosystem of governed reasoning environments. Secure reasoning is a human-centered and sustainable approach to AI—one that supports people today without compromising the needs of future generations. By combining open infrastructure, ethical design, and human oversight, RKL demonstrates that governance, ethics, and innovation can coexist and that secure reasoning can become a shared civic capability for trustworthy intelligence in service of collective good.</w:t>
      </w:r>
    </w:p>
    <w:p>
      <w:pPr>
        <w:pStyle w:val="Heading2"/>
        <w:bidi w:val="0"/>
        <w:jc w:val="start"/>
        <w:rPr/>
      </w:pPr>
      <w:r>
        <w:rPr>
          <w:rStyle w:val="Strong"/>
          <w:b/>
          <w:bCs/>
        </w:rPr>
        <w:t xml:space="preserve">Abstract </w:t>
      </w:r>
    </w:p>
    <w:p>
      <w:pPr>
        <w:pStyle w:val="BodyText"/>
        <w:bidi w:val="0"/>
        <w:jc w:val="start"/>
        <w:rPr/>
      </w:pPr>
      <w:r>
        <w:rPr/>
        <w:t>Organizations today are data-rich but knowledge-constrained. They hold vast stores of information vital to their public missions, yet humanity’s capacity to harness this accelerating flow of data has been exceeded. Artificial intelligence, if properly governed, may help translate this abundance into actionable insight. However, most institutions lack the governance and technical capacity to engage AI safely, effectively, and in ways that advance their collective benefit.</w:t>
      </w:r>
    </w:p>
    <w:p>
      <w:pPr>
        <w:pStyle w:val="BodyText"/>
        <w:bidi w:val="0"/>
        <w:jc w:val="start"/>
        <w:rPr/>
      </w:pPr>
      <w:r>
        <w:rPr>
          <w:rStyle w:val="Strong"/>
        </w:rPr>
        <w:t>Secure reasoning</w:t>
      </w:r>
      <w:r>
        <w:rPr/>
        <w:t xml:space="preserve"> offers a different path. It embeds governance directly into the reasoning process, allowing insight to move while data, information, and knowledge remain under local control. By uniting ethical and technical design, secure reasoning ensures that every AI interaction operates within explicit consent, transparent authority, and verifiable accountability.</w:t>
      </w:r>
    </w:p>
    <w:p>
      <w:pPr>
        <w:pStyle w:val="BodyText"/>
        <w:bidi w:val="0"/>
        <w:jc w:val="start"/>
        <w:rPr/>
      </w:pPr>
      <w:r>
        <w:rPr/>
        <w:t xml:space="preserve">The Resonant Knowledge Lab (RKL) develops and demonstrates this approach through open frameworks that integrate governance, reasoning, and access layers. Guided by the </w:t>
      </w:r>
      <w:r>
        <w:rPr>
          <w:rStyle w:val="Strong"/>
        </w:rPr>
        <w:t>CARE principles—Collective Benefit, Authority to Control, Responsibility, and Ethics</w:t>
      </w:r>
      <w:r>
        <w:rPr/>
        <w:t xml:space="preserve">, originally articulated by the </w:t>
      </w:r>
      <w:r>
        <w:rPr>
          <w:rStyle w:val="Emphasis"/>
        </w:rPr>
        <w:t>Global Indigenous Data Alliance</w:t>
      </w:r>
      <w:r>
        <w:rPr/>
        <w:t>, RKL applies these values to any governed knowledge domain. The framework transforms governance from a compliance task into a computational principle, producing AI systems that are auditable, reproducible, and trustworthy.</w:t>
      </w:r>
    </w:p>
    <w:p>
      <w:pPr>
        <w:pStyle w:val="BodyText"/>
        <w:bidi w:val="0"/>
        <w:jc w:val="start"/>
        <w:rPr/>
      </w:pPr>
      <w:r>
        <w:rPr/>
        <w:t>RKL’s work bridges technology, ethics, and institutional design. It assists organizations pursuing public benefit—on their own terms—in developing the capacity to reason responsibly with their knowledge assets. By advancing human-centered, locally governed, and sustainable AI infrastructure, secure reasoning provides a foundation for an emerging ecosystem of public-interest intelligence: one that amplifies human expertise, preserves authority, and serves both people and the planet.</w:t>
      </w:r>
    </w:p>
    <w:p>
      <w:pPr>
        <w:pStyle w:val="BodyText"/>
        <w:bidi w:val="0"/>
        <w:jc w:val="start"/>
        <w:rPr>
          <w:rStyle w:val="Strong"/>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Style w:val="Strong"/>
        </w:rPr>
        <w:t>Table of Contents</w:t>
      </w:r>
    </w:p>
    <w:p>
      <w:pPr>
        <w:pStyle w:val="BodyText"/>
        <w:bidi w:val="0"/>
        <w:jc w:val="start"/>
        <w:rPr/>
      </w:pPr>
      <w:r>
        <w:rPr>
          <w:rStyle w:val="Strong"/>
        </w:rPr>
        <w:t>Executive Summary</w:t>
      </w:r>
      <w:r>
        <w:rPr/>
        <w:t xml:space="preserve"> .................................................................................................................... </w:t>
        <w:br/>
      </w:r>
      <w:r>
        <w:rPr>
          <w:rStyle w:val="Strong"/>
        </w:rPr>
        <w:t>Abstract</w:t>
      </w:r>
      <w:r>
        <w:rPr/>
        <w:t xml:space="preserve"> ........................................................................................................................................ </w:t>
      </w:r>
    </w:p>
    <w:p>
      <w:pPr>
        <w:pStyle w:val="BodyText"/>
        <w:bidi w:val="0"/>
        <w:jc w:val="start"/>
        <w:rPr/>
      </w:pPr>
      <w:r>
        <w:rPr>
          <w:rStyle w:val="Strong"/>
        </w:rPr>
        <w:t>1. The Challenge: Data-Rich, Knowledge-Constrained</w:t>
      </w:r>
      <w:r>
        <w:rPr/>
        <w:t xml:space="preserve"> ............................................................ </w:t>
        <w:br/>
        <w:t> 1.1 Enterprise AI Gap</w:t>
        <w:br/>
        <w:t> 1.2 Knowledge Access and Governance Barriers</w:t>
        <w:br/>
        <w:t> 1.3 RKL’s Public-Benefit Focus</w:t>
      </w:r>
    </w:p>
    <w:p>
      <w:pPr>
        <w:pStyle w:val="BodyText"/>
        <w:bidi w:val="0"/>
        <w:jc w:val="start"/>
        <w:rPr/>
      </w:pPr>
      <w:r>
        <w:rPr>
          <w:rStyle w:val="Strong"/>
        </w:rPr>
        <w:t>2. Why Secure Reasoning</w:t>
      </w:r>
      <w:r>
        <w:rPr/>
        <w:t xml:space="preserve"> .......................................................................................................... </w:t>
        <w:br/>
        <w:t> 2.1 Current Reasoning Landscape</w:t>
        <w:br/>
        <w:t> 2.2 The Value Hypothesis</w:t>
        <w:br/>
        <w:t> 2.3 The Risk Spectrum</w:t>
        <w:br/>
        <w:t> 2.4 Closing the Gap</w:t>
      </w:r>
    </w:p>
    <w:p>
      <w:pPr>
        <w:pStyle w:val="BodyText"/>
        <w:bidi w:val="0"/>
        <w:jc w:val="start"/>
        <w:rPr/>
      </w:pPr>
      <w:r>
        <w:rPr>
          <w:rStyle w:val="Strong"/>
        </w:rPr>
        <w:t>3. Defining Secure Reasoning</w:t>
      </w:r>
      <w:r>
        <w:rPr/>
        <w:t xml:space="preserve"> .................................................................................................... </w:t>
        <w:br/>
        <w:t> 3.1 How Secure Reasoning Works</w:t>
        <w:br/>
        <w:t> 3.2 Accountability by Design</w:t>
        <w:br/>
        <w:t> 3.3 Governance Beyond Data</w:t>
        <w:br/>
        <w:t> 3.4 Governing Models and Agents</w:t>
        <w:br/>
        <w:t> 3.5 Benefits of Secure Reasoning</w:t>
      </w:r>
    </w:p>
    <w:p>
      <w:pPr>
        <w:pStyle w:val="BodyText"/>
        <w:bidi w:val="0"/>
        <w:jc w:val="start"/>
        <w:rPr/>
      </w:pPr>
      <w:r>
        <w:rPr>
          <w:rStyle w:val="Strong"/>
        </w:rPr>
        <w:t>4. The RKL Framework</w:t>
      </w:r>
      <w:r>
        <w:rPr/>
        <w:t xml:space="preserve"> .............................................................................................................. </w:t>
        <w:br/>
        <w:t> 4.1 Governance Layer — Defining Authority and Context</w:t>
        <w:br/>
        <w:t> 4.2 Reasoning Layer — Bounded Intelligence</w:t>
        <w:br/>
        <w:t> 4.3 Access Layer — Controlled Insight</w:t>
        <w:br/>
        <w:t> 4.4 Infrastructure and Tooling</w:t>
        <w:br/>
        <w:t> 4.5 RKL’s Role</w:t>
      </w:r>
    </w:p>
    <w:p>
      <w:pPr>
        <w:pStyle w:val="BodyText"/>
        <w:bidi w:val="0"/>
        <w:jc w:val="start"/>
        <w:rPr/>
      </w:pPr>
      <w:r>
        <w:rPr>
          <w:rStyle w:val="Strong"/>
        </w:rPr>
        <w:t>5. Modes of Practice</w:t>
      </w:r>
      <w:r>
        <w:rPr/>
        <w:t xml:space="preserve"> .................................................................................................................... </w:t>
        <w:br/>
        <w:t> 5.1 Type I — CARE-Focused / Private Reasoning</w:t>
        <w:br/>
        <w:t> 5.2 Type II — Open Knowledge Sharing</w:t>
        <w:br/>
        <w:t> 5.3 Type III — CARE-Enabled Insight Exchange</w:t>
        <w:br/>
        <w:t> 5.4 Blended Modes in Practice</w:t>
        <w:br/>
        <w:t> 5.5 Strategic Implications</w:t>
      </w:r>
    </w:p>
    <w:p>
      <w:pPr>
        <w:pStyle w:val="BodyText"/>
        <w:bidi w:val="0"/>
        <w:jc w:val="start"/>
        <w:rPr/>
      </w:pPr>
      <w:r>
        <w:rPr>
          <w:rStyle w:val="Strong"/>
        </w:rPr>
        <w:t>6. Technical Foundations</w:t>
      </w:r>
      <w:r>
        <w:rPr/>
        <w:t xml:space="preserve"> ............................................................................................................ </w:t>
        <w:br/>
        <w:t> 6.1 Core Principles</w:t>
        <w:br/>
        <w:t> 6.2 Key Components</w:t>
        <w:br/>
        <w:t> 6.3 Reference Implementations</w:t>
        <w:br/>
        <w:t> 6.4 Scalability and Performance</w:t>
        <w:br/>
        <w:t> 6.5 Integration with Emerging Technologies</w:t>
        <w:br/>
        <w:t> 6.6 Outcomes and Benefits</w:t>
      </w:r>
    </w:p>
    <w:p>
      <w:pPr>
        <w:pStyle w:val="BodyText"/>
        <w:bidi w:val="0"/>
        <w:jc w:val="start"/>
        <w:rPr/>
      </w:pPr>
      <w:r>
        <w:rPr>
          <w:rStyle w:val="Strong"/>
        </w:rPr>
        <w:t>7. Ethical and Institutional Design</w:t>
      </w:r>
      <w:r>
        <w:rPr/>
        <w:t xml:space="preserve"> .............................................................................................. </w:t>
        <w:br/>
        <w:t> 7.1 Governance as Culture</w:t>
        <w:br/>
        <w:t> 7.2 Institutional Roles and Responsibilities</w:t>
        <w:br/>
        <w:t> 7.3 Embedding CARE in Practice</w:t>
        <w:br/>
        <w:t> 7.4 The Human-in-Governance Loop</w:t>
        <w:br/>
        <w:t> 7.5 Institutional Adoption Pathways</w:t>
        <w:br/>
        <w:t> 7.6 Benefits of Ethical Integration</w:t>
        <w:br/>
        <w:t> 7.7 RKL’s Role in Ethical Stewardship</w:t>
      </w:r>
    </w:p>
    <w:p>
      <w:pPr>
        <w:pStyle w:val="BodyText"/>
        <w:bidi w:val="0"/>
        <w:jc w:val="start"/>
        <w:rPr/>
      </w:pPr>
      <w:r>
        <w:rPr>
          <w:rStyle w:val="Strong"/>
        </w:rPr>
        <w:t>8. Demonstration Phase</w:t>
      </w:r>
      <w:r>
        <w:rPr/>
        <w:t xml:space="preserve"> ............................................................................................................. </w:t>
        <w:br/>
        <w:t> 8.1 Objectives</w:t>
        <w:br/>
        <w:t> 8.2 Active Programs</w:t>
        <w:br/>
        <w:t> 8.3 Emerging Areas</w:t>
        <w:br/>
        <w:t> 8.4 Knowledge Readiness Program</w:t>
        <w:br/>
        <w:t> 8.5 Evaluation and Learning</w:t>
        <w:br/>
        <w:t> 8.6 Collaboration, Compute, and Stewardship</w:t>
        <w:br/>
        <w:t> 8.7 Expected Outcomes</w:t>
      </w:r>
    </w:p>
    <w:p>
      <w:pPr>
        <w:pStyle w:val="BodyText"/>
        <w:bidi w:val="0"/>
        <w:jc w:val="start"/>
        <w:rPr/>
      </w:pPr>
      <w:r>
        <w:rPr>
          <w:rStyle w:val="Strong"/>
        </w:rPr>
        <w:t>9. Long-Term Vision</w:t>
      </w:r>
      <w:r>
        <w:rPr/>
        <w:t xml:space="preserve"> .................................................................................................................... </w:t>
        <w:br/>
        <w:t> 9.1 Guiding Perspective</w:t>
        <w:br/>
        <w:t> 9.2 Role within a Public-Interest Consortium</w:t>
        <w:br/>
        <w:t> 9.3 Sustainable Governance and Growth</w:t>
        <w:br/>
        <w:t> 9.4 Expanding Impact Areas</w:t>
        <w:br/>
        <w:t> 9.5 Sustainability and Social Responsibility</w:t>
        <w:br/>
        <w:t> 9.6 Measuring Progress</w:t>
        <w:br/>
        <w:t> 9.7 Commitments Going Forward</w:t>
        <w:br/>
        <w:t> 9.8 The Vision Ahead</w:t>
      </w:r>
    </w:p>
    <w:p>
      <w:pPr>
        <w:pStyle w:val="BodyText"/>
        <w:bidi w:val="0"/>
        <w:jc w:val="start"/>
        <w:rPr/>
      </w:pPr>
      <w:r>
        <w:rPr>
          <w:rStyle w:val="Strong"/>
        </w:rPr>
        <w:t>10. Conclusion</w:t>
      </w:r>
      <w:r>
        <w:rPr/>
        <w:t xml:space="preserve"> ............................................................................................................................. </w:t>
        <w:br/>
        <w:t> 10.1 Reframing the Role of AI</w:t>
        <w:br/>
        <w:t> 10.2 Building a Culture of Trust</w:t>
        <w:br/>
        <w:t> 10.3 From Infrastructure to Ecosystem</w:t>
        <w:br/>
        <w:t> 10.4 Human and Planetary Stewardship</w:t>
        <w:br/>
        <w:t> 10.5 Looking Forward</w:t>
      </w:r>
    </w:p>
    <w:p>
      <w:pPr>
        <w:pStyle w:val="BodyText"/>
        <w:bidi w:val="0"/>
        <w:jc w:val="start"/>
        <w:rPr/>
      </w:pPr>
      <w:r>
        <w:rPr>
          <w:rStyle w:val="Strong"/>
        </w:rPr>
        <w:t>Acknowledgments</w:t>
      </w:r>
      <w:r>
        <w:rPr/>
        <w:t xml:space="preserve"> ....................................................................................................................... </w:t>
        <w:br/>
      </w:r>
      <w:r>
        <w:rPr>
          <w:rStyle w:val="Strong"/>
        </w:rPr>
        <w:t>References / Further Reading</w:t>
      </w:r>
      <w:r>
        <w:rPr/>
        <w:t xml:space="preserve"> .................................................................................................... </w:t>
        <w:br/>
      </w:r>
      <w:r>
        <w:rPr>
          <w:rStyle w:val="Strong"/>
        </w:rPr>
        <w:t>About Resonant Knowledge Lab</w:t>
      </w:r>
      <w:r>
        <w:rPr/>
        <w:t xml:space="preserve"> ................................................................................................. </w:t>
      </w:r>
    </w:p>
    <w:p>
      <w:pPr>
        <w:pStyle w:val="Heading2"/>
        <w:bidi w:val="0"/>
        <w:jc w:val="start"/>
        <w:rPr>
          <w:rStyle w:val="Strong"/>
          <w:b w:val="false"/>
          <w:bCs w:val="false"/>
        </w:rPr>
      </w:pPr>
      <w:r>
        <w:rPr>
          <w:b w:val="false"/>
          <w:bCs w:val="false"/>
        </w:rPr>
      </w:r>
    </w:p>
    <w:p>
      <w:pPr>
        <w:pStyle w:val="BodyText"/>
        <w:bidi w:val="0"/>
        <w:jc w:val="start"/>
        <w:rPr>
          <w:rStyle w:val="Strong"/>
        </w:rPr>
      </w:pPr>
      <w:r>
        <w:rPr/>
      </w:r>
    </w:p>
    <w:p>
      <w:pPr>
        <w:pStyle w:val="BodyText"/>
        <w:bidi w:val="0"/>
        <w:jc w:val="start"/>
        <w:rPr>
          <w:rStyle w:val="Strong"/>
        </w:rPr>
      </w:pPr>
      <w:r>
        <w:rPr/>
      </w:r>
    </w:p>
    <w:p>
      <w:pPr>
        <w:pStyle w:val="Heading2"/>
        <w:bidi w:val="0"/>
        <w:jc w:val="start"/>
        <w:rPr/>
      </w:pPr>
      <w:r>
        <w:rPr>
          <w:rStyle w:val="Strong"/>
          <w:b/>
          <w:bCs/>
        </w:rPr>
        <w:t>1 The Challenge: Data-Rich, Knowledge-Constrained</w:t>
      </w:r>
    </w:p>
    <w:p>
      <w:pPr>
        <w:pStyle w:val="BodyText"/>
        <w:bidi w:val="0"/>
        <w:jc w:val="start"/>
        <w:rPr/>
      </w:pPr>
      <w:r>
        <w:rPr/>
        <w:t>Across research, public, and civic sectors, organizations face growing pressure to translate expanding data streams into insight that supports their missions. Advanced AI reasoning may help, but realizing that potential depends on effective governance. Most institutions lack the means to bring this capability inside their own boundaries, where consent, accountability, and authority can be maintained.</w:t>
      </w:r>
    </w:p>
    <w:p>
      <w:pPr>
        <w:pStyle w:val="BodyText"/>
        <w:bidi w:val="0"/>
        <w:jc w:val="start"/>
        <w:rPr/>
      </w:pPr>
      <w:r>
        <w:rPr/>
        <w:t>At the same time, many organizations struggle to access the knowledge they already hold. Years of growth and specialization have buried information across systems, formats, and divisions. AI reasoning offers a way to surface and connect those internal assets—allowing staff to query institutional knowledge in natural language and reveal insights that would otherwise remain locked in archives or individual expertise. Properly governed, this capacity strengthens mission performance and preserves organizational memory.</w:t>
      </w:r>
    </w:p>
    <w:p>
      <w:pPr>
        <w:pStyle w:val="BodyText"/>
        <w:bidi w:val="0"/>
        <w:jc w:val="start"/>
        <w:rPr/>
      </w:pPr>
      <w:r>
        <w:rPr/>
        <w:t xml:space="preserve">The result is a persistent </w:t>
      </w:r>
      <w:r>
        <w:rPr>
          <w:rStyle w:val="Strong"/>
        </w:rPr>
        <w:t>enterprise AI gap</w:t>
      </w:r>
      <w:r>
        <w:rPr/>
        <w:t>: powerful reasoning exists, but few organizations can use it responsibly with the information they steward. Some knowledge is indeed too sensitive to expose—whether because disclosure would violate ethical duties, legal protections, or fiduciary and proprietary obligations. Other forms of locally governed knowledge carry cultural or identity-based responsibilities that demand equal respect. Yet much more remains under-utilized simply because no infrastructure ensures that consent, authority, and accountability accompany the reasoning process itself.</w:t>
      </w:r>
    </w:p>
    <w:p>
      <w:pPr>
        <w:pStyle w:val="BodyText"/>
        <w:bidi w:val="0"/>
        <w:jc w:val="start"/>
        <w:rPr/>
      </w:pPr>
      <w:r>
        <w:rPr/>
        <w:t>This imbalance—</w:t>
      </w:r>
      <w:r>
        <w:rPr>
          <w:rStyle w:val="Strong"/>
        </w:rPr>
        <w:t>data abundance without governance capacity</w:t>
      </w:r>
      <w:r>
        <w:rPr/>
        <w:t>—prevents local insights from informing collective understanding. Weak or inconsistent governance keeps knowledge constrained, whether for justified protection or avoidable caution.</w:t>
      </w:r>
    </w:p>
    <w:p>
      <w:pPr>
        <w:pStyle w:val="BodyText"/>
        <w:bidi w:val="0"/>
        <w:jc w:val="start"/>
        <w:rPr/>
      </w:pPr>
      <w:r>
        <w:rPr/>
        <w:t xml:space="preserve">Without verifiable systems for consent, attribution, and audit, institutions must choose between </w:t>
      </w:r>
      <w:r>
        <w:rPr>
          <w:rStyle w:val="Strong"/>
        </w:rPr>
        <w:t>over-protection (silence)</w:t>
      </w:r>
      <w:r>
        <w:rPr/>
        <w:t xml:space="preserve"> and </w:t>
      </w:r>
      <w:r>
        <w:rPr>
          <w:rStyle w:val="Strong"/>
        </w:rPr>
        <w:t>over-exposure (loss of control).</w:t>
      </w:r>
    </w:p>
    <w:p>
      <w:pPr>
        <w:pStyle w:val="BodyText"/>
        <w:bidi w:val="0"/>
        <w:jc w:val="start"/>
        <w:rPr/>
      </w:pPr>
      <w:r>
        <w:rPr>
          <w:rStyle w:val="Strong"/>
        </w:rPr>
        <w:t>RKL</w:t>
      </w:r>
      <w:r>
        <w:rPr/>
        <w:t xml:space="preserve"> addresses this gap by building governance infrastructure that allows AI reasoning to occur within policy boundaries rather than outside them—so organizations can convert both protected and under-used knowledge into actionable insight without surrendering custody or trust.</w:t>
      </w:r>
    </w:p>
    <w:p>
      <w:pPr>
        <w:pStyle w:val="BodyText"/>
        <w:bidi w:val="0"/>
        <w:jc w:val="start"/>
        <w:rPr/>
      </w:pPr>
      <w:r>
        <w:rPr/>
        <w:t xml:space="preserve">RKL focuses on organizations pursuing missions of </w:t>
      </w:r>
      <w:r>
        <w:rPr>
          <w:b/>
          <w:bCs/>
        </w:rPr>
        <w:t>public benefit—however they define it—</w:t>
      </w:r>
      <w:r>
        <w:rPr/>
        <w:t>helping them access and govern AI reasoning to strengthen trust, accountability, and community value.</w:t>
      </w:r>
    </w:p>
    <w:p>
      <w:pPr>
        <w:pStyle w:val="Heading2"/>
        <w:bidi w:val="0"/>
        <w:jc w:val="start"/>
        <w:rPr/>
      </w:pPr>
      <w:r>
        <w:rPr>
          <w:rStyle w:val="Strong"/>
          <w:b/>
          <w:bCs/>
        </w:rPr>
        <w:t>2 Why Secure Reasoning</w:t>
      </w:r>
    </w:p>
    <w:p>
      <w:pPr>
        <w:pStyle w:val="BodyText"/>
        <w:bidi w:val="0"/>
        <w:jc w:val="start"/>
        <w:rPr/>
      </w:pPr>
      <w:r>
        <w:rPr/>
        <w:t xml:space="preserve">Modern AI reasoning systems excel at pattern recognition and inference, yet their architectures assume that data can be moved or mirrored into external environments. For most organizations, this model is misaligned with governance obligations and with the way institutional </w:t>
      </w:r>
      <w:r>
        <w:rPr>
          <w:rStyle w:val="Strong"/>
        </w:rPr>
        <w:t>data, information, and knowledge assets</w:t>
      </w:r>
      <w:r>
        <w:rPr/>
        <w:t xml:space="preserve"> are structured and controlled.</w:t>
      </w:r>
    </w:p>
    <w:p>
      <w:pPr>
        <w:pStyle w:val="BodyText"/>
        <w:bidi w:val="0"/>
        <w:jc w:val="start"/>
        <w:rPr/>
      </w:pPr>
      <w:r>
        <w:rPr>
          <w:rStyle w:val="Strong"/>
        </w:rPr>
        <w:t>RKL grounds its approach in the CARE principles—Collective Benefit, Authority to Control, Responsibility, and Ethics.</w:t>
      </w:r>
      <w:r>
        <w:rPr/>
        <w:t xml:space="preserve"> Originally articulated by the </w:t>
      </w:r>
      <w:r>
        <w:rPr>
          <w:rStyle w:val="Emphasis"/>
        </w:rPr>
        <w:t>Global Indigenous Data Alliance</w:t>
      </w:r>
      <w:r>
        <w:rPr/>
        <w:t xml:space="preserve"> to safeguard Indigenous data rights and collective benefit, CARE defines how local governance should guide AI reasoning: decisions about access and use must remain with those who steward the knowledge. RKL extends this ethical foundation to apply the same values of authority, responsibility, and respect to any governed knowledge domain, recognizing and honoring their Indigenous origins.</w:t>
      </w:r>
    </w:p>
    <w:p>
      <w:pPr>
        <w:pStyle w:val="Heading3"/>
        <w:bidi w:val="0"/>
        <w:jc w:val="start"/>
        <w:rPr/>
      </w:pPr>
      <w:r>
        <w:rPr>
          <w:rStyle w:val="Strong"/>
          <w:b/>
          <w:bCs/>
          <w:shd w:fill="auto" w:val="clear"/>
        </w:rPr>
        <w:t>2.1 Current Reasoning Landscape</w:t>
      </w:r>
    </w:p>
    <w:p>
      <w:pPr>
        <w:pStyle w:val="BodyText"/>
        <w:bidi w:val="0"/>
        <w:jc w:val="start"/>
        <w:rPr/>
      </w:pPr>
      <w:r>
        <w:rPr/>
        <w:t>AI reasoning is currently implemented and accessed through a variety of technical and interactive methods, including fine-tuning, retrieval-augmented generation, conversational interfaces, and emerging agentic workflows. These architectures allow models to generate inferences or context-aware responses, yet they share a structural limitation: capability and governance are separated. Organizations can invoke powerful reasoning but cannot verify what happens to their data, how context is stored, or whether consent and attribution travel with the request.</w:t>
      </w:r>
    </w:p>
    <w:p>
      <w:pPr>
        <w:pStyle w:val="BodyText"/>
        <w:bidi w:val="0"/>
        <w:jc w:val="start"/>
        <w:rPr/>
      </w:pPr>
      <w:r>
        <w:rPr/>
        <w:t>In everyday use, most reasoning now occurs informally through general chat interfaces. Staff may paste documents or pose sensitive questions without audit trails or clear policy boundaries. This heads-up reasoning has already created a diffuse exposure surface for organizations that lack local-control protocols. The reasoning itself remains a black box—powerful, but opaque.</w:t>
      </w:r>
    </w:p>
    <w:p>
      <w:pPr>
        <w:pStyle w:val="Heading3"/>
        <w:bidi w:val="0"/>
        <w:jc w:val="start"/>
        <w:rPr/>
      </w:pPr>
      <w:r>
        <w:rPr>
          <w:rStyle w:val="Strong"/>
          <w:b/>
          <w:bCs/>
          <w:i w:val="false"/>
          <w:iCs w:val="false"/>
        </w:rPr>
        <w:t xml:space="preserve">2.2 The Value Hypothesis </w:t>
      </w:r>
    </w:p>
    <w:p>
      <w:pPr>
        <w:pStyle w:val="BodyText"/>
        <w:bidi w:val="0"/>
        <w:jc w:val="start"/>
        <w:rPr/>
      </w:pPr>
      <w:r>
        <w:rPr/>
        <w:t xml:space="preserve">Organizations hold vast stores of governed knowledge, yet the </w:t>
      </w:r>
      <w:r>
        <w:rPr>
          <w:rStyle w:val="Strong"/>
        </w:rPr>
        <w:t>full value of these assets</w:t>
      </w:r>
      <w:r>
        <w:rPr/>
        <w:t xml:space="preserve"> often remains unrealized. </w:t>
      </w:r>
      <w:r>
        <w:rPr>
          <w:rStyle w:val="Strong"/>
        </w:rPr>
        <w:t>AI systems, if properly governed, may help institutions realize the latent value of their data, information, and knowledge assets—without relinquishing control of them.</w:t>
      </w:r>
    </w:p>
    <w:p>
      <w:pPr>
        <w:pStyle w:val="BodyText"/>
        <w:bidi w:val="0"/>
        <w:jc w:val="start"/>
        <w:rPr/>
      </w:pPr>
      <w:r>
        <w:rPr/>
        <w:t>By embedding governance directly into reasoning workflows, institutions can:</w:t>
        <w:br/>
        <w:t>• Use natural-language interfaces to access and connect internal knowledge assets.</w:t>
        <w:br/>
        <w:t>• Derive insights that support mission objectives and operational decisions.</w:t>
        <w:br/>
        <w:t>• Preserve authority, consent, and accountability for every interaction.</w:t>
      </w:r>
    </w:p>
    <w:p>
      <w:pPr>
        <w:pStyle w:val="BodyText"/>
        <w:bidi w:val="0"/>
        <w:jc w:val="start"/>
        <w:rPr/>
      </w:pPr>
      <w:r>
        <w:rPr/>
        <w:t xml:space="preserve">This capacity expands rather than replaces human expertise—reasoning systems amplify the reach of staff who interpret, apply, and refine the insights produced. Secure reasoning thus transforms AI from an external service into an internal capability—reasoning an organization can </w:t>
      </w:r>
      <w:r>
        <w:rPr>
          <w:rStyle w:val="Emphasis"/>
        </w:rPr>
        <w:t>govern, audit, and trust.</w:t>
      </w:r>
    </w:p>
    <w:p>
      <w:pPr>
        <w:pStyle w:val="Heading3"/>
        <w:bidi w:val="0"/>
        <w:jc w:val="start"/>
        <w:rPr/>
      </w:pPr>
      <w:r>
        <w:rPr>
          <w:rStyle w:val="Strong"/>
          <w:b/>
          <w:bCs/>
        </w:rPr>
        <w:t>2.3 The Risk Spectrum</w:t>
      </w:r>
    </w:p>
    <w:p>
      <w:pPr>
        <w:pStyle w:val="BodyText"/>
        <w:bidi w:val="0"/>
        <w:jc w:val="start"/>
        <w:rPr/>
      </w:pPr>
      <w:r>
        <w:rPr/>
        <w:t xml:space="preserve">Obligations to protect data and information range from </w:t>
      </w:r>
      <w:r>
        <w:rPr>
          <w:rStyle w:val="Strong"/>
        </w:rPr>
        <w:t>ethical</w:t>
      </w:r>
      <w:r>
        <w:rPr/>
        <w:t xml:space="preserve"> to </w:t>
      </w:r>
      <w:r>
        <w:rPr>
          <w:rStyle w:val="Strong"/>
        </w:rPr>
        <w:t>legal</w:t>
      </w:r>
      <w:r>
        <w:rPr/>
        <w:t xml:space="preserve"> to </w:t>
      </w:r>
      <w:r>
        <w:rPr>
          <w:rStyle w:val="Strong"/>
        </w:rPr>
        <w:t>financial and proprietary.</w:t>
      </w:r>
      <w:r>
        <w:rPr/>
        <w:t xml:space="preserve"> In some domains—such as personal or health information—exposure is explicitly prohibited by law. In others—such as cultural heritage, research, or innovation—improper use may violate ethical responsibilities, erode intellectual advantage, or undermine public trust.</w:t>
      </w:r>
    </w:p>
    <w:p>
      <w:pPr>
        <w:pStyle w:val="BodyText"/>
        <w:bidi w:val="0"/>
        <w:jc w:val="start"/>
        <w:rPr/>
      </w:pPr>
      <w:r>
        <w:rPr/>
        <w:t>Many organizations, especially smaller ones, lack the expertise to distinguish among these categories or to calculate the risks involved. Uncertain about what can safely be shared, they default to caution, limiting both internal innovation and potential collaboration.</w:t>
      </w:r>
    </w:p>
    <w:p>
      <w:pPr>
        <w:pStyle w:val="BodyText"/>
        <w:bidi w:val="0"/>
        <w:jc w:val="start"/>
        <w:rPr/>
      </w:pPr>
      <w:r>
        <w:rPr/>
        <w:t xml:space="preserve">Secure reasoning provides a structure for </w:t>
      </w:r>
      <w:r>
        <w:rPr>
          <w:rStyle w:val="Strong"/>
        </w:rPr>
        <w:t>informed risk management.</w:t>
      </w:r>
      <w:r>
        <w:rPr/>
        <w:t xml:space="preserve"> By embedding verifiable consent, authority, and audit mechanisms, it allows institutions to engage AI systems confidently—maximizing benefit while maintaining compliance and stewardship.</w:t>
      </w:r>
    </w:p>
    <w:p>
      <w:pPr>
        <w:pStyle w:val="Heading3"/>
        <w:bidi w:val="0"/>
        <w:jc w:val="start"/>
        <w:rPr/>
      </w:pPr>
      <w:r>
        <w:rPr>
          <w:rStyle w:val="Strong"/>
          <w:b/>
          <w:bCs/>
        </w:rPr>
        <w:t>2.4 Closing the Gap</w:t>
      </w:r>
    </w:p>
    <w:p>
      <w:pPr>
        <w:pStyle w:val="BodyText"/>
        <w:bidi w:val="0"/>
        <w:jc w:val="start"/>
        <w:rPr/>
      </w:pPr>
      <w:r>
        <w:rPr/>
        <w:t xml:space="preserve">Secure reasoning closes the enterprise-AI gap identified earlier. Instead of exporting sensitive material to remote systems, organizations bring the reasoning process to their own </w:t>
      </w:r>
      <w:r>
        <w:rPr>
          <w:rStyle w:val="Strong"/>
        </w:rPr>
        <w:t>governed environments</w:t>
      </w:r>
      <w:r>
        <w:rPr/>
        <w:t xml:space="preserve">. Consent, purpose, and provenance travel with the reasoning itself, ensuring that every derived </w:t>
      </w:r>
      <w:r>
        <w:rPr>
          <w:rStyle w:val="Strong"/>
        </w:rPr>
        <w:t>insight</w:t>
      </w:r>
      <w:r>
        <w:rPr/>
        <w:t xml:space="preserve"> is traceable to authorized context.</w:t>
      </w:r>
    </w:p>
    <w:p>
      <w:pPr>
        <w:pStyle w:val="BodyText"/>
        <w:bidi w:val="0"/>
        <w:jc w:val="start"/>
        <w:rPr/>
      </w:pPr>
      <w:r>
        <w:rPr/>
        <w:t xml:space="preserve">Emerging technologies—such as </w:t>
      </w:r>
      <w:r>
        <w:rPr>
          <w:rStyle w:val="Strong"/>
        </w:rPr>
        <w:t>context-exchange protocols</w:t>
      </w:r>
      <w:r>
        <w:rPr/>
        <w:t xml:space="preserve">, </w:t>
      </w:r>
      <w:r>
        <w:rPr>
          <w:rStyle w:val="Strong"/>
        </w:rPr>
        <w:t>policy-aware retrieval frameworks</w:t>
      </w:r>
      <w:r>
        <w:rPr/>
        <w:t xml:space="preserve">, and advances in </w:t>
      </w:r>
      <w:r>
        <w:rPr>
          <w:rStyle w:val="Strong"/>
        </w:rPr>
        <w:t>AI-agent governance</w:t>
      </w:r>
      <w:r>
        <w:rPr/>
        <w:t xml:space="preserve">—already demonstrate parts of this approach. Secure reasoning unites these developments within a coherent governance model, making </w:t>
      </w:r>
      <w:r>
        <w:rPr>
          <w:rStyle w:val="Strong"/>
        </w:rPr>
        <w:t>local authority</w:t>
      </w:r>
      <w:r>
        <w:rPr/>
        <w:t xml:space="preserve"> the default condition rather than an afterthought.</w:t>
      </w:r>
    </w:p>
    <w:p>
      <w:pPr>
        <w:pStyle w:val="BodyText"/>
        <w:bidi w:val="0"/>
        <w:jc w:val="start"/>
        <w:rPr/>
      </w:pPr>
      <w:r>
        <w:rPr/>
        <w:t xml:space="preserve">Importantly, secure reasoning does </w:t>
      </w:r>
      <w:r>
        <w:rPr>
          <w:rStyle w:val="Strong"/>
        </w:rPr>
        <w:t>not</w:t>
      </w:r>
      <w:r>
        <w:rPr/>
        <w:t xml:space="preserve"> require every organization to host its own large models. What matters is that governance stays local even if computation is distributed. Through governed interfaces, institutions can draw on external reasoning resources—selecting the best available models—while enforcing their own consent, purpose, and provenance rules. This balance makes secure reasoning practical for both small organizations relying on shared infrastructure and large institutions optimizing cost and capability within governed environments.</w:t>
      </w:r>
    </w:p>
    <w:p>
      <w:pPr>
        <w:pStyle w:val="BodyText"/>
        <w:bidi w:val="0"/>
        <w:jc w:val="start"/>
        <w:rPr/>
      </w:pPr>
      <w:r>
        <w:rPr/>
        <w:t xml:space="preserve">The next section defines </w:t>
      </w:r>
      <w:r>
        <w:rPr>
          <w:rStyle w:val="Emphasis"/>
        </w:rPr>
        <w:t>secure reasoning</w:t>
      </w:r>
      <w:r>
        <w:rPr/>
        <w:t xml:space="preserve"> in formal terms—explaining how governance metadata, consent, and auditability become integral to the reasoning process itself. It shows how RKL’s framework moves AI from a tool that operates </w:t>
      </w:r>
      <w:r>
        <w:rPr>
          <w:rStyle w:val="Emphasis"/>
        </w:rPr>
        <w:t>over</w:t>
      </w:r>
      <w:r>
        <w:rPr/>
        <w:t xml:space="preserve"> data to one that reasons </w:t>
      </w:r>
      <w:r>
        <w:rPr>
          <w:rStyle w:val="Emphasis"/>
        </w:rPr>
        <w:t>within</w:t>
      </w:r>
      <w:r>
        <w:rPr/>
        <w:t xml:space="preserve"> governed knowledge domains.</w:t>
      </w:r>
    </w:p>
    <w:p>
      <w:pPr>
        <w:pStyle w:val="Heading2"/>
        <w:bidi w:val="0"/>
        <w:jc w:val="start"/>
        <w:rPr/>
      </w:pPr>
      <w:r>
        <w:rPr>
          <w:rStyle w:val="Strong"/>
          <w:b/>
          <w:bCs/>
        </w:rPr>
        <w:t>3 Defining Secure Reasoning</w:t>
      </w:r>
    </w:p>
    <w:p>
      <w:pPr>
        <w:pStyle w:val="BodyText"/>
        <w:bidi w:val="0"/>
        <w:jc w:val="start"/>
        <w:rPr/>
      </w:pPr>
      <w:r>
        <w:rPr/>
        <w:t>Secure reasoning is an approach to artificial intelligence that embeds governance directly into the reasoning process itself. Instead of transferring data, information, or knowledge to external models, organizations bring the reasoning process—models, agents, or analytical components—</w:t>
      </w:r>
      <w:r>
        <w:rPr>
          <w:rStyle w:val="Strong"/>
        </w:rPr>
        <w:t>into governed environments</w:t>
      </w:r>
      <w:r>
        <w:rPr/>
        <w:t xml:space="preserve"> where policy, consent, and provenance rules are explicit and verifiable.</w:t>
      </w:r>
    </w:p>
    <w:p>
      <w:pPr>
        <w:pStyle w:val="BodyText"/>
        <w:bidi w:val="0"/>
        <w:jc w:val="start"/>
        <w:rPr/>
      </w:pPr>
      <w:r>
        <w:rPr/>
        <w:t xml:space="preserve">This reverses the conventional AI relationship: rather than the model owning the environment, the </w:t>
      </w:r>
      <w:r>
        <w:rPr>
          <w:rStyle w:val="Strong"/>
        </w:rPr>
        <w:t>environment governs the model.</w:t>
      </w:r>
      <w:r>
        <w:rPr/>
        <w:t xml:space="preserve"> Reasoning occurs </w:t>
      </w:r>
      <w:r>
        <w:rPr>
          <w:rStyle w:val="Emphasis"/>
        </w:rPr>
        <w:t>within</w:t>
      </w:r>
      <w:r>
        <w:rPr/>
        <w:t xml:space="preserve"> defined governance boundaries, not </w:t>
      </w:r>
      <w:r>
        <w:rPr>
          <w:rStyle w:val="Emphasis"/>
        </w:rPr>
        <w:t>over</w:t>
      </w:r>
      <w:r>
        <w:rPr/>
        <w:t xml:space="preserve"> unbounded data sources. Each interaction is bound to a traceable record of authority and purpose so that insight generation becomes accountable by design.</w:t>
      </w:r>
    </w:p>
    <w:p>
      <w:pPr>
        <w:pStyle w:val="BodyText"/>
        <w:bidi w:val="0"/>
        <w:jc w:val="start"/>
        <w:rPr/>
      </w:pPr>
      <w:r>
        <w:rPr>
          <w:rStyle w:val="Strong"/>
        </w:rPr>
        <w:t>RKL’s approach is guided by the CARE principles—Collective Benefit, Authority to Control, Responsibility, and Ethics—which define how governance operates inside secure reasoning.</w:t>
      </w:r>
      <w:r>
        <w:rPr/>
        <w:t xml:space="preserve"> These principles ensure that every reasoning interaction aligns technical control with ethical stewardship and collective benefit.</w:t>
      </w:r>
    </w:p>
    <w:p>
      <w:pPr>
        <w:pStyle w:val="Heading3"/>
        <w:bidi w:val="0"/>
        <w:jc w:val="start"/>
        <w:rPr/>
      </w:pPr>
      <w:r>
        <w:rPr>
          <w:rStyle w:val="Strong"/>
          <w:b/>
          <w:bCs/>
        </w:rPr>
        <w:t>3.1 How Secure Reasoning Works</w:t>
      </w:r>
    </w:p>
    <w:p>
      <w:pPr>
        <w:pStyle w:val="BodyText"/>
        <w:bidi w:val="0"/>
        <w:jc w:val="start"/>
        <w:rPr/>
      </w:pPr>
      <w:r>
        <w:rPr/>
        <w:t>Every reasoning event can be described as a sequence of three contextual layers:</w:t>
      </w:r>
    </w:p>
    <w:p>
      <w:pPr>
        <w:pStyle w:val="BodyText"/>
        <w:numPr>
          <w:ilvl w:val="0"/>
          <w:numId w:val="1"/>
        </w:numPr>
        <w:tabs>
          <w:tab w:val="left" w:pos="709" w:leader="none"/>
        </w:tabs>
        <w:bidi w:val="0"/>
        <w:ind w:hanging="283" w:start="709"/>
        <w:jc w:val="start"/>
        <w:rPr/>
      </w:pPr>
      <w:r>
        <w:rPr>
          <w:rStyle w:val="Strong"/>
        </w:rPr>
        <w:t>Governed Context</w:t>
      </w:r>
      <w:r>
        <w:rPr/>
        <w:t xml:space="preserve"> — the policy, consent, and metadata that define who controls each asset and under what conditions reasoning may occur. This layer sets the rules of engagement before any data are touched.</w:t>
      </w:r>
    </w:p>
    <w:p>
      <w:pPr>
        <w:pStyle w:val="BodyText"/>
        <w:numPr>
          <w:ilvl w:val="0"/>
          <w:numId w:val="1"/>
        </w:numPr>
        <w:tabs>
          <w:tab w:val="left" w:pos="709" w:leader="none"/>
        </w:tabs>
        <w:bidi w:val="0"/>
        <w:ind w:hanging="283" w:start="709"/>
        <w:jc w:val="start"/>
        <w:rPr/>
      </w:pPr>
      <w:r>
        <w:rPr>
          <w:rStyle w:val="Strong"/>
        </w:rPr>
        <w:t>Bounded Reasoning</w:t>
      </w:r>
      <w:r>
        <w:rPr/>
        <w:t xml:space="preserve"> — the analytical or generative process that operates within those constraints. The model or agent performs reasoning tasks—querying, summarizing, classifying, or inferring—but does so inside a sandbox defined by governance metadata.</w:t>
      </w:r>
    </w:p>
    <w:p>
      <w:pPr>
        <w:pStyle w:val="BodyText"/>
        <w:numPr>
          <w:ilvl w:val="0"/>
          <w:numId w:val="1"/>
        </w:numPr>
        <w:tabs>
          <w:tab w:val="left" w:pos="709" w:leader="none"/>
        </w:tabs>
        <w:bidi w:val="0"/>
        <w:ind w:hanging="283" w:start="709"/>
        <w:jc w:val="start"/>
        <w:rPr/>
      </w:pPr>
      <w:r>
        <w:rPr>
          <w:rStyle w:val="Strong"/>
        </w:rPr>
        <w:t>Controlled Output</w:t>
      </w:r>
      <w:r>
        <w:rPr/>
        <w:t xml:space="preserve"> — the result or </w:t>
      </w:r>
      <w:r>
        <w:rPr>
          <w:rStyle w:val="Emphasis"/>
        </w:rPr>
        <w:t>insight</w:t>
      </w:r>
      <w:r>
        <w:rPr/>
        <w:t xml:space="preserve"> that may leave the environment, accompanied by provenance, attribution, and any restrictions on reuse.</w:t>
      </w:r>
    </w:p>
    <w:p>
      <w:pPr>
        <w:pStyle w:val="BodyText"/>
        <w:bidi w:val="0"/>
        <w:jc w:val="start"/>
        <w:rPr/>
      </w:pPr>
      <w:r>
        <w:rPr/>
        <w:t xml:space="preserve">Together, these layers form a </w:t>
      </w:r>
      <w:r>
        <w:rPr>
          <w:rStyle w:val="Strong"/>
        </w:rPr>
        <w:t>governance loop</w:t>
      </w:r>
      <w:r>
        <w:rPr/>
        <w:t>: consent and purpose precede reasoning; audit and attribution follow it. This structure converts governance from a peripheral compliance step into the computational logic of AI itself.</w:t>
      </w:r>
    </w:p>
    <w:p>
      <w:pPr>
        <w:pStyle w:val="Heading3"/>
        <w:bidi w:val="0"/>
        <w:jc w:val="start"/>
        <w:rPr/>
      </w:pPr>
      <w:r>
        <w:rPr>
          <w:rStyle w:val="Strong"/>
          <w:b/>
          <w:bCs/>
        </w:rPr>
        <w:t>3.2 Accountability by Design</w:t>
      </w:r>
    </w:p>
    <w:p>
      <w:pPr>
        <w:pStyle w:val="BodyText"/>
        <w:bidi w:val="0"/>
        <w:jc w:val="start"/>
        <w:rPr/>
      </w:pPr>
      <w:r>
        <w:rPr/>
        <w:t xml:space="preserve">Secure reasoning transforms AI from a </w:t>
      </w:r>
      <w:r>
        <w:rPr>
          <w:rStyle w:val="Strong"/>
        </w:rPr>
        <w:t>consumer of assets</w:t>
      </w:r>
      <w:r>
        <w:rPr/>
        <w:t xml:space="preserve"> into a </w:t>
      </w:r>
      <w:r>
        <w:rPr>
          <w:rStyle w:val="Strong"/>
        </w:rPr>
        <w:t>collaborator under consent.</w:t>
      </w:r>
      <w:r>
        <w:rPr/>
        <w:t xml:space="preserve"> Each reasoning task—whether summarizing a document, analyzing a dataset, or integrating multiple knowledge domains—carries its own audit trail. Institutions can verify what data or information were accessed, under whose authority, and for what purpose.</w:t>
      </w:r>
    </w:p>
    <w:p>
      <w:pPr>
        <w:pStyle w:val="BodyText"/>
        <w:bidi w:val="0"/>
        <w:jc w:val="start"/>
        <w:rPr/>
      </w:pPr>
      <w:r>
        <w:rPr/>
        <w:t xml:space="preserve">Because consent and provenance metadata travel with every operation, secure reasoning supports </w:t>
      </w:r>
      <w:r>
        <w:rPr>
          <w:rStyle w:val="Strong"/>
        </w:rPr>
        <w:t>continuous accountability.</w:t>
      </w:r>
      <w:r>
        <w:rPr/>
        <w:t xml:space="preserve"> Governance is no longer external documentation; it is a machine-readable, enforceable layer that travels with the reasoning.</w:t>
      </w:r>
    </w:p>
    <w:p>
      <w:pPr>
        <w:pStyle w:val="BodyText"/>
        <w:bidi w:val="0"/>
        <w:jc w:val="start"/>
        <w:rPr/>
      </w:pPr>
      <w:r>
        <w:rPr/>
        <w:t>This model also reduces reliance on post-hoc trust. Organizations no longer need to believe that external providers have respected their policies—they can verify it directly through logs, manifests, and reproducible reasoning traces.</w:t>
      </w:r>
    </w:p>
    <w:p>
      <w:pPr>
        <w:pStyle w:val="Heading3"/>
        <w:bidi w:val="0"/>
        <w:jc w:val="start"/>
        <w:rPr/>
      </w:pPr>
      <w:r>
        <w:rPr>
          <w:rStyle w:val="Strong"/>
          <w:b/>
          <w:bCs/>
        </w:rPr>
        <w:t>3.3 Governance Beyond Data</w:t>
      </w:r>
    </w:p>
    <w:p>
      <w:pPr>
        <w:pStyle w:val="BodyText"/>
        <w:bidi w:val="0"/>
        <w:jc w:val="start"/>
        <w:rPr/>
      </w:pPr>
      <w:r>
        <w:rPr/>
        <w:t xml:space="preserve">Secure reasoning extends governance beyond the technical management of data to the stewardship of </w:t>
      </w:r>
      <w:r>
        <w:rPr>
          <w:rStyle w:val="Strong"/>
        </w:rPr>
        <w:t>information and knowledge assets.</w:t>
      </w:r>
      <w:r>
        <w:rPr/>
        <w:t xml:space="preserve"> It acknowledges that these assets are not interchangeable:</w:t>
      </w:r>
    </w:p>
    <w:p>
      <w:pPr>
        <w:pStyle w:val="BodyText"/>
        <w:numPr>
          <w:ilvl w:val="0"/>
          <w:numId w:val="2"/>
        </w:numPr>
        <w:tabs>
          <w:tab w:val="left" w:pos="709" w:leader="none"/>
        </w:tabs>
        <w:bidi w:val="0"/>
        <w:ind w:hanging="283" w:start="709"/>
        <w:jc w:val="start"/>
        <w:rPr/>
      </w:pPr>
      <w:r>
        <w:rPr>
          <w:rStyle w:val="Emphasis"/>
        </w:rPr>
        <w:t>Data</w:t>
      </w:r>
      <w:r>
        <w:rPr/>
        <w:t xml:space="preserve"> require protection and consent.</w:t>
      </w:r>
    </w:p>
    <w:p>
      <w:pPr>
        <w:pStyle w:val="BodyText"/>
        <w:numPr>
          <w:ilvl w:val="0"/>
          <w:numId w:val="2"/>
        </w:numPr>
        <w:tabs>
          <w:tab w:val="left" w:pos="709" w:leader="none"/>
        </w:tabs>
        <w:bidi w:val="0"/>
        <w:ind w:hanging="283" w:start="709"/>
        <w:jc w:val="start"/>
        <w:rPr/>
      </w:pPr>
      <w:r>
        <w:rPr>
          <w:rStyle w:val="Emphasis"/>
        </w:rPr>
        <w:t>Information</w:t>
      </w:r>
      <w:r>
        <w:rPr/>
        <w:t xml:space="preserve"> requires structure and traceability.</w:t>
      </w:r>
    </w:p>
    <w:p>
      <w:pPr>
        <w:pStyle w:val="BodyText"/>
        <w:numPr>
          <w:ilvl w:val="0"/>
          <w:numId w:val="2"/>
        </w:numPr>
        <w:tabs>
          <w:tab w:val="left" w:pos="709" w:leader="none"/>
        </w:tabs>
        <w:bidi w:val="0"/>
        <w:ind w:hanging="283" w:start="709"/>
        <w:jc w:val="start"/>
        <w:rPr/>
      </w:pPr>
      <w:r>
        <w:rPr>
          <w:rStyle w:val="Emphasis"/>
        </w:rPr>
        <w:t>Knowledge</w:t>
      </w:r>
      <w:r>
        <w:rPr/>
        <w:t xml:space="preserve"> requires context, attribution, and respect for custodial authority.</w:t>
      </w:r>
    </w:p>
    <w:p>
      <w:pPr>
        <w:pStyle w:val="BodyText"/>
        <w:bidi w:val="0"/>
        <w:jc w:val="start"/>
        <w:rPr/>
      </w:pPr>
      <w:r>
        <w:rPr/>
        <w:t xml:space="preserve">By governing reasoning itself, institutions can respect all three layers simultaneously. AI systems learn to interact with knowledge domains as </w:t>
      </w:r>
      <w:r>
        <w:rPr>
          <w:rStyle w:val="Emphasis"/>
        </w:rPr>
        <w:t>contexts to reason within</w:t>
      </w:r>
      <w:r>
        <w:rPr/>
        <w:t xml:space="preserve">, not </w:t>
      </w:r>
      <w:r>
        <w:rPr>
          <w:rStyle w:val="Emphasis"/>
        </w:rPr>
        <w:t>resources to consume.</w:t>
      </w:r>
    </w:p>
    <w:p>
      <w:pPr>
        <w:pStyle w:val="BodyText"/>
        <w:bidi w:val="0"/>
        <w:jc w:val="start"/>
        <w:rPr/>
      </w:pPr>
      <w:r>
        <w:rPr/>
        <w:t>In this way, secure reasoning operationalizes CARE’s ethical commitments—ensuring that authority and responsibility accompany every inference.</w:t>
      </w:r>
    </w:p>
    <w:p>
      <w:pPr>
        <w:pStyle w:val="Heading3"/>
        <w:bidi w:val="0"/>
        <w:jc w:val="start"/>
        <w:rPr/>
      </w:pPr>
      <w:r>
        <w:rPr>
          <w:rStyle w:val="Strong"/>
          <w:b/>
          <w:bCs/>
        </w:rPr>
        <w:t>3.4 Governing Models and Agents</w:t>
      </w:r>
    </w:p>
    <w:p>
      <w:pPr>
        <w:pStyle w:val="BodyText"/>
        <w:bidi w:val="0"/>
        <w:jc w:val="start"/>
        <w:rPr/>
      </w:pPr>
      <w:r>
        <w:rPr/>
        <w:t xml:space="preserve">As reasoning systems become more autonomous, governance must apply not only to data but also to the </w:t>
      </w:r>
      <w:r>
        <w:rPr>
          <w:rStyle w:val="Strong"/>
        </w:rPr>
        <w:t>agents and models</w:t>
      </w:r>
      <w:r>
        <w:rPr/>
        <w:t xml:space="preserve"> that perform reasoning. Secure reasoning includes mechanisms for:</w:t>
      </w:r>
    </w:p>
    <w:p>
      <w:pPr>
        <w:pStyle w:val="BodyText"/>
        <w:numPr>
          <w:ilvl w:val="0"/>
          <w:numId w:val="3"/>
        </w:numPr>
        <w:tabs>
          <w:tab w:val="left" w:pos="709" w:leader="none"/>
        </w:tabs>
        <w:bidi w:val="0"/>
        <w:ind w:hanging="283" w:start="709"/>
        <w:jc w:val="start"/>
        <w:rPr/>
      </w:pPr>
      <w:r>
        <w:rPr/>
        <w:t>Registering which models or agents may operate within a given domain,</w:t>
      </w:r>
    </w:p>
    <w:p>
      <w:pPr>
        <w:pStyle w:val="BodyText"/>
        <w:numPr>
          <w:ilvl w:val="0"/>
          <w:numId w:val="3"/>
        </w:numPr>
        <w:tabs>
          <w:tab w:val="left" w:pos="709" w:leader="none"/>
        </w:tabs>
        <w:bidi w:val="0"/>
        <w:ind w:hanging="283" w:start="709"/>
        <w:jc w:val="start"/>
        <w:rPr/>
      </w:pPr>
      <w:r>
        <w:rPr/>
        <w:t>Verifying their provenance and version, and</w:t>
      </w:r>
    </w:p>
    <w:p>
      <w:pPr>
        <w:pStyle w:val="BodyText"/>
        <w:numPr>
          <w:ilvl w:val="0"/>
          <w:numId w:val="3"/>
        </w:numPr>
        <w:tabs>
          <w:tab w:val="left" w:pos="709" w:leader="none"/>
        </w:tabs>
        <w:bidi w:val="0"/>
        <w:ind w:hanging="283" w:start="709"/>
        <w:jc w:val="start"/>
        <w:rPr/>
      </w:pPr>
      <w:r>
        <w:rPr/>
        <w:t>Enforcing policy boundaries during interaction.</w:t>
      </w:r>
    </w:p>
    <w:p>
      <w:pPr>
        <w:pStyle w:val="BodyText"/>
        <w:bidi w:val="0"/>
        <w:jc w:val="start"/>
        <w:rPr/>
      </w:pPr>
      <w:r>
        <w:rPr/>
        <w:t xml:space="preserve">This approach ensures that </w:t>
      </w:r>
      <w:r>
        <w:rPr>
          <w:rStyle w:val="Strong"/>
        </w:rPr>
        <w:t>AI agents remain accountable to local authority</w:t>
      </w:r>
      <w:r>
        <w:rPr/>
        <w:t>, preventing uncontrolled orchestration or drift in decision-making. It parallels cybersecurity’s principle of least privilege: models and agents gain only the reasoning access they are explicitly authorized to perform.</w:t>
      </w:r>
    </w:p>
    <w:p>
      <w:pPr>
        <w:pStyle w:val="Heading3"/>
        <w:bidi w:val="0"/>
        <w:jc w:val="start"/>
        <w:rPr/>
      </w:pPr>
      <w:r>
        <w:rPr>
          <w:rStyle w:val="Strong"/>
          <w:b/>
          <w:bCs/>
        </w:rPr>
        <w:t>3.5 Benefits of Secure Reasoning</w:t>
      </w:r>
    </w:p>
    <w:p>
      <w:pPr>
        <w:pStyle w:val="BodyText"/>
        <w:numPr>
          <w:ilvl w:val="0"/>
          <w:numId w:val="25"/>
        </w:numPr>
        <w:tabs>
          <w:tab w:val="left" w:pos="709" w:leader="none"/>
        </w:tabs>
        <w:bidi w:val="0"/>
        <w:ind w:hanging="283" w:start="709"/>
        <w:jc w:val="start"/>
        <w:rPr/>
      </w:pPr>
      <w:r>
        <w:rPr>
          <w:rStyle w:val="Strong"/>
        </w:rPr>
        <w:t>Transparency:</w:t>
      </w:r>
      <w:r>
        <w:rPr/>
        <w:t xml:space="preserve"> Each reasoning event can be inspected and audited.</w:t>
      </w:r>
    </w:p>
    <w:p>
      <w:pPr>
        <w:pStyle w:val="BodyText"/>
        <w:numPr>
          <w:ilvl w:val="0"/>
          <w:numId w:val="25"/>
        </w:numPr>
        <w:tabs>
          <w:tab w:val="left" w:pos="709" w:leader="none"/>
        </w:tabs>
        <w:bidi w:val="0"/>
        <w:ind w:hanging="283" w:start="709"/>
        <w:jc w:val="start"/>
        <w:rPr/>
      </w:pPr>
      <w:r>
        <w:rPr>
          <w:rStyle w:val="Strong"/>
        </w:rPr>
        <w:t>Consent Assurance:</w:t>
      </w:r>
      <w:r>
        <w:rPr/>
        <w:t xml:space="preserve"> Every use of an asset is tied to the custodian’s authorization.</w:t>
      </w:r>
    </w:p>
    <w:p>
      <w:pPr>
        <w:pStyle w:val="BodyText"/>
        <w:numPr>
          <w:ilvl w:val="0"/>
          <w:numId w:val="25"/>
        </w:numPr>
        <w:tabs>
          <w:tab w:val="left" w:pos="709" w:leader="none"/>
        </w:tabs>
        <w:bidi w:val="0"/>
        <w:ind w:hanging="283" w:start="709"/>
        <w:jc w:val="start"/>
        <w:rPr/>
      </w:pPr>
      <w:r>
        <w:rPr>
          <w:rStyle w:val="Strong"/>
        </w:rPr>
        <w:t>Policy Compliance:</w:t>
      </w:r>
      <w:r>
        <w:rPr/>
        <w:t xml:space="preserve"> Governance metadata enforce organizational and legal constraints in real time.</w:t>
      </w:r>
    </w:p>
    <w:p>
      <w:pPr>
        <w:pStyle w:val="BodyText"/>
        <w:numPr>
          <w:ilvl w:val="0"/>
          <w:numId w:val="25"/>
        </w:numPr>
        <w:tabs>
          <w:tab w:val="left" w:pos="709" w:leader="none"/>
        </w:tabs>
        <w:bidi w:val="0"/>
        <w:ind w:hanging="283" w:start="709"/>
        <w:jc w:val="start"/>
        <w:rPr/>
      </w:pPr>
      <w:r>
        <w:rPr>
          <w:rStyle w:val="Strong"/>
        </w:rPr>
        <w:t>Reproducibility:</w:t>
      </w:r>
      <w:r>
        <w:rPr/>
        <w:t xml:space="preserve"> Reasoning traces allow validation of results and attribution of credit.</w:t>
      </w:r>
    </w:p>
    <w:p>
      <w:pPr>
        <w:pStyle w:val="BodyText"/>
        <w:numPr>
          <w:ilvl w:val="0"/>
          <w:numId w:val="25"/>
        </w:numPr>
        <w:tabs>
          <w:tab w:val="left" w:pos="709" w:leader="none"/>
        </w:tabs>
        <w:bidi w:val="0"/>
        <w:ind w:hanging="283" w:start="709"/>
        <w:jc w:val="start"/>
        <w:rPr/>
      </w:pPr>
      <w:r>
        <w:rPr>
          <w:rStyle w:val="Strong"/>
        </w:rPr>
        <w:t>Trust:</w:t>
      </w:r>
      <w:r>
        <w:rPr/>
        <w:t xml:space="preserve"> Stakeholders gain confidence that AI operates under their rules, not opaque external ones.</w:t>
      </w:r>
    </w:p>
    <w:p>
      <w:pPr>
        <w:pStyle w:val="BodyText"/>
        <w:bidi w:val="0"/>
        <w:jc w:val="start"/>
        <w:rPr/>
      </w:pPr>
      <w:r>
        <w:rPr/>
        <w:t xml:space="preserve">Collectively, these benefits create the foundation for </w:t>
      </w:r>
      <w:r>
        <w:rPr>
          <w:rStyle w:val="Strong"/>
        </w:rPr>
        <w:t>trusted reasoning infrastructure</w:t>
      </w:r>
      <w:r>
        <w:rPr/>
        <w:t>—a prerequisite for responsible, public-interest AI that not only builds confidence but also enhances organizations’ ability to fulfill their missions responsibly.</w:t>
      </w:r>
    </w:p>
    <w:p>
      <w:pPr>
        <w:pStyle w:val="BodyText"/>
        <w:bidi w:val="0"/>
        <w:jc w:val="start"/>
        <w:rPr/>
      </w:pPr>
      <w:r>
        <w:rPr/>
        <w:t xml:space="preserve">The next section describes </w:t>
      </w:r>
      <w:r>
        <w:rPr>
          <w:rStyle w:val="Strong"/>
        </w:rPr>
        <w:t>RKL’s framework for operationalizing secure reasoning</w:t>
      </w:r>
      <w:r>
        <w:rPr/>
        <w:t xml:space="preserve"> through technical and organizational layers. It explains how governance, reasoning, and access form a unified architecture that enables insight to move while data, information, and knowledge remain under local authority.</w:t>
      </w:r>
    </w:p>
    <w:p>
      <w:pPr>
        <w:pStyle w:val="Heading2"/>
        <w:bidi w:val="0"/>
        <w:jc w:val="start"/>
        <w:rPr/>
      </w:pPr>
      <w:r>
        <w:rPr>
          <w:rStyle w:val="Strong"/>
          <w:b/>
          <w:bCs/>
        </w:rPr>
        <w:t>4 The RKL Framework</w:t>
      </w:r>
    </w:p>
    <w:p>
      <w:pPr>
        <w:pStyle w:val="BodyText"/>
        <w:bidi w:val="0"/>
        <w:jc w:val="start"/>
        <w:rPr/>
      </w:pPr>
      <w:r>
        <w:rPr/>
        <w:t xml:space="preserve">The Resonant Knowledge Lab (RKL) develops the practical infrastructure that makes </w:t>
      </w:r>
      <w:r>
        <w:rPr>
          <w:rStyle w:val="Strong"/>
        </w:rPr>
        <w:t>secure reasoning</w:t>
      </w:r>
      <w:r>
        <w:rPr/>
        <w:t xml:space="preserve"> possible. Its framework turns governance principles into system architecture—ensuring that AI reasoning can occur responsibly, transparently, and under local authority. The framework consists of three interdependent layers that together form a </w:t>
      </w:r>
      <w:r>
        <w:rPr>
          <w:rStyle w:val="Strong"/>
        </w:rPr>
        <w:t>trust-through-protocol</w:t>
      </w:r>
      <w:r>
        <w:rPr/>
        <w:t xml:space="preserve"> architecture: </w:t>
      </w:r>
      <w:r>
        <w:rPr>
          <w:rStyle w:val="Strong"/>
        </w:rPr>
        <w:t>Governance</w:t>
      </w:r>
      <w:r>
        <w:rPr/>
        <w:t xml:space="preserve">, </w:t>
      </w:r>
      <w:r>
        <w:rPr>
          <w:rStyle w:val="Strong"/>
        </w:rPr>
        <w:t>Reasoning</w:t>
      </w:r>
      <w:r>
        <w:rPr/>
        <w:t xml:space="preserve">, and </w:t>
      </w:r>
      <w:r>
        <w:rPr>
          <w:rStyle w:val="Strong"/>
        </w:rPr>
        <w:t>Access.</w:t>
      </w:r>
    </w:p>
    <w:p>
      <w:pPr>
        <w:pStyle w:val="Heading3"/>
        <w:bidi w:val="0"/>
        <w:jc w:val="start"/>
        <w:rPr/>
      </w:pPr>
      <w:r>
        <w:rPr>
          <w:rStyle w:val="Strong"/>
          <w:b/>
          <w:bCs/>
        </w:rPr>
        <w:t>4.1 Governance Layer — Defining Authority and Context</w:t>
      </w:r>
    </w:p>
    <w:p>
      <w:pPr>
        <w:pStyle w:val="BodyText"/>
        <w:bidi w:val="0"/>
        <w:jc w:val="start"/>
        <w:rPr/>
      </w:pPr>
      <w:r>
        <w:rPr/>
        <w:t>The governance layer establishes the rules under which reasoning occurs. It encodes who controls each asset, for what purpose reasoning may take place, and how outcomes may be used or shared. This layer functions as the contract between the custodial organization and any AI process operating within its environment.</w:t>
      </w:r>
    </w:p>
    <w:p>
      <w:pPr>
        <w:pStyle w:val="BodyText"/>
        <w:bidi w:val="0"/>
        <w:jc w:val="start"/>
        <w:rPr/>
      </w:pPr>
      <w:r>
        <w:rPr>
          <w:rStyle w:val="Strong"/>
        </w:rPr>
        <w:t>Core functions</w:t>
      </w:r>
    </w:p>
    <w:p>
      <w:pPr>
        <w:pStyle w:val="BodyText"/>
        <w:numPr>
          <w:ilvl w:val="0"/>
          <w:numId w:val="4"/>
        </w:numPr>
        <w:tabs>
          <w:tab w:val="left" w:pos="709" w:leader="none"/>
        </w:tabs>
        <w:bidi w:val="0"/>
        <w:ind w:hanging="283" w:start="709"/>
        <w:jc w:val="start"/>
        <w:rPr/>
      </w:pPr>
      <w:r>
        <w:rPr>
          <w:rStyle w:val="Strong"/>
        </w:rPr>
        <w:t>Policy metadata.</w:t>
      </w:r>
      <w:r>
        <w:rPr/>
        <w:t xml:space="preserve"> Machine-readable descriptions of consent, purpose, and usage limits.</w:t>
      </w:r>
    </w:p>
    <w:p>
      <w:pPr>
        <w:pStyle w:val="BodyText"/>
        <w:numPr>
          <w:ilvl w:val="0"/>
          <w:numId w:val="4"/>
        </w:numPr>
        <w:tabs>
          <w:tab w:val="left" w:pos="709" w:leader="none"/>
        </w:tabs>
        <w:bidi w:val="0"/>
        <w:ind w:hanging="283" w:start="709"/>
        <w:jc w:val="start"/>
        <w:rPr/>
      </w:pPr>
      <w:r>
        <w:rPr>
          <w:rStyle w:val="Strong"/>
        </w:rPr>
        <w:t>Provenance tracking.</w:t>
      </w:r>
      <w:r>
        <w:rPr/>
        <w:t xml:space="preserve"> Persistent identifiers linking each reasoning event to authorized context.</w:t>
      </w:r>
    </w:p>
    <w:p>
      <w:pPr>
        <w:pStyle w:val="BodyText"/>
        <w:numPr>
          <w:ilvl w:val="0"/>
          <w:numId w:val="4"/>
        </w:numPr>
        <w:tabs>
          <w:tab w:val="left" w:pos="709" w:leader="none"/>
        </w:tabs>
        <w:bidi w:val="0"/>
        <w:ind w:hanging="283" w:start="709"/>
        <w:jc w:val="start"/>
        <w:rPr/>
      </w:pPr>
      <w:r>
        <w:rPr>
          <w:rStyle w:val="Strong"/>
        </w:rPr>
        <w:t>Consent verification.</w:t>
      </w:r>
      <w:r>
        <w:rPr/>
        <w:t xml:space="preserve"> Mechanisms to validate custodial or participant permission before reasoning begins.</w:t>
      </w:r>
    </w:p>
    <w:p>
      <w:pPr>
        <w:pStyle w:val="BodyText"/>
        <w:numPr>
          <w:ilvl w:val="0"/>
          <w:numId w:val="4"/>
        </w:numPr>
        <w:tabs>
          <w:tab w:val="left" w:pos="709" w:leader="none"/>
        </w:tabs>
        <w:bidi w:val="0"/>
        <w:ind w:hanging="283" w:start="709"/>
        <w:jc w:val="start"/>
        <w:rPr/>
      </w:pPr>
      <w:r>
        <w:rPr>
          <w:rStyle w:val="Strong"/>
        </w:rPr>
        <w:t>Governance manifests.</w:t>
      </w:r>
      <w:r>
        <w:rPr/>
        <w:t xml:space="preserve"> Summaries of applied policies stored for audit and review.</w:t>
      </w:r>
    </w:p>
    <w:p>
      <w:pPr>
        <w:pStyle w:val="BodyText"/>
        <w:bidi w:val="0"/>
        <w:jc w:val="start"/>
        <w:rPr/>
      </w:pPr>
      <w:r>
        <w:rPr/>
        <w:t>The governance layer converts human agreements—legal, ethical, or institutional—into computationally enforceable parameters. It is the ethical boundary within which every reasoning event must occur.</w:t>
      </w:r>
    </w:p>
    <w:p>
      <w:pPr>
        <w:pStyle w:val="Heading3"/>
        <w:bidi w:val="0"/>
        <w:jc w:val="start"/>
        <w:rPr/>
      </w:pPr>
      <w:r>
        <w:rPr>
          <w:rStyle w:val="Strong"/>
          <w:b/>
          <w:bCs/>
        </w:rPr>
        <w:t>4.2 Reasoning Layer — Bounded Intelligence</w:t>
      </w:r>
    </w:p>
    <w:p>
      <w:pPr>
        <w:pStyle w:val="BodyText"/>
        <w:bidi w:val="0"/>
        <w:jc w:val="start"/>
        <w:rPr/>
      </w:pPr>
      <w:r>
        <w:rPr/>
        <w:t xml:space="preserve">The reasoning layer performs analysis and inference inside the constraints defined above. Here, models, agents, or composite systems execute reasoning tasks—querying, summarizing, classifying, forecasting—but always within a </w:t>
      </w:r>
      <w:r>
        <w:rPr>
          <w:rStyle w:val="Strong"/>
        </w:rPr>
        <w:t>governed sandbox.</w:t>
      </w:r>
    </w:p>
    <w:p>
      <w:pPr>
        <w:pStyle w:val="BodyText"/>
        <w:bidi w:val="0"/>
        <w:jc w:val="start"/>
        <w:rPr/>
      </w:pPr>
      <w:r>
        <w:rPr>
          <w:rStyle w:val="Strong"/>
        </w:rPr>
        <w:t>Key design properties</w:t>
      </w:r>
    </w:p>
    <w:p>
      <w:pPr>
        <w:pStyle w:val="BodyText"/>
        <w:numPr>
          <w:ilvl w:val="0"/>
          <w:numId w:val="5"/>
        </w:numPr>
        <w:tabs>
          <w:tab w:val="left" w:pos="709" w:leader="none"/>
        </w:tabs>
        <w:bidi w:val="0"/>
        <w:ind w:hanging="283" w:start="709"/>
        <w:jc w:val="start"/>
        <w:rPr/>
      </w:pPr>
      <w:r>
        <w:rPr>
          <w:rStyle w:val="Strong"/>
        </w:rPr>
        <w:t>Policy-aware retrieval.</w:t>
      </w:r>
      <w:r>
        <w:rPr/>
        <w:t xml:space="preserve"> Queries and searches respect access permissions and consent scope.</w:t>
      </w:r>
    </w:p>
    <w:p>
      <w:pPr>
        <w:pStyle w:val="BodyText"/>
        <w:numPr>
          <w:ilvl w:val="0"/>
          <w:numId w:val="5"/>
        </w:numPr>
        <w:tabs>
          <w:tab w:val="left" w:pos="709" w:leader="none"/>
        </w:tabs>
        <w:bidi w:val="0"/>
        <w:ind w:hanging="283" w:start="709"/>
        <w:jc w:val="start"/>
        <w:rPr/>
      </w:pPr>
      <w:r>
        <w:rPr>
          <w:rStyle w:val="Strong"/>
        </w:rPr>
        <w:t>Context-exchange protocols.</w:t>
      </w:r>
      <w:r>
        <w:rPr/>
        <w:t xml:space="preserve"> Secure interfaces pass information between reasoning components and governed data sources while maintaining provenance.</w:t>
      </w:r>
    </w:p>
    <w:p>
      <w:pPr>
        <w:pStyle w:val="BodyText"/>
        <w:numPr>
          <w:ilvl w:val="0"/>
          <w:numId w:val="5"/>
        </w:numPr>
        <w:tabs>
          <w:tab w:val="left" w:pos="709" w:leader="none"/>
        </w:tabs>
        <w:bidi w:val="0"/>
        <w:ind w:hanging="283" w:start="709"/>
        <w:jc w:val="start"/>
        <w:rPr/>
      </w:pPr>
      <w:r>
        <w:rPr>
          <w:rStyle w:val="Strong"/>
        </w:rPr>
        <w:t>Audit logging.</w:t>
      </w:r>
      <w:r>
        <w:rPr/>
        <w:t xml:space="preserve"> Every operation produces a verifiable trace of inputs, model versions, and outputs.</w:t>
      </w:r>
    </w:p>
    <w:p>
      <w:pPr>
        <w:pStyle w:val="BodyText"/>
        <w:numPr>
          <w:ilvl w:val="0"/>
          <w:numId w:val="5"/>
        </w:numPr>
        <w:tabs>
          <w:tab w:val="left" w:pos="709" w:leader="none"/>
        </w:tabs>
        <w:bidi w:val="0"/>
        <w:ind w:hanging="283" w:start="709"/>
        <w:jc w:val="start"/>
        <w:rPr/>
      </w:pPr>
      <w:r>
        <w:rPr>
          <w:rStyle w:val="Strong"/>
        </w:rPr>
        <w:t>Verifiable isolation.</w:t>
      </w:r>
      <w:r>
        <w:rPr/>
        <w:t xml:space="preserve"> Reasoning processes cannot access data or domains outside their authorized context.</w:t>
      </w:r>
    </w:p>
    <w:p>
      <w:pPr>
        <w:pStyle w:val="BodyText"/>
        <w:bidi w:val="0"/>
        <w:jc w:val="start"/>
        <w:rPr/>
      </w:pPr>
      <w:r>
        <w:rPr/>
        <w:t xml:space="preserve">RKL supports both </w:t>
      </w:r>
      <w:r>
        <w:rPr>
          <w:rStyle w:val="Strong"/>
        </w:rPr>
        <w:t>local deployments</w:t>
      </w:r>
      <w:r>
        <w:rPr/>
        <w:t xml:space="preserve">, where organizations host reasoning systems on-premises, and </w:t>
      </w:r>
      <w:r>
        <w:rPr>
          <w:rStyle w:val="Strong"/>
        </w:rPr>
        <w:t>shared compute environments</w:t>
      </w:r>
      <w:r>
        <w:rPr/>
        <w:t xml:space="preserve"> managed by RKL or trusted partners. In either case, governance remains local even if computation is distributed.</w:t>
      </w:r>
    </w:p>
    <w:p>
      <w:pPr>
        <w:pStyle w:val="Heading3"/>
        <w:bidi w:val="0"/>
        <w:jc w:val="start"/>
        <w:rPr/>
      </w:pPr>
      <w:r>
        <w:rPr>
          <w:rStyle w:val="Strong"/>
          <w:b/>
          <w:bCs/>
        </w:rPr>
        <w:t>4.3 Access Layer — Controlled Insight</w:t>
      </w:r>
    </w:p>
    <w:p>
      <w:pPr>
        <w:pStyle w:val="BodyText"/>
        <w:bidi w:val="0"/>
        <w:jc w:val="start"/>
        <w:rPr/>
      </w:pPr>
      <w:r>
        <w:rPr/>
        <w:t xml:space="preserve">The access layer determines what </w:t>
      </w:r>
      <w:r>
        <w:rPr>
          <w:rStyle w:val="Strong"/>
        </w:rPr>
        <w:t>insights</w:t>
      </w:r>
      <w:r>
        <w:rPr/>
        <w:t xml:space="preserve"> may leave the governed environment and under what conditions. It mediates communication between internal reasoning results and external consumers—staff, partners, or the public.</w:t>
      </w:r>
    </w:p>
    <w:p>
      <w:pPr>
        <w:pStyle w:val="BodyText"/>
        <w:bidi w:val="0"/>
        <w:jc w:val="start"/>
        <w:rPr/>
      </w:pPr>
      <w:r>
        <w:rPr>
          <w:rStyle w:val="Strong"/>
        </w:rPr>
        <w:t>Functions</w:t>
      </w:r>
    </w:p>
    <w:p>
      <w:pPr>
        <w:pStyle w:val="BodyText"/>
        <w:numPr>
          <w:ilvl w:val="0"/>
          <w:numId w:val="6"/>
        </w:numPr>
        <w:tabs>
          <w:tab w:val="left" w:pos="709" w:leader="none"/>
        </w:tabs>
        <w:bidi w:val="0"/>
        <w:ind w:hanging="283" w:start="709"/>
        <w:jc w:val="start"/>
        <w:rPr/>
      </w:pPr>
      <w:r>
        <w:rPr>
          <w:rStyle w:val="Strong"/>
        </w:rPr>
        <w:t>Attribution and licensing.</w:t>
      </w:r>
      <w:r>
        <w:rPr/>
        <w:t xml:space="preserve"> Embeds credit and usage rights into every output.</w:t>
      </w:r>
    </w:p>
    <w:p>
      <w:pPr>
        <w:pStyle w:val="BodyText"/>
        <w:numPr>
          <w:ilvl w:val="0"/>
          <w:numId w:val="6"/>
        </w:numPr>
        <w:tabs>
          <w:tab w:val="left" w:pos="709" w:leader="none"/>
        </w:tabs>
        <w:bidi w:val="0"/>
        <w:ind w:hanging="283" w:start="709"/>
        <w:jc w:val="start"/>
        <w:rPr/>
      </w:pPr>
      <w:r>
        <w:rPr>
          <w:rStyle w:val="Strong"/>
        </w:rPr>
        <w:t>Derived-insight validation.</w:t>
      </w:r>
      <w:r>
        <w:rPr/>
        <w:t xml:space="preserve"> Confirms that no restricted data elements are present in published results.</w:t>
      </w:r>
    </w:p>
    <w:p>
      <w:pPr>
        <w:pStyle w:val="BodyText"/>
        <w:numPr>
          <w:ilvl w:val="0"/>
          <w:numId w:val="6"/>
        </w:numPr>
        <w:tabs>
          <w:tab w:val="left" w:pos="709" w:leader="none"/>
        </w:tabs>
        <w:bidi w:val="0"/>
        <w:ind w:hanging="283" w:start="709"/>
        <w:jc w:val="start"/>
        <w:rPr/>
      </w:pPr>
      <w:r>
        <w:rPr>
          <w:rStyle w:val="Strong"/>
        </w:rPr>
        <w:t>Transparency interfaces.</w:t>
      </w:r>
      <w:r>
        <w:rPr/>
        <w:t xml:space="preserve"> Dashboards and APIs provide visibility into reasoning activity for auditors and stakeholders.</w:t>
      </w:r>
    </w:p>
    <w:p>
      <w:pPr>
        <w:pStyle w:val="BodyText"/>
        <w:numPr>
          <w:ilvl w:val="0"/>
          <w:numId w:val="6"/>
        </w:numPr>
        <w:tabs>
          <w:tab w:val="left" w:pos="709" w:leader="none"/>
        </w:tabs>
        <w:bidi w:val="0"/>
        <w:ind w:hanging="283" w:start="709"/>
        <w:jc w:val="start"/>
        <w:rPr/>
      </w:pPr>
      <w:r>
        <w:rPr>
          <w:rStyle w:val="Strong"/>
        </w:rPr>
        <w:t>Revocation and updates.</w:t>
      </w:r>
      <w:r>
        <w:rPr/>
        <w:t xml:space="preserve"> Allows custodians to withdraw or revise published insights if governance terms change.</w:t>
      </w:r>
    </w:p>
    <w:p>
      <w:pPr>
        <w:pStyle w:val="BodyText"/>
        <w:bidi w:val="0"/>
        <w:jc w:val="start"/>
        <w:rPr/>
      </w:pPr>
      <w:r>
        <w:rPr/>
        <w:t>By ensuring that only approved insights cross the boundary, the access layer completes the governance loop—keeping reasoning accountable from initiation to dissemination.</w:t>
      </w:r>
    </w:p>
    <w:p>
      <w:pPr>
        <w:pStyle w:val="Heading3"/>
        <w:bidi w:val="0"/>
        <w:jc w:val="start"/>
        <w:rPr/>
      </w:pPr>
      <w:r>
        <w:rPr>
          <w:rStyle w:val="Strong"/>
          <w:b/>
          <w:bCs/>
        </w:rPr>
        <w:t>4.4 Infrastructure and Tooling</w:t>
      </w:r>
    </w:p>
    <w:p>
      <w:pPr>
        <w:pStyle w:val="BodyText"/>
        <w:bidi w:val="0"/>
        <w:jc w:val="start"/>
        <w:rPr/>
      </w:pPr>
      <w:r>
        <w:rPr/>
        <w:t>To make this framework practical, RKL is developing an open suite of interoperable tools that embody these layers:</w:t>
      </w:r>
    </w:p>
    <w:p>
      <w:pPr>
        <w:pStyle w:val="BodyText"/>
        <w:numPr>
          <w:ilvl w:val="0"/>
          <w:numId w:val="7"/>
        </w:numPr>
        <w:tabs>
          <w:tab w:val="left" w:pos="709" w:leader="none"/>
        </w:tabs>
        <w:bidi w:val="0"/>
        <w:ind w:hanging="283" w:start="709"/>
        <w:jc w:val="start"/>
        <w:rPr/>
      </w:pPr>
      <w:r>
        <w:rPr>
          <w:rStyle w:val="Strong"/>
        </w:rPr>
        <w:t>Governance registries</w:t>
      </w:r>
      <w:r>
        <w:rPr/>
        <w:t xml:space="preserve"> to manage policy manifests and custodial metadata.</w:t>
      </w:r>
    </w:p>
    <w:p>
      <w:pPr>
        <w:pStyle w:val="BodyText"/>
        <w:numPr>
          <w:ilvl w:val="0"/>
          <w:numId w:val="7"/>
        </w:numPr>
        <w:tabs>
          <w:tab w:val="left" w:pos="709" w:leader="none"/>
        </w:tabs>
        <w:bidi w:val="0"/>
        <w:ind w:hanging="283" w:start="709"/>
        <w:jc w:val="start"/>
        <w:rPr/>
      </w:pPr>
      <w:r>
        <w:rPr>
          <w:rStyle w:val="Strong"/>
        </w:rPr>
        <w:t>Context-exchange protocols</w:t>
      </w:r>
      <w:r>
        <w:rPr/>
        <w:t xml:space="preserve"> for secure communication between models and knowledge domains.</w:t>
      </w:r>
    </w:p>
    <w:p>
      <w:pPr>
        <w:pStyle w:val="BodyText"/>
        <w:numPr>
          <w:ilvl w:val="0"/>
          <w:numId w:val="7"/>
        </w:numPr>
        <w:tabs>
          <w:tab w:val="left" w:pos="709" w:leader="none"/>
        </w:tabs>
        <w:bidi w:val="0"/>
        <w:ind w:hanging="283" w:start="709"/>
        <w:jc w:val="start"/>
        <w:rPr/>
      </w:pPr>
      <w:r>
        <w:rPr>
          <w:rStyle w:val="Strong"/>
        </w:rPr>
        <w:t>Audit and provenance services</w:t>
      </w:r>
      <w:r>
        <w:rPr/>
        <w:t xml:space="preserve"> for transparent trace reconstruction.</w:t>
      </w:r>
    </w:p>
    <w:p>
      <w:pPr>
        <w:pStyle w:val="BodyText"/>
        <w:numPr>
          <w:ilvl w:val="0"/>
          <w:numId w:val="7"/>
        </w:numPr>
        <w:tabs>
          <w:tab w:val="left" w:pos="709" w:leader="none"/>
        </w:tabs>
        <w:bidi w:val="0"/>
        <w:ind w:hanging="283" w:start="709"/>
        <w:jc w:val="start"/>
        <w:rPr/>
      </w:pPr>
      <w:r>
        <w:rPr>
          <w:rStyle w:val="Strong"/>
        </w:rPr>
        <w:t>Deployment templates</w:t>
      </w:r>
      <w:r>
        <w:rPr/>
        <w:t xml:space="preserve"> for both on-prem and hybrid reasoning environments.</w:t>
      </w:r>
    </w:p>
    <w:p>
      <w:pPr>
        <w:pStyle w:val="BodyText"/>
        <w:numPr>
          <w:ilvl w:val="0"/>
          <w:numId w:val="7"/>
        </w:numPr>
        <w:tabs>
          <w:tab w:val="left" w:pos="709" w:leader="none"/>
        </w:tabs>
        <w:bidi w:val="0"/>
        <w:ind w:hanging="283" w:start="709"/>
        <w:jc w:val="start"/>
        <w:rPr/>
      </w:pPr>
      <w:r>
        <w:rPr>
          <w:rStyle w:val="Strong"/>
        </w:rPr>
        <w:t>Governed APIs</w:t>
      </w:r>
      <w:r>
        <w:rPr/>
        <w:t xml:space="preserve"> that allow institutions to select external models while maintaining local policy control.</w:t>
      </w:r>
    </w:p>
    <w:p>
      <w:pPr>
        <w:pStyle w:val="BodyText"/>
        <w:bidi w:val="0"/>
        <w:jc w:val="start"/>
        <w:rPr/>
      </w:pPr>
      <w:r>
        <w:rPr/>
        <w:t xml:space="preserve">These tools are designed as </w:t>
      </w:r>
      <w:r>
        <w:rPr>
          <w:rStyle w:val="Strong"/>
        </w:rPr>
        <w:t>public-interest infrastructure</w:t>
      </w:r>
      <w:r>
        <w:rPr/>
        <w:t>—openly documented, auditable, and adaptable across sectors. They provide the foundation on which partners can build domain-specific reasoning systems while adhering to common standards of accountability.</w:t>
      </w:r>
    </w:p>
    <w:p>
      <w:pPr>
        <w:pStyle w:val="Heading3"/>
        <w:bidi w:val="0"/>
        <w:jc w:val="start"/>
        <w:rPr/>
      </w:pPr>
      <w:r>
        <w:rPr>
          <w:rStyle w:val="Strong"/>
          <w:b/>
          <w:bCs/>
        </w:rPr>
        <w:t>4.5 RKL’s Role</w:t>
      </w:r>
    </w:p>
    <w:p>
      <w:pPr>
        <w:pStyle w:val="BodyText"/>
        <w:bidi w:val="0"/>
        <w:jc w:val="start"/>
        <w:rPr/>
      </w:pPr>
      <w:r>
        <w:rPr/>
        <w:t xml:space="preserve">RKL’s role extends beyond software development. It acts as a </w:t>
      </w:r>
      <w:r>
        <w:rPr>
          <w:rStyle w:val="Strong"/>
        </w:rPr>
        <w:t>neutral convener</w:t>
      </w:r>
      <w:r>
        <w:rPr/>
        <w:t xml:space="preserve"> linking technical experts, policymakers, and data custodians to co-design governance protocols that reflect real-world constraints. The lab maintains reference implementations, coordinates pilot projects, and supports partner organizations in deploying secure-reasoning environments aligned with their missions and capacities.</w:t>
      </w:r>
    </w:p>
    <w:p>
      <w:pPr>
        <w:pStyle w:val="BodyText"/>
        <w:bidi w:val="0"/>
        <w:jc w:val="start"/>
        <w:rPr/>
      </w:pPr>
      <w:r>
        <w:rPr/>
        <w:t xml:space="preserve">Through these activities, RKL aims to establish an ecosystem where </w:t>
      </w:r>
      <w:r>
        <w:rPr>
          <w:rStyle w:val="Strong"/>
        </w:rPr>
        <w:t>secure reasoning becomes a shared standard</w:t>
      </w:r>
      <w:r>
        <w:rPr/>
        <w:t>—a baseline expectation for any AI system interacting with sensitive or mission-critical knowledge domains.</w:t>
      </w:r>
    </w:p>
    <w:p>
      <w:pPr>
        <w:pStyle w:val="BodyText"/>
        <w:bidi w:val="0"/>
        <w:jc w:val="start"/>
        <w:rPr/>
      </w:pPr>
      <w:r>
        <w:rPr/>
        <w:t>The next section outlines how RKL applies this framework across different modes of practice—ranging from fully internal reasoning environments to open collaborations that share derived insights while keeping data, information, and knowledge under local authority.</w:t>
      </w:r>
    </w:p>
    <w:p>
      <w:pPr>
        <w:pStyle w:val="Heading2"/>
        <w:bidi w:val="0"/>
        <w:jc w:val="start"/>
        <w:rPr/>
      </w:pPr>
      <w:r>
        <w:rPr>
          <w:rStyle w:val="Strong"/>
          <w:b/>
          <w:bCs/>
        </w:rPr>
        <w:t>5 Modes of Practice</w:t>
      </w:r>
    </w:p>
    <w:p>
      <w:pPr>
        <w:pStyle w:val="BodyText"/>
        <w:bidi w:val="0"/>
        <w:jc w:val="start"/>
        <w:rPr/>
      </w:pPr>
      <w:r>
        <w:rPr>
          <w:rStyle w:val="Strong"/>
          <w:b w:val="false"/>
          <w:bCs w:val="false"/>
        </w:rPr>
        <w:t xml:space="preserve">Secure reasoning is not a single deployment model but a continuum of practice that balances governance, openness, and collaboration. Different organizations, missions, and risk profiles require different ways of applying RKL’s framework. To make these distinctions operational, RKL defines </w:t>
      </w:r>
      <w:r>
        <w:rPr>
          <w:rStyle w:val="Strong"/>
          <w:b/>
          <w:bCs/>
        </w:rPr>
        <w:t>three complementary modes of practice: Type I (CARE-Focused), Type II (Open Knowledge Sharing), and Type III (CARE-Enabled Insight Exchange).</w:t>
      </w:r>
    </w:p>
    <w:p>
      <w:pPr>
        <w:pStyle w:val="BodyText"/>
        <w:bidi w:val="0"/>
        <w:jc w:val="start"/>
        <w:rPr/>
      </w:pPr>
      <w:r>
        <w:rPr/>
        <w:t xml:space="preserve">Each mode expresses the </w:t>
      </w:r>
      <w:r>
        <w:rPr>
          <w:rStyle w:val="Strong"/>
        </w:rPr>
        <w:t>CARE principles—Collective Benefit, Authority to Control, Responsibility, and Ethics—in action.</w:t>
      </w:r>
      <w:r>
        <w:rPr/>
        <w:t xml:space="preserve"> CARE serves as the ethical architecture for secure reasoning: authority and responsibility remain local, decisions are transparent, and collective benefit guides how insights are shared.</w:t>
      </w:r>
    </w:p>
    <w:p>
      <w:pPr>
        <w:pStyle w:val="Heading3"/>
        <w:bidi w:val="0"/>
        <w:jc w:val="start"/>
        <w:rPr/>
      </w:pPr>
      <w:r>
        <w:rPr>
          <w:rStyle w:val="Strong"/>
          <w:b/>
          <w:bCs/>
        </w:rPr>
        <w:t>5.1 Type I – CARE-Focused / Private Reasoning</w:t>
      </w:r>
    </w:p>
    <w:p>
      <w:pPr>
        <w:pStyle w:val="BodyText"/>
        <w:bidi w:val="0"/>
        <w:jc w:val="start"/>
        <w:rPr/>
      </w:pPr>
      <w:r>
        <w:rPr>
          <w:rStyle w:val="Strong"/>
        </w:rPr>
        <w:t>Purpose:</w:t>
      </w:r>
      <w:r>
        <w:rPr/>
        <w:t xml:space="preserve"> Enable AI reasoning entirely within an organization’s own environment while maintaining full custody of all data, information, and knowledge assets.</w:t>
      </w:r>
    </w:p>
    <w:p>
      <w:pPr>
        <w:pStyle w:val="BodyText"/>
        <w:bidi w:val="0"/>
        <w:jc w:val="start"/>
        <w:rPr/>
      </w:pPr>
      <w:r>
        <w:rPr>
          <w:rStyle w:val="Strong"/>
        </w:rPr>
        <w:t>Description</w:t>
      </w:r>
      <w:r>
        <w:rPr/>
        <w:br/>
        <w:t>In this mode, reasoning systems operate on-premises or in secure virtual enclaves under institutional control. No raw content leaves the environment. This configuration supports legal, fiduciary, and ethical obligations—including those protecting personal, health, financial, or proprietary information.</w:t>
      </w:r>
    </w:p>
    <w:p>
      <w:pPr>
        <w:pStyle w:val="BodyText"/>
        <w:bidi w:val="0"/>
        <w:jc w:val="start"/>
        <w:rPr/>
      </w:pPr>
      <w:r>
        <w:rPr>
          <w:rStyle w:val="Strong"/>
        </w:rPr>
        <w:t>Characteristics</w:t>
      </w:r>
    </w:p>
    <w:p>
      <w:pPr>
        <w:pStyle w:val="BodyText"/>
        <w:numPr>
          <w:ilvl w:val="0"/>
          <w:numId w:val="28"/>
        </w:numPr>
        <w:tabs>
          <w:tab w:val="left" w:pos="709" w:leader="none"/>
        </w:tabs>
        <w:bidi w:val="0"/>
        <w:ind w:hanging="283" w:start="709"/>
        <w:jc w:val="start"/>
        <w:rPr/>
      </w:pPr>
      <w:r>
        <w:rPr/>
        <w:t>Strongest governance and confidentiality requirements.</w:t>
      </w:r>
    </w:p>
    <w:p>
      <w:pPr>
        <w:pStyle w:val="BodyText"/>
        <w:numPr>
          <w:ilvl w:val="0"/>
          <w:numId w:val="28"/>
        </w:numPr>
        <w:tabs>
          <w:tab w:val="left" w:pos="709" w:leader="none"/>
        </w:tabs>
        <w:bidi w:val="0"/>
        <w:ind w:hanging="283" w:start="709"/>
        <w:jc w:val="start"/>
        <w:rPr/>
      </w:pPr>
      <w:r>
        <w:rPr/>
        <w:t>High assurance of consent, provenance, and auditability.</w:t>
      </w:r>
    </w:p>
    <w:p>
      <w:pPr>
        <w:pStyle w:val="BodyText"/>
        <w:numPr>
          <w:ilvl w:val="0"/>
          <w:numId w:val="28"/>
        </w:numPr>
        <w:tabs>
          <w:tab w:val="left" w:pos="709" w:leader="none"/>
        </w:tabs>
        <w:bidi w:val="0"/>
        <w:ind w:hanging="283" w:start="709"/>
        <w:jc w:val="start"/>
        <w:rPr/>
      </w:pPr>
      <w:r>
        <w:rPr/>
        <w:t>Reasoning occurs over internal knowledge domains to support policy, research, or operational decisions.</w:t>
      </w:r>
    </w:p>
    <w:p>
      <w:pPr>
        <w:pStyle w:val="BodyText"/>
        <w:bidi w:val="0"/>
        <w:jc w:val="start"/>
        <w:rPr/>
      </w:pPr>
      <w:r>
        <w:rPr>
          <w:rStyle w:val="Strong"/>
        </w:rPr>
        <w:t>Example</w:t>
      </w:r>
      <w:r>
        <w:rPr/>
        <w:br/>
        <w:t>A public agency uses secure reasoning to analyze aggregated data for resource planning. All reasoning occurs within its governed environment, ensuring compliance and privacy.</w:t>
      </w:r>
    </w:p>
    <w:p>
      <w:pPr>
        <w:pStyle w:val="Heading3"/>
        <w:bidi w:val="0"/>
        <w:jc w:val="start"/>
        <w:rPr/>
      </w:pPr>
      <w:r>
        <w:rPr>
          <w:rStyle w:val="Strong"/>
          <w:b/>
          <w:bCs/>
        </w:rPr>
        <w:t>5.2 Type II – Open Knowledge Sharing</w:t>
      </w:r>
    </w:p>
    <w:p>
      <w:pPr>
        <w:pStyle w:val="BodyText"/>
        <w:bidi w:val="0"/>
        <w:jc w:val="start"/>
        <w:rPr/>
      </w:pPr>
      <w:r>
        <w:rPr>
          <w:rStyle w:val="Strong"/>
        </w:rPr>
        <w:t>Purpose:</w:t>
      </w:r>
      <w:r>
        <w:rPr/>
        <w:t xml:space="preserve"> Support responsible, transparent reasoning with intentionally public or collaborative knowledge domains.</w:t>
      </w:r>
    </w:p>
    <w:p>
      <w:pPr>
        <w:pStyle w:val="BodyText"/>
        <w:bidi w:val="0"/>
        <w:jc w:val="start"/>
        <w:rPr/>
      </w:pPr>
      <w:r>
        <w:rPr>
          <w:rStyle w:val="Strong"/>
        </w:rPr>
        <w:t>Description</w:t>
      </w:r>
      <w:r>
        <w:rPr/>
        <w:br/>
        <w:t xml:space="preserve">Organizations using this mode make selected information resources openly accessible for education, research, or public engagement. Governance ensures attribution, accuracy, and reciprocity while AI reasoning enhances interpretability and reach. Here, </w:t>
      </w:r>
      <w:r>
        <w:rPr>
          <w:rStyle w:val="Strong"/>
        </w:rPr>
        <w:t>CARE’s Responsibility and Ethics</w:t>
      </w:r>
      <w:r>
        <w:rPr/>
        <w:t xml:space="preserve"> balance openness with respect for custodial context.</w:t>
      </w:r>
    </w:p>
    <w:p>
      <w:pPr>
        <w:pStyle w:val="BodyText"/>
        <w:bidi w:val="0"/>
        <w:jc w:val="start"/>
        <w:rPr/>
      </w:pPr>
      <w:r>
        <w:rPr>
          <w:rStyle w:val="Strong"/>
        </w:rPr>
        <w:t>Characteristics</w:t>
      </w:r>
    </w:p>
    <w:p>
      <w:pPr>
        <w:pStyle w:val="BodyText"/>
        <w:numPr>
          <w:ilvl w:val="0"/>
          <w:numId w:val="29"/>
        </w:numPr>
        <w:tabs>
          <w:tab w:val="left" w:pos="709" w:leader="none"/>
        </w:tabs>
        <w:bidi w:val="0"/>
        <w:ind w:hanging="283" w:start="709"/>
        <w:jc w:val="start"/>
        <w:rPr/>
      </w:pPr>
      <w:r>
        <w:rPr/>
        <w:t>Reasoning occurs on open or shared information under explicit governance.</w:t>
      </w:r>
    </w:p>
    <w:p>
      <w:pPr>
        <w:pStyle w:val="BodyText"/>
        <w:numPr>
          <w:ilvl w:val="0"/>
          <w:numId w:val="29"/>
        </w:numPr>
        <w:tabs>
          <w:tab w:val="left" w:pos="709" w:leader="none"/>
        </w:tabs>
        <w:bidi w:val="0"/>
        <w:ind w:hanging="283" w:start="709"/>
        <w:jc w:val="start"/>
        <w:rPr/>
      </w:pPr>
      <w:r>
        <w:rPr/>
        <w:t>Emphasis on interpretability, provenance, and community benefit.</w:t>
      </w:r>
    </w:p>
    <w:p>
      <w:pPr>
        <w:pStyle w:val="BodyText"/>
        <w:numPr>
          <w:ilvl w:val="0"/>
          <w:numId w:val="29"/>
        </w:numPr>
        <w:tabs>
          <w:tab w:val="left" w:pos="709" w:leader="none"/>
        </w:tabs>
        <w:bidi w:val="0"/>
        <w:ind w:hanging="283" w:start="709"/>
        <w:jc w:val="start"/>
        <w:rPr/>
      </w:pPr>
      <w:r>
        <w:rPr/>
        <w:t>Useful for research, citizen science, or educational applications.</w:t>
      </w:r>
    </w:p>
    <w:p>
      <w:pPr>
        <w:pStyle w:val="BodyText"/>
        <w:bidi w:val="0"/>
        <w:jc w:val="start"/>
        <w:rPr/>
      </w:pPr>
      <w:r>
        <w:rPr>
          <w:rStyle w:val="Strong"/>
        </w:rPr>
        <w:t>Example</w:t>
      </w:r>
      <w:r>
        <w:rPr/>
        <w:br/>
        <w:t>An open-data collaboration applies secure reasoning to scientific datasets, producing verified summaries for educators and policymakers without altering source material.</w:t>
      </w:r>
    </w:p>
    <w:p>
      <w:pPr>
        <w:pStyle w:val="Heading3"/>
        <w:bidi w:val="0"/>
        <w:jc w:val="start"/>
        <w:rPr/>
      </w:pPr>
      <w:r>
        <w:rPr>
          <w:rStyle w:val="Strong"/>
          <w:b/>
          <w:bCs/>
        </w:rPr>
        <w:t>5.3 Type III – CARE-Enabled Insight Exchange</w:t>
      </w:r>
    </w:p>
    <w:p>
      <w:pPr>
        <w:pStyle w:val="BodyText"/>
        <w:bidi w:val="0"/>
        <w:jc w:val="start"/>
        <w:rPr/>
      </w:pPr>
      <w:r>
        <w:rPr>
          <w:rStyle w:val="Strong"/>
        </w:rPr>
        <w:t>Purpose:</w:t>
      </w:r>
      <w:r>
        <w:rPr/>
        <w:t xml:space="preserve"> Share </w:t>
      </w:r>
      <w:r>
        <w:rPr>
          <w:rStyle w:val="Strong"/>
        </w:rPr>
        <w:t>derived insights responsibly across boundaries</w:t>
      </w:r>
      <w:r>
        <w:rPr/>
        <w:t xml:space="preserve"> while keeping original data, information, and knowledge under local authority.</w:t>
      </w:r>
    </w:p>
    <w:p>
      <w:pPr>
        <w:pStyle w:val="BodyText"/>
        <w:bidi w:val="0"/>
        <w:jc w:val="start"/>
        <w:rPr/>
      </w:pPr>
      <w:r>
        <w:rPr>
          <w:rStyle w:val="Strong"/>
        </w:rPr>
        <w:t>Description</w:t>
      </w:r>
      <w:r>
        <w:rPr/>
        <w:br/>
        <w:t>Type III is the transformative expression of CARE. It links local control (Authority to Control + Responsibility) with collective benefit by enabling governed exchange of results rather than raw data. AI systems generate aggregated or anonymized insights that contribute to shared understanding without revealing protected inputs.</w:t>
      </w:r>
    </w:p>
    <w:p>
      <w:pPr>
        <w:pStyle w:val="BodyText"/>
        <w:bidi w:val="0"/>
        <w:jc w:val="start"/>
        <w:rPr/>
      </w:pPr>
      <w:r>
        <w:rPr>
          <w:rStyle w:val="Strong"/>
        </w:rPr>
        <w:t>Characteristics</w:t>
      </w:r>
    </w:p>
    <w:p>
      <w:pPr>
        <w:pStyle w:val="BodyText"/>
        <w:numPr>
          <w:ilvl w:val="0"/>
          <w:numId w:val="30"/>
        </w:numPr>
        <w:tabs>
          <w:tab w:val="left" w:pos="709" w:leader="none"/>
        </w:tabs>
        <w:bidi w:val="0"/>
        <w:ind w:hanging="283" w:start="709"/>
        <w:jc w:val="start"/>
        <w:rPr/>
      </w:pPr>
      <w:r>
        <w:rPr/>
        <w:t>Combines local custody with federated reasoning.</w:t>
      </w:r>
    </w:p>
    <w:p>
      <w:pPr>
        <w:pStyle w:val="BodyText"/>
        <w:numPr>
          <w:ilvl w:val="0"/>
          <w:numId w:val="30"/>
        </w:numPr>
        <w:tabs>
          <w:tab w:val="left" w:pos="709" w:leader="none"/>
        </w:tabs>
        <w:bidi w:val="0"/>
        <w:ind w:hanging="283" w:start="709"/>
        <w:jc w:val="start"/>
        <w:rPr/>
      </w:pPr>
      <w:r>
        <w:rPr/>
        <w:t>Derived outputs include provenance, attribution, and usage conditions.</w:t>
      </w:r>
    </w:p>
    <w:p>
      <w:pPr>
        <w:pStyle w:val="BodyText"/>
        <w:numPr>
          <w:ilvl w:val="0"/>
          <w:numId w:val="30"/>
        </w:numPr>
        <w:tabs>
          <w:tab w:val="left" w:pos="709" w:leader="none"/>
        </w:tabs>
        <w:bidi w:val="0"/>
        <w:ind w:hanging="283" w:start="709"/>
        <w:jc w:val="start"/>
        <w:rPr/>
      </w:pPr>
      <w:r>
        <w:rPr/>
        <w:t>Supports distributed decision-making, cross-sector research, and multi-party planning.</w:t>
      </w:r>
    </w:p>
    <w:p>
      <w:pPr>
        <w:pStyle w:val="BodyText"/>
        <w:bidi w:val="0"/>
        <w:jc w:val="start"/>
        <w:rPr/>
      </w:pPr>
      <w:r>
        <w:rPr>
          <w:rStyle w:val="Strong"/>
        </w:rPr>
        <w:t>Example</w:t>
      </w:r>
      <w:r>
        <w:rPr/>
        <w:br/>
        <w:t xml:space="preserve">A regional network of organizations uses secure reasoning to generate shared insights about environmental risk. Each participant retains control of its data, but the </w:t>
      </w:r>
      <w:r>
        <w:rPr>
          <w:rStyle w:val="Strong"/>
        </w:rPr>
        <w:t>derived insights are responsibly shared externally</w:t>
      </w:r>
      <w:r>
        <w:rPr/>
        <w:t xml:space="preserve"> to inform joint planning and policy.</w:t>
      </w:r>
    </w:p>
    <w:p>
      <w:pPr>
        <w:pStyle w:val="Heading3"/>
        <w:bidi w:val="0"/>
        <w:jc w:val="start"/>
        <w:rPr/>
      </w:pPr>
      <w:r>
        <w:rPr>
          <w:rStyle w:val="Strong"/>
          <w:b/>
          <w:bCs/>
        </w:rPr>
        <w:t>5.4 Blended Modes in Practice</w:t>
      </w:r>
    </w:p>
    <w:p>
      <w:pPr>
        <w:pStyle w:val="BodyText"/>
        <w:bidi w:val="0"/>
        <w:jc w:val="start"/>
        <w:rPr/>
      </w:pPr>
      <w:r>
        <w:rPr/>
        <w:t xml:space="preserve">Few organizations operate in only one mode. Most maintain </w:t>
      </w:r>
      <w:r>
        <w:rPr>
          <w:rStyle w:val="Strong"/>
        </w:rPr>
        <w:t>a portfolio of knowledge domains</w:t>
      </w:r>
      <w:r>
        <w:rPr/>
        <w:t>—some requiring strict confidentiality (Type I), others intentionally open (Type II), and still others suited to derived-insight exchange (Type III). RKL’s framework allows these modes to coexist under common governance metadata and audit standards. This flexibility is essential for institutions whose activities span research, policy, and public engagement.</w:t>
      </w:r>
    </w:p>
    <w:p>
      <w:pPr>
        <w:pStyle w:val="BodyText"/>
        <w:bidi w:val="0"/>
        <w:jc w:val="start"/>
        <w:rPr/>
      </w:pPr>
      <w:r>
        <w:rPr/>
        <w:t xml:space="preserve">Adopting any mode presumes that organizational knowledge is discoverable and documented. Many institutions must first undertake </w:t>
      </w:r>
      <w:r>
        <w:rPr>
          <w:rStyle w:val="Strong"/>
        </w:rPr>
        <w:t>data and information curation</w:t>
      </w:r>
      <w:r>
        <w:rPr/>
        <w:t xml:space="preserve"> before secure reasoning can begin—an area where RKL provides support.</w:t>
      </w:r>
    </w:p>
    <w:p>
      <w:pPr>
        <w:pStyle w:val="Heading3"/>
        <w:bidi w:val="0"/>
        <w:jc w:val="start"/>
        <w:rPr/>
      </w:pPr>
      <w:r>
        <w:rPr>
          <w:rStyle w:val="Strong"/>
          <w:b/>
          <w:bCs/>
        </w:rPr>
        <w:t>5.5 Strategic Implications</w:t>
      </w:r>
    </w:p>
    <w:p>
      <w:pPr>
        <w:pStyle w:val="BodyText"/>
        <w:bidi w:val="0"/>
        <w:jc w:val="start"/>
        <w:rPr/>
      </w:pPr>
      <w:r>
        <w:rPr/>
        <w:t>Understanding these modes helps organizations plan digital-governance strategies that align ethical, legal, and operational priorities:</w:t>
      </w:r>
    </w:p>
    <w:p>
      <w:pPr>
        <w:pStyle w:val="BodyText"/>
        <w:numPr>
          <w:ilvl w:val="0"/>
          <w:numId w:val="31"/>
        </w:numPr>
        <w:tabs>
          <w:tab w:val="left" w:pos="709" w:leader="none"/>
        </w:tabs>
        <w:bidi w:val="0"/>
        <w:ind w:hanging="283" w:start="709"/>
        <w:jc w:val="start"/>
        <w:rPr/>
      </w:pPr>
      <w:r>
        <w:rPr>
          <w:rStyle w:val="Strong"/>
        </w:rPr>
        <w:t>Assess Governance Capacity</w:t>
      </w:r>
      <w:r>
        <w:rPr/>
        <w:t xml:space="preserve"> – Identify which domains can support which modes.</w:t>
      </w:r>
    </w:p>
    <w:p>
      <w:pPr>
        <w:pStyle w:val="BodyText"/>
        <w:numPr>
          <w:ilvl w:val="0"/>
          <w:numId w:val="31"/>
        </w:numPr>
        <w:tabs>
          <w:tab w:val="left" w:pos="709" w:leader="none"/>
        </w:tabs>
        <w:bidi w:val="0"/>
        <w:ind w:hanging="283" w:start="709"/>
        <w:jc w:val="start"/>
        <w:rPr/>
      </w:pPr>
      <w:r>
        <w:rPr>
          <w:rStyle w:val="Strong"/>
        </w:rPr>
        <w:t>Invest in Secure Infrastructure</w:t>
      </w:r>
      <w:r>
        <w:rPr/>
        <w:t xml:space="preserve"> – Adopt context-exchange protocols and audit tools appropriate to each mode.</w:t>
      </w:r>
    </w:p>
    <w:p>
      <w:pPr>
        <w:pStyle w:val="BodyText"/>
        <w:numPr>
          <w:ilvl w:val="0"/>
          <w:numId w:val="31"/>
        </w:numPr>
        <w:tabs>
          <w:tab w:val="left" w:pos="709" w:leader="none"/>
        </w:tabs>
        <w:bidi w:val="0"/>
        <w:ind w:hanging="283" w:start="709"/>
        <w:jc w:val="start"/>
        <w:rPr/>
      </w:pPr>
      <w:r>
        <w:rPr>
          <w:rStyle w:val="Strong"/>
        </w:rPr>
        <w:t>Plan for Transition</w:t>
      </w:r>
      <w:r>
        <w:rPr/>
        <w:t xml:space="preserve"> – Organizations may begin in Type I and evolve toward Type III as trust and technical maturity grow.</w:t>
      </w:r>
    </w:p>
    <w:p>
      <w:pPr>
        <w:pStyle w:val="BodyText"/>
        <w:numPr>
          <w:ilvl w:val="0"/>
          <w:numId w:val="31"/>
        </w:numPr>
        <w:tabs>
          <w:tab w:val="left" w:pos="709" w:leader="none"/>
        </w:tabs>
        <w:bidi w:val="0"/>
        <w:ind w:hanging="283" w:start="709"/>
        <w:jc w:val="start"/>
        <w:rPr/>
      </w:pPr>
      <w:r>
        <w:rPr>
          <w:rStyle w:val="Strong"/>
        </w:rPr>
        <w:t>Measure Value</w:t>
      </w:r>
      <w:r>
        <w:rPr/>
        <w:t xml:space="preserve"> – Track how secure reasoning improves access to, and reuse of, knowledge assets under CARE-aligned governance.</w:t>
      </w:r>
    </w:p>
    <w:p>
      <w:pPr>
        <w:pStyle w:val="BodyText"/>
        <w:bidi w:val="0"/>
        <w:jc w:val="start"/>
        <w:rPr/>
      </w:pPr>
      <w:r>
        <w:rPr/>
        <w:t xml:space="preserve">RKL assists partners through this progression—helping each organization apply CARE’s principles to its unique mix of knowledge domains and objectives. By clarifying these pathways, secure reasoning becomes a </w:t>
      </w:r>
      <w:r>
        <w:rPr>
          <w:rStyle w:val="Strong"/>
        </w:rPr>
        <w:t>practical roadmap</w:t>
      </w:r>
      <w:r>
        <w:rPr/>
        <w:t xml:space="preserve"> rather than an abstract ideal.</w:t>
      </w:r>
    </w:p>
    <w:p>
      <w:pPr>
        <w:pStyle w:val="BodyText"/>
        <w:bidi w:val="0"/>
        <w:jc w:val="start"/>
        <w:rPr/>
      </w:pPr>
      <w:r>
        <w:rPr/>
        <w:t xml:space="preserve">The next section outlines the </w:t>
      </w:r>
      <w:r>
        <w:rPr>
          <w:rStyle w:val="Strong"/>
        </w:rPr>
        <w:t>technical foundations</w:t>
      </w:r>
      <w:r>
        <w:rPr/>
        <w:t xml:space="preserve"> that support all three modes—showing how RKL’s architecture employs context-exchange protocols, audit logging, and deployment options to make secure reasoning verifiable and scalable across domains.</w:t>
      </w:r>
    </w:p>
    <w:p>
      <w:pPr>
        <w:pStyle w:val="Heading2"/>
        <w:bidi w:val="0"/>
        <w:jc w:val="start"/>
        <w:rPr/>
      </w:pPr>
      <w:r>
        <w:rPr>
          <w:rStyle w:val="Strong"/>
          <w:b/>
          <w:bCs/>
        </w:rPr>
        <w:t>6 Technical Foundations</w:t>
      </w:r>
    </w:p>
    <w:p>
      <w:pPr>
        <w:pStyle w:val="BodyText"/>
        <w:bidi w:val="0"/>
        <w:jc w:val="start"/>
        <w:rPr/>
      </w:pPr>
      <w:r>
        <w:rPr/>
        <w:t xml:space="preserve">Secure reasoning rests on a combination of </w:t>
      </w:r>
      <w:r>
        <w:rPr>
          <w:rStyle w:val="Strong"/>
        </w:rPr>
        <w:t>technical protocols, infrastructure components, and governance mechanisms</w:t>
      </w:r>
      <w:r>
        <w:rPr/>
        <w:t xml:space="preserve"> that together make accountability verifiable. These foundations ensure that every reasoning event—no matter where it runs—respects custodial authority and can be traced, audited, and reproduced.</w:t>
      </w:r>
    </w:p>
    <w:p>
      <w:pPr>
        <w:pStyle w:val="Heading3"/>
        <w:bidi w:val="0"/>
        <w:jc w:val="start"/>
        <w:rPr/>
      </w:pPr>
      <w:r>
        <w:rPr>
          <w:rStyle w:val="Strong"/>
          <w:b/>
          <w:bCs/>
        </w:rPr>
        <w:t>6.1 Core Principles</w:t>
      </w:r>
    </w:p>
    <w:p>
      <w:pPr>
        <w:pStyle w:val="BodyText"/>
        <w:bidi w:val="0"/>
        <w:jc w:val="start"/>
        <w:rPr/>
      </w:pPr>
      <w:r>
        <w:rPr/>
        <w:t>RKL’s technical design follows five guiding principles:</w:t>
      </w:r>
    </w:p>
    <w:p>
      <w:pPr>
        <w:pStyle w:val="BodyText"/>
        <w:numPr>
          <w:ilvl w:val="0"/>
          <w:numId w:val="8"/>
        </w:numPr>
        <w:tabs>
          <w:tab w:val="left" w:pos="709" w:leader="none"/>
        </w:tabs>
        <w:bidi w:val="0"/>
        <w:ind w:hanging="283" w:start="709"/>
        <w:jc w:val="start"/>
        <w:rPr/>
      </w:pPr>
      <w:r>
        <w:rPr>
          <w:rStyle w:val="Strong"/>
        </w:rPr>
        <w:t>Governance by Design</w:t>
      </w:r>
      <w:r>
        <w:rPr/>
        <w:t xml:space="preserve"> — Ethical and policy rules are expressed as executable metadata.</w:t>
      </w:r>
    </w:p>
    <w:p>
      <w:pPr>
        <w:pStyle w:val="BodyText"/>
        <w:numPr>
          <w:ilvl w:val="0"/>
          <w:numId w:val="8"/>
        </w:numPr>
        <w:tabs>
          <w:tab w:val="left" w:pos="709" w:leader="none"/>
        </w:tabs>
        <w:bidi w:val="0"/>
        <w:ind w:hanging="283" w:start="709"/>
        <w:jc w:val="start"/>
        <w:rPr/>
      </w:pPr>
      <w:r>
        <w:rPr>
          <w:rStyle w:val="Strong"/>
        </w:rPr>
        <w:t>Local Authority, Distributed Compute</w:t>
      </w:r>
      <w:r>
        <w:rPr/>
        <w:t xml:space="preserve"> — Governance stays local even when computation occurs elsewhere.</w:t>
      </w:r>
    </w:p>
    <w:p>
      <w:pPr>
        <w:pStyle w:val="BodyText"/>
        <w:numPr>
          <w:ilvl w:val="0"/>
          <w:numId w:val="8"/>
        </w:numPr>
        <w:tabs>
          <w:tab w:val="left" w:pos="709" w:leader="none"/>
        </w:tabs>
        <w:bidi w:val="0"/>
        <w:ind w:hanging="283" w:start="709"/>
        <w:jc w:val="start"/>
        <w:rPr/>
      </w:pPr>
      <w:r>
        <w:rPr>
          <w:rStyle w:val="Strong"/>
        </w:rPr>
        <w:t>Transparency and Traceability</w:t>
      </w:r>
      <w:r>
        <w:rPr/>
        <w:t xml:space="preserve"> — All reasoning operations produce verifiable logs.</w:t>
      </w:r>
    </w:p>
    <w:p>
      <w:pPr>
        <w:pStyle w:val="BodyText"/>
        <w:numPr>
          <w:ilvl w:val="0"/>
          <w:numId w:val="8"/>
        </w:numPr>
        <w:tabs>
          <w:tab w:val="left" w:pos="709" w:leader="none"/>
        </w:tabs>
        <w:bidi w:val="0"/>
        <w:ind w:hanging="283" w:start="709"/>
        <w:jc w:val="start"/>
        <w:rPr/>
      </w:pPr>
      <w:r>
        <w:rPr>
          <w:rStyle w:val="Strong"/>
        </w:rPr>
        <w:t>Interoperability through Open Protocols</w:t>
      </w:r>
      <w:r>
        <w:rPr/>
        <w:t xml:space="preserve"> — Interfaces and metadata formats are openly specified and extensible.</w:t>
      </w:r>
    </w:p>
    <w:p>
      <w:pPr>
        <w:pStyle w:val="BodyText"/>
        <w:numPr>
          <w:ilvl w:val="0"/>
          <w:numId w:val="8"/>
        </w:numPr>
        <w:tabs>
          <w:tab w:val="left" w:pos="709" w:leader="none"/>
        </w:tabs>
        <w:bidi w:val="0"/>
        <w:ind w:hanging="283" w:start="709"/>
        <w:jc w:val="start"/>
        <w:rPr/>
      </w:pPr>
      <w:r>
        <w:rPr>
          <w:rStyle w:val="Strong"/>
        </w:rPr>
        <w:t>Security through Context, not Isolation</w:t>
      </w:r>
      <w:r>
        <w:rPr/>
        <w:t xml:space="preserve"> — Protection derives from governed context exchange rather than physical separation alone.</w:t>
      </w:r>
    </w:p>
    <w:p>
      <w:pPr>
        <w:pStyle w:val="BodyText"/>
        <w:bidi w:val="0"/>
        <w:jc w:val="start"/>
        <w:rPr/>
      </w:pPr>
      <w:r>
        <w:rPr/>
        <w:t xml:space="preserve">These principles operationalize the </w:t>
      </w:r>
      <w:r>
        <w:rPr>
          <w:rStyle w:val="Strong"/>
        </w:rPr>
        <w:t>CARE</w:t>
      </w:r>
      <w:r>
        <w:rPr/>
        <w:t xml:space="preserve"> commitments of authority, responsibility, and collective benefit in technical form.</w:t>
      </w:r>
    </w:p>
    <w:p>
      <w:pPr>
        <w:pStyle w:val="Heading3"/>
        <w:bidi w:val="0"/>
        <w:jc w:val="start"/>
        <w:rPr/>
      </w:pPr>
      <w:r>
        <w:rPr>
          <w:rStyle w:val="Strong"/>
          <w:b/>
          <w:bCs/>
        </w:rPr>
        <w:t>6.2 Key Components</w:t>
      </w:r>
    </w:p>
    <w:p>
      <w:pPr>
        <w:pStyle w:val="BodyText"/>
        <w:numPr>
          <w:ilvl w:val="0"/>
          <w:numId w:val="9"/>
        </w:numPr>
        <w:tabs>
          <w:tab w:val="left" w:pos="709" w:leader="none"/>
        </w:tabs>
        <w:bidi w:val="0"/>
        <w:ind w:hanging="283" w:start="709"/>
        <w:jc w:val="start"/>
        <w:rPr/>
      </w:pPr>
      <w:r>
        <w:rPr>
          <w:rStyle w:val="Strong"/>
        </w:rPr>
        <w:t>Context-Exchange Protocols</w:t>
      </w:r>
      <w:r>
        <w:rPr/>
        <w:br/>
        <w:t>Frameworks that allow models or agents to request and receive information under explicit governance metadata. Each transaction includes identifiers for custodian, consent, purpose, and scope.</w:t>
      </w:r>
    </w:p>
    <w:p>
      <w:pPr>
        <w:pStyle w:val="BodyText"/>
        <w:numPr>
          <w:ilvl w:val="0"/>
          <w:numId w:val="9"/>
        </w:numPr>
        <w:tabs>
          <w:tab w:val="left" w:pos="709" w:leader="none"/>
        </w:tabs>
        <w:bidi w:val="0"/>
        <w:ind w:hanging="283" w:start="709"/>
        <w:jc w:val="start"/>
        <w:rPr/>
      </w:pPr>
      <w:r>
        <w:rPr>
          <w:rStyle w:val="Strong"/>
        </w:rPr>
        <w:t>Policy-Aware Retrieval</w:t>
      </w:r>
      <w:r>
        <w:rPr/>
        <w:br/>
        <w:t>Retrieval mechanisms that enforce access rules during reasoning. Queries are filtered or rewritten automatically to comply with consent and policy constraints.</w:t>
      </w:r>
    </w:p>
    <w:p>
      <w:pPr>
        <w:pStyle w:val="BodyText"/>
        <w:numPr>
          <w:ilvl w:val="0"/>
          <w:numId w:val="9"/>
        </w:numPr>
        <w:tabs>
          <w:tab w:val="left" w:pos="709" w:leader="none"/>
        </w:tabs>
        <w:bidi w:val="0"/>
        <w:ind w:hanging="283" w:start="709"/>
        <w:jc w:val="start"/>
        <w:rPr/>
      </w:pPr>
      <w:r>
        <w:rPr>
          <w:rStyle w:val="Strong"/>
        </w:rPr>
        <w:t>Governance-Linked Vector Indexes</w:t>
      </w:r>
      <w:r>
        <w:rPr/>
        <w:br/>
        <w:t>Semantic search structures that restrict similarity lookups to authorized domains. Governance metadata determine which embeddings or records can be compared.</w:t>
      </w:r>
    </w:p>
    <w:p>
      <w:pPr>
        <w:pStyle w:val="BodyText"/>
        <w:numPr>
          <w:ilvl w:val="0"/>
          <w:numId w:val="9"/>
        </w:numPr>
        <w:tabs>
          <w:tab w:val="left" w:pos="709" w:leader="none"/>
        </w:tabs>
        <w:bidi w:val="0"/>
        <w:ind w:hanging="283" w:start="709"/>
        <w:jc w:val="start"/>
        <w:rPr/>
      </w:pPr>
      <w:r>
        <w:rPr>
          <w:rStyle w:val="Strong"/>
        </w:rPr>
        <w:t>Audit and Provenance Services</w:t>
      </w:r>
      <w:r>
        <w:rPr/>
        <w:br/>
        <w:t>Continuous logging of inputs, model versions, and outputs. These records enable verification, reproducibility, and attribution.</w:t>
      </w:r>
    </w:p>
    <w:p>
      <w:pPr>
        <w:pStyle w:val="BodyText"/>
        <w:numPr>
          <w:ilvl w:val="0"/>
          <w:numId w:val="9"/>
        </w:numPr>
        <w:tabs>
          <w:tab w:val="left" w:pos="709" w:leader="none"/>
        </w:tabs>
        <w:bidi w:val="0"/>
        <w:ind w:hanging="283" w:start="709"/>
        <w:jc w:val="start"/>
        <w:rPr/>
      </w:pPr>
      <w:r>
        <w:rPr>
          <w:rStyle w:val="Strong"/>
        </w:rPr>
        <w:t>Secure Deployment Options</w:t>
      </w:r>
    </w:p>
    <w:p>
      <w:pPr>
        <w:pStyle w:val="BodyText"/>
        <w:numPr>
          <w:ilvl w:val="1"/>
          <w:numId w:val="9"/>
        </w:numPr>
        <w:tabs>
          <w:tab w:val="clear" w:pos="709"/>
          <w:tab w:val="left" w:pos="1418" w:leader="none"/>
        </w:tabs>
        <w:bidi w:val="0"/>
        <w:ind w:hanging="283" w:start="1418"/>
        <w:jc w:val="start"/>
        <w:rPr/>
      </w:pPr>
      <w:r>
        <w:rPr>
          <w:rStyle w:val="Strong"/>
        </w:rPr>
        <w:t>Local Reasoning Nodes</w:t>
      </w:r>
      <w:r>
        <w:rPr/>
        <w:t xml:space="preserve"> — on-prem or virtual private deployments for high-sensitivity domains.</w:t>
      </w:r>
    </w:p>
    <w:p>
      <w:pPr>
        <w:pStyle w:val="BodyText"/>
        <w:numPr>
          <w:ilvl w:val="1"/>
          <w:numId w:val="9"/>
        </w:numPr>
        <w:tabs>
          <w:tab w:val="clear" w:pos="709"/>
          <w:tab w:val="left" w:pos="1418" w:leader="none"/>
        </w:tabs>
        <w:bidi w:val="0"/>
        <w:ind w:hanging="283" w:start="1418"/>
        <w:jc w:val="start"/>
        <w:rPr/>
      </w:pPr>
      <w:r>
        <w:rPr>
          <w:rStyle w:val="Strong"/>
        </w:rPr>
        <w:t>Shared Compute Clusters</w:t>
      </w:r>
      <w:r>
        <w:rPr/>
        <w:t xml:space="preserve"> — managed by RKL or trusted partners, maintaining local governance keys.</w:t>
      </w:r>
    </w:p>
    <w:p>
      <w:pPr>
        <w:pStyle w:val="BodyText"/>
        <w:numPr>
          <w:ilvl w:val="1"/>
          <w:numId w:val="9"/>
        </w:numPr>
        <w:tabs>
          <w:tab w:val="clear" w:pos="709"/>
          <w:tab w:val="left" w:pos="1418" w:leader="none"/>
        </w:tabs>
        <w:bidi w:val="0"/>
        <w:ind w:hanging="283" w:start="1418"/>
        <w:jc w:val="start"/>
        <w:rPr/>
      </w:pPr>
      <w:r>
        <w:rPr>
          <w:rStyle w:val="Strong"/>
        </w:rPr>
        <w:t>Federated Reasoning Networks</w:t>
      </w:r>
      <w:r>
        <w:rPr/>
        <w:t xml:space="preserve"> — allow multiple institutions to collaborate through governed interfaces without centralizing data.</w:t>
      </w:r>
    </w:p>
    <w:p>
      <w:pPr>
        <w:pStyle w:val="BodyText"/>
        <w:numPr>
          <w:ilvl w:val="0"/>
          <w:numId w:val="9"/>
        </w:numPr>
        <w:tabs>
          <w:tab w:val="left" w:pos="709" w:leader="none"/>
        </w:tabs>
        <w:bidi w:val="0"/>
        <w:ind w:hanging="283" w:start="709"/>
        <w:jc w:val="start"/>
        <w:rPr/>
      </w:pPr>
      <w:r>
        <w:rPr>
          <w:rStyle w:val="Strong"/>
        </w:rPr>
        <w:t>Governed APIs and Adapters</w:t>
      </w:r>
      <w:r>
        <w:rPr/>
        <w:br/>
        <w:t>Application interfaces that let institutions use external large-language models or reasoning engines while embedding local policy metadata into every request.</w:t>
      </w:r>
    </w:p>
    <w:p>
      <w:pPr>
        <w:pStyle w:val="BodyText"/>
        <w:bidi w:val="0"/>
        <w:jc w:val="start"/>
        <w:rPr/>
      </w:pPr>
      <w:r>
        <w:rPr/>
        <w:t xml:space="preserve">Together these elements form the </w:t>
      </w:r>
      <w:r>
        <w:rPr>
          <w:rStyle w:val="Strong"/>
        </w:rPr>
        <w:t>technical substrate of secure reasoning</w:t>
      </w:r>
      <w:r>
        <w:rPr/>
        <w:t>—where governance is computationally enforceable and transparency is intrinsic.</w:t>
      </w:r>
    </w:p>
    <w:p>
      <w:pPr>
        <w:pStyle w:val="Heading3"/>
        <w:bidi w:val="0"/>
        <w:jc w:val="start"/>
        <w:rPr/>
      </w:pPr>
      <w:r>
        <w:rPr>
          <w:rStyle w:val="Strong"/>
          <w:b/>
          <w:bCs/>
        </w:rPr>
        <w:t>6.3 Reference Implementations</w:t>
      </w:r>
    </w:p>
    <w:p>
      <w:pPr>
        <w:pStyle w:val="BodyText"/>
        <w:bidi w:val="0"/>
        <w:jc w:val="start"/>
        <w:rPr/>
      </w:pPr>
      <w:r>
        <w:rPr/>
        <w:t>RKL is developing open-source reference stacks that demonstrate these capabilities:</w:t>
      </w:r>
    </w:p>
    <w:p>
      <w:pPr>
        <w:pStyle w:val="BodyText"/>
        <w:numPr>
          <w:ilvl w:val="0"/>
          <w:numId w:val="10"/>
        </w:numPr>
        <w:tabs>
          <w:tab w:val="left" w:pos="709" w:leader="none"/>
        </w:tabs>
        <w:bidi w:val="0"/>
        <w:ind w:hanging="283" w:start="709"/>
        <w:jc w:val="start"/>
        <w:rPr/>
      </w:pPr>
      <w:r>
        <w:rPr>
          <w:rStyle w:val="Strong"/>
        </w:rPr>
        <w:t>Secure Reasoning Sandbox</w:t>
      </w:r>
      <w:r>
        <w:rPr/>
        <w:t xml:space="preserve"> — a test environment showing how governance manifests and audit logs interact.</w:t>
      </w:r>
    </w:p>
    <w:p>
      <w:pPr>
        <w:pStyle w:val="BodyText"/>
        <w:numPr>
          <w:ilvl w:val="0"/>
          <w:numId w:val="10"/>
        </w:numPr>
        <w:tabs>
          <w:tab w:val="left" w:pos="709" w:leader="none"/>
        </w:tabs>
        <w:bidi w:val="0"/>
        <w:ind w:hanging="283" w:start="709"/>
        <w:jc w:val="start"/>
        <w:rPr/>
      </w:pPr>
      <w:r>
        <w:rPr>
          <w:rStyle w:val="Strong"/>
        </w:rPr>
        <w:t>Governance Registry Service</w:t>
      </w:r>
      <w:r>
        <w:rPr/>
        <w:t xml:space="preserve"> — stores and validates policy manifests.</w:t>
      </w:r>
    </w:p>
    <w:p>
      <w:pPr>
        <w:pStyle w:val="BodyText"/>
        <w:numPr>
          <w:ilvl w:val="0"/>
          <w:numId w:val="10"/>
        </w:numPr>
        <w:tabs>
          <w:tab w:val="left" w:pos="709" w:leader="none"/>
        </w:tabs>
        <w:bidi w:val="0"/>
        <w:ind w:hanging="283" w:start="709"/>
        <w:jc w:val="start"/>
        <w:rPr/>
      </w:pPr>
      <w:r>
        <w:rPr>
          <w:rStyle w:val="Strong"/>
        </w:rPr>
        <w:t>MCP Demonstrator</w:t>
      </w:r>
      <w:r>
        <w:rPr/>
        <w:t xml:space="preserve"> — illustrates secure context exchange between reasoning agents and governed knowledge domains.</w:t>
      </w:r>
    </w:p>
    <w:p>
      <w:pPr>
        <w:pStyle w:val="BodyText"/>
        <w:numPr>
          <w:ilvl w:val="0"/>
          <w:numId w:val="10"/>
        </w:numPr>
        <w:tabs>
          <w:tab w:val="left" w:pos="709" w:leader="none"/>
        </w:tabs>
        <w:bidi w:val="0"/>
        <w:ind w:hanging="283" w:start="709"/>
        <w:jc w:val="start"/>
        <w:rPr/>
      </w:pPr>
      <w:r>
        <w:rPr>
          <w:rStyle w:val="Strong"/>
        </w:rPr>
        <w:t>Closed RAG Stack</w:t>
      </w:r>
      <w:r>
        <w:rPr/>
        <w:t xml:space="preserve"> — retrieval-augmented generation restricted by policy metadata for repeatable, auditable reasoning.</w:t>
      </w:r>
    </w:p>
    <w:p>
      <w:pPr>
        <w:pStyle w:val="BodyText"/>
        <w:bidi w:val="0"/>
        <w:jc w:val="start"/>
        <w:rPr/>
      </w:pPr>
      <w:r>
        <w:rPr/>
        <w:t>These prototypes are documented for adaptation by partner institutions.</w:t>
      </w:r>
    </w:p>
    <w:p>
      <w:pPr>
        <w:pStyle w:val="Heading3"/>
        <w:bidi w:val="0"/>
        <w:jc w:val="start"/>
        <w:rPr/>
      </w:pPr>
      <w:r>
        <w:rPr>
          <w:rStyle w:val="Strong"/>
          <w:b/>
          <w:bCs/>
        </w:rPr>
        <w:t>6.4 Scalability and Performance</w:t>
      </w:r>
    </w:p>
    <w:p>
      <w:pPr>
        <w:pStyle w:val="BodyText"/>
        <w:bidi w:val="0"/>
        <w:jc w:val="start"/>
        <w:rPr/>
      </w:pPr>
      <w:r>
        <w:rPr/>
        <w:t xml:space="preserve">Secure reasoning emphasizes </w:t>
      </w:r>
      <w:r>
        <w:rPr>
          <w:rStyle w:val="Strong"/>
        </w:rPr>
        <w:t>governance integrity over raw throughput</w:t>
      </w:r>
      <w:r>
        <w:rPr/>
        <w:t>, yet the architecture scales efficiently through:</w:t>
      </w:r>
    </w:p>
    <w:p>
      <w:pPr>
        <w:pStyle w:val="BodyText"/>
        <w:numPr>
          <w:ilvl w:val="0"/>
          <w:numId w:val="11"/>
        </w:numPr>
        <w:tabs>
          <w:tab w:val="left" w:pos="709" w:leader="none"/>
        </w:tabs>
        <w:bidi w:val="0"/>
        <w:ind w:hanging="283" w:start="709"/>
        <w:jc w:val="start"/>
        <w:rPr/>
      </w:pPr>
      <w:r>
        <w:rPr>
          <w:rStyle w:val="Strong"/>
        </w:rPr>
        <w:t>Asynchronous Policy Validation</w:t>
      </w:r>
      <w:r>
        <w:rPr/>
        <w:t xml:space="preserve"> — verifies consent without blocking reasoning flow.</w:t>
      </w:r>
    </w:p>
    <w:p>
      <w:pPr>
        <w:pStyle w:val="BodyText"/>
        <w:numPr>
          <w:ilvl w:val="0"/>
          <w:numId w:val="11"/>
        </w:numPr>
        <w:tabs>
          <w:tab w:val="left" w:pos="709" w:leader="none"/>
        </w:tabs>
        <w:bidi w:val="0"/>
        <w:ind w:hanging="283" w:start="709"/>
        <w:jc w:val="start"/>
        <w:rPr/>
      </w:pPr>
      <w:r>
        <w:rPr>
          <w:rStyle w:val="Strong"/>
        </w:rPr>
        <w:t>Caching of Approved Contexts</w:t>
      </w:r>
      <w:r>
        <w:rPr/>
        <w:t xml:space="preserve"> — reduces overhead for recurring authorized queries.</w:t>
      </w:r>
    </w:p>
    <w:p>
      <w:pPr>
        <w:pStyle w:val="BodyText"/>
        <w:numPr>
          <w:ilvl w:val="0"/>
          <w:numId w:val="11"/>
        </w:numPr>
        <w:tabs>
          <w:tab w:val="left" w:pos="709" w:leader="none"/>
        </w:tabs>
        <w:bidi w:val="0"/>
        <w:ind w:hanging="283" w:start="709"/>
        <w:jc w:val="start"/>
        <w:rPr/>
      </w:pPr>
      <w:r>
        <w:rPr>
          <w:rStyle w:val="Strong"/>
        </w:rPr>
        <w:t>Parallel Audit Pipelines</w:t>
      </w:r>
      <w:r>
        <w:rPr/>
        <w:t xml:space="preserve"> — record provenance in near real time.</w:t>
      </w:r>
    </w:p>
    <w:p>
      <w:pPr>
        <w:pStyle w:val="BodyText"/>
        <w:bidi w:val="0"/>
        <w:jc w:val="start"/>
        <w:rPr/>
      </w:pPr>
      <w:r>
        <w:rPr/>
        <w:t>This balance ensures that accountability does not come at the cost of capability.</w:t>
      </w:r>
    </w:p>
    <w:p>
      <w:pPr>
        <w:pStyle w:val="Heading3"/>
        <w:bidi w:val="0"/>
        <w:jc w:val="start"/>
        <w:rPr/>
      </w:pPr>
      <w:r>
        <w:rPr>
          <w:rStyle w:val="Strong"/>
          <w:b/>
          <w:bCs/>
        </w:rPr>
        <w:t>6.5 Integration with Emerging Technologies</w:t>
      </w:r>
    </w:p>
    <w:p>
      <w:pPr>
        <w:pStyle w:val="BodyText"/>
        <w:bidi w:val="0"/>
        <w:jc w:val="start"/>
        <w:rPr/>
      </w:pPr>
      <w:r>
        <w:rPr/>
        <w:t>Secure reasoning is compatible with frontier developments in AI systems:</w:t>
      </w:r>
    </w:p>
    <w:p>
      <w:pPr>
        <w:pStyle w:val="BodyText"/>
        <w:numPr>
          <w:ilvl w:val="0"/>
          <w:numId w:val="12"/>
        </w:numPr>
        <w:tabs>
          <w:tab w:val="left" w:pos="709" w:leader="none"/>
        </w:tabs>
        <w:bidi w:val="0"/>
        <w:ind w:hanging="283" w:start="709"/>
        <w:jc w:val="start"/>
        <w:rPr/>
      </w:pPr>
      <w:r>
        <w:rPr>
          <w:rStyle w:val="Strong"/>
        </w:rPr>
        <w:t>Model Context Protocol (MCP)</w:t>
      </w:r>
      <w:r>
        <w:rPr/>
        <w:t xml:space="preserve"> and related standards for context exchange.</w:t>
      </w:r>
    </w:p>
    <w:p>
      <w:pPr>
        <w:pStyle w:val="BodyText"/>
        <w:numPr>
          <w:ilvl w:val="0"/>
          <w:numId w:val="12"/>
        </w:numPr>
        <w:tabs>
          <w:tab w:val="left" w:pos="709" w:leader="none"/>
        </w:tabs>
        <w:bidi w:val="0"/>
        <w:ind w:hanging="283" w:start="709"/>
        <w:jc w:val="start"/>
        <w:rPr/>
      </w:pPr>
      <w:r>
        <w:rPr>
          <w:rStyle w:val="Strong"/>
        </w:rPr>
        <w:t>AI-Agent Governance Frameworks</w:t>
      </w:r>
      <w:r>
        <w:rPr/>
        <w:t xml:space="preserve"> that define operational policies for autonomous agents.</w:t>
      </w:r>
    </w:p>
    <w:p>
      <w:pPr>
        <w:pStyle w:val="BodyText"/>
        <w:numPr>
          <w:ilvl w:val="0"/>
          <w:numId w:val="12"/>
        </w:numPr>
        <w:tabs>
          <w:tab w:val="left" w:pos="709" w:leader="none"/>
        </w:tabs>
        <w:bidi w:val="0"/>
        <w:ind w:hanging="283" w:start="709"/>
        <w:jc w:val="start"/>
        <w:rPr/>
      </w:pPr>
      <w:r>
        <w:rPr>
          <w:rStyle w:val="Strong"/>
        </w:rPr>
        <w:t>Confidential Computing and Zero-Trust Architectures</w:t>
      </w:r>
      <w:r>
        <w:rPr/>
        <w:t xml:space="preserve"> to protect execution environments.</w:t>
      </w:r>
    </w:p>
    <w:p>
      <w:pPr>
        <w:pStyle w:val="BodyText"/>
        <w:numPr>
          <w:ilvl w:val="0"/>
          <w:numId w:val="12"/>
        </w:numPr>
        <w:tabs>
          <w:tab w:val="left" w:pos="709" w:leader="none"/>
        </w:tabs>
        <w:bidi w:val="0"/>
        <w:ind w:hanging="283" w:start="709"/>
        <w:jc w:val="start"/>
        <w:rPr/>
      </w:pPr>
      <w:r>
        <w:rPr>
          <w:rStyle w:val="Strong"/>
        </w:rPr>
        <w:t>Differential Privacy and Synthetic Data Techniques</w:t>
      </w:r>
      <w:r>
        <w:rPr/>
        <w:t xml:space="preserve"> to expand safe reasoning over sensitive datasets.</w:t>
      </w:r>
    </w:p>
    <w:p>
      <w:pPr>
        <w:pStyle w:val="BodyText"/>
        <w:bidi w:val="0"/>
        <w:jc w:val="start"/>
        <w:rPr/>
      </w:pPr>
      <w:r>
        <w:rPr/>
        <w:t xml:space="preserve">RKL’s approach remains </w:t>
      </w:r>
      <w:r>
        <w:rPr>
          <w:rStyle w:val="Strong"/>
        </w:rPr>
        <w:t>model-agnostic</w:t>
      </w:r>
      <w:r>
        <w:rPr/>
        <w:t>: institutions can use any reasoning engine provided it operates under verifiable governance metadata.</w:t>
      </w:r>
    </w:p>
    <w:p>
      <w:pPr>
        <w:pStyle w:val="Heading3"/>
        <w:bidi w:val="0"/>
        <w:jc w:val="start"/>
        <w:rPr/>
      </w:pPr>
      <w:r>
        <w:rPr>
          <w:rStyle w:val="Strong"/>
          <w:b/>
          <w:bCs/>
        </w:rPr>
        <w:t>6.6 Outcomes and Benefits</w:t>
      </w:r>
    </w:p>
    <w:p>
      <w:pPr>
        <w:pStyle w:val="BodyText"/>
        <w:bidi w:val="0"/>
        <w:jc w:val="start"/>
        <w:rPr/>
      </w:pPr>
      <w:r>
        <w:rPr/>
        <w:t>Implementing these foundations allows organizations to:</w:t>
      </w:r>
    </w:p>
    <w:p>
      <w:pPr>
        <w:pStyle w:val="BodyText"/>
        <w:numPr>
          <w:ilvl w:val="0"/>
          <w:numId w:val="26"/>
        </w:numPr>
        <w:tabs>
          <w:tab w:val="left" w:pos="709" w:leader="none"/>
        </w:tabs>
        <w:bidi w:val="0"/>
        <w:ind w:hanging="283" w:start="709"/>
        <w:jc w:val="start"/>
        <w:rPr/>
      </w:pPr>
      <w:r>
        <w:rPr/>
        <w:t>Deploy AI reasoning safely within or across institutions.</w:t>
      </w:r>
    </w:p>
    <w:p>
      <w:pPr>
        <w:pStyle w:val="BodyText"/>
        <w:numPr>
          <w:ilvl w:val="0"/>
          <w:numId w:val="26"/>
        </w:numPr>
        <w:tabs>
          <w:tab w:val="left" w:pos="709" w:leader="none"/>
        </w:tabs>
        <w:bidi w:val="0"/>
        <w:ind w:hanging="283" w:start="709"/>
        <w:jc w:val="start"/>
        <w:rPr/>
      </w:pPr>
      <w:r>
        <w:rPr/>
        <w:t>Demonstrate compliance with ethical and regulatory standards.</w:t>
      </w:r>
    </w:p>
    <w:p>
      <w:pPr>
        <w:pStyle w:val="BodyText"/>
        <w:numPr>
          <w:ilvl w:val="0"/>
          <w:numId w:val="26"/>
        </w:numPr>
        <w:tabs>
          <w:tab w:val="left" w:pos="709" w:leader="none"/>
        </w:tabs>
        <w:bidi w:val="0"/>
        <w:ind w:hanging="283" w:start="709"/>
        <w:jc w:val="start"/>
        <w:rPr/>
      </w:pPr>
      <w:r>
        <w:rPr/>
        <w:t>Retain verifiable custody of sensitive or proprietary assets.</w:t>
      </w:r>
    </w:p>
    <w:p>
      <w:pPr>
        <w:pStyle w:val="BodyText"/>
        <w:numPr>
          <w:ilvl w:val="0"/>
          <w:numId w:val="26"/>
        </w:numPr>
        <w:tabs>
          <w:tab w:val="left" w:pos="709" w:leader="none"/>
        </w:tabs>
        <w:bidi w:val="0"/>
        <w:ind w:hanging="283" w:start="709"/>
        <w:jc w:val="start"/>
        <w:rPr/>
      </w:pPr>
      <w:r>
        <w:rPr/>
        <w:t>Strengthen institutional memory through auditable insight generation.</w:t>
      </w:r>
    </w:p>
    <w:p>
      <w:pPr>
        <w:pStyle w:val="BodyText"/>
        <w:numPr>
          <w:ilvl w:val="0"/>
          <w:numId w:val="26"/>
        </w:numPr>
        <w:tabs>
          <w:tab w:val="left" w:pos="709" w:leader="none"/>
        </w:tabs>
        <w:bidi w:val="0"/>
        <w:ind w:hanging="283" w:start="709"/>
        <w:jc w:val="start"/>
        <w:rPr/>
      </w:pPr>
      <w:r>
        <w:rPr/>
        <w:t xml:space="preserve">Build public trust by showing </w:t>
      </w:r>
      <w:r>
        <w:rPr>
          <w:rStyle w:val="Emphasis"/>
        </w:rPr>
        <w:t>how</w:t>
      </w:r>
      <w:r>
        <w:rPr/>
        <w:t xml:space="preserve"> reasoning occurs, not just </w:t>
      </w:r>
      <w:r>
        <w:rPr>
          <w:rStyle w:val="Emphasis"/>
        </w:rPr>
        <w:t>what</w:t>
      </w:r>
      <w:r>
        <w:rPr/>
        <w:t xml:space="preserve"> results it produces.</w:t>
      </w:r>
    </w:p>
    <w:p>
      <w:pPr>
        <w:pStyle w:val="BodyText"/>
        <w:bidi w:val="0"/>
        <w:jc w:val="start"/>
        <w:rPr/>
      </w:pPr>
      <w:r>
        <w:rPr/>
        <w:t xml:space="preserve">These capabilities make secure reasoning a </w:t>
      </w:r>
      <w:r>
        <w:rPr>
          <w:rStyle w:val="Strong"/>
        </w:rPr>
        <w:t>practical bridge between governance and innovation</w:t>
      </w:r>
      <w:r>
        <w:rPr/>
        <w:t>—advancing efficiency, accountability, and long-term sustainability in AI practice.</w:t>
      </w:r>
    </w:p>
    <w:p>
      <w:pPr>
        <w:pStyle w:val="BodyText"/>
        <w:bidi w:val="0"/>
        <w:jc w:val="start"/>
        <w:rPr/>
      </w:pPr>
      <w:r>
        <w:rPr/>
        <w:t xml:space="preserve">The next section, </w:t>
      </w:r>
      <w:r>
        <w:rPr>
          <w:rStyle w:val="Strong"/>
        </w:rPr>
        <w:t>Ethical and Institutional Design</w:t>
      </w:r>
      <w:r>
        <w:rPr/>
        <w:t>, explores how technical accountability integrates with organizational culture—embedding CARE-aligned governance into everyday decision-making and institutional practice.</w:t>
      </w:r>
    </w:p>
    <w:p>
      <w:pPr>
        <w:pStyle w:val="Heading2"/>
        <w:bidi w:val="0"/>
        <w:jc w:val="start"/>
        <w:rPr/>
      </w:pPr>
      <w:r>
        <w:rPr>
          <w:rStyle w:val="Strong"/>
          <w:b/>
          <w:bCs/>
        </w:rPr>
        <w:t>7 Ethical and Institutional Design</w:t>
      </w:r>
    </w:p>
    <w:p>
      <w:pPr>
        <w:pStyle w:val="BodyText"/>
        <w:bidi w:val="0"/>
        <w:jc w:val="start"/>
        <w:rPr/>
      </w:pPr>
      <w:r>
        <w:rPr/>
        <w:t>Technology alone cannot guarantee trustworthy reasoning. For secure reasoning to work in practice, institutions must embed its principles into everyday governance, operations, and accountability structures. This integration of ethics and design ensures that **CARE—Collective Benefit, Authority to Control, Responsibility, and Ethics—**is not only encoded in systems but also enacted by the people who use and oversee them.</w:t>
      </w:r>
    </w:p>
    <w:p>
      <w:pPr>
        <w:pStyle w:val="Heading3"/>
        <w:bidi w:val="0"/>
        <w:jc w:val="start"/>
        <w:rPr/>
      </w:pPr>
      <w:r>
        <w:rPr>
          <w:rStyle w:val="Strong"/>
          <w:b/>
          <w:bCs/>
        </w:rPr>
        <w:t>7.1 Governance as Culture</w:t>
      </w:r>
    </w:p>
    <w:p>
      <w:pPr>
        <w:pStyle w:val="BodyText"/>
        <w:bidi w:val="0"/>
        <w:jc w:val="start"/>
        <w:rPr/>
      </w:pPr>
      <w:r>
        <w:rPr/>
        <w:t>Secure reasoning requires a shift in mindset: from viewing governance as a compliance requirement to understanding it as an institutional asset. Ethical governance must function as part of an organization’s culture—visible in how teams make decisions, design workflows, and evaluate outcomes.</w:t>
      </w:r>
    </w:p>
    <w:p>
      <w:pPr>
        <w:pStyle w:val="BodyText"/>
        <w:bidi w:val="0"/>
        <w:jc w:val="start"/>
        <w:rPr/>
      </w:pPr>
      <w:r>
        <w:rPr/>
        <w:t>Institutions that treat governance as culture:</w:t>
      </w:r>
    </w:p>
    <w:p>
      <w:pPr>
        <w:pStyle w:val="BodyText"/>
        <w:numPr>
          <w:ilvl w:val="0"/>
          <w:numId w:val="13"/>
        </w:numPr>
        <w:tabs>
          <w:tab w:val="left" w:pos="709" w:leader="none"/>
        </w:tabs>
        <w:bidi w:val="0"/>
        <w:ind w:hanging="283" w:start="709"/>
        <w:jc w:val="start"/>
        <w:rPr/>
      </w:pPr>
      <w:r>
        <w:rPr/>
        <w:t xml:space="preserve">Define </w:t>
      </w:r>
      <w:r>
        <w:rPr>
          <w:rStyle w:val="Strong"/>
        </w:rPr>
        <w:t>ethical authority</w:t>
      </w:r>
      <w:r>
        <w:rPr/>
        <w:t>—who decides when and how AI can be used.</w:t>
      </w:r>
    </w:p>
    <w:p>
      <w:pPr>
        <w:pStyle w:val="BodyText"/>
        <w:numPr>
          <w:ilvl w:val="0"/>
          <w:numId w:val="13"/>
        </w:numPr>
        <w:tabs>
          <w:tab w:val="left" w:pos="709" w:leader="none"/>
        </w:tabs>
        <w:bidi w:val="0"/>
        <w:ind w:hanging="283" w:start="709"/>
        <w:jc w:val="start"/>
        <w:rPr/>
      </w:pPr>
      <w:r>
        <w:rPr/>
        <w:t xml:space="preserve">Build </w:t>
      </w:r>
      <w:r>
        <w:rPr>
          <w:rStyle w:val="Strong"/>
        </w:rPr>
        <w:t>governance literacy</w:t>
      </w:r>
      <w:r>
        <w:rPr/>
        <w:t xml:space="preserve"> among staff through training and shared vocabulary.</w:t>
      </w:r>
    </w:p>
    <w:p>
      <w:pPr>
        <w:pStyle w:val="BodyText"/>
        <w:numPr>
          <w:ilvl w:val="0"/>
          <w:numId w:val="13"/>
        </w:numPr>
        <w:tabs>
          <w:tab w:val="left" w:pos="709" w:leader="none"/>
        </w:tabs>
        <w:bidi w:val="0"/>
        <w:ind w:hanging="283" w:start="709"/>
        <w:jc w:val="start"/>
        <w:rPr/>
      </w:pPr>
      <w:r>
        <w:rPr/>
        <w:t xml:space="preserve">Integrate </w:t>
      </w:r>
      <w:r>
        <w:rPr>
          <w:rStyle w:val="Strong"/>
        </w:rPr>
        <w:t>audit and consent reviews</w:t>
      </w:r>
      <w:r>
        <w:rPr/>
        <w:t xml:space="preserve"> into normal project cycles rather than relying only on external audits.</w:t>
      </w:r>
    </w:p>
    <w:p>
      <w:pPr>
        <w:pStyle w:val="BodyText"/>
        <w:numPr>
          <w:ilvl w:val="0"/>
          <w:numId w:val="13"/>
        </w:numPr>
        <w:tabs>
          <w:tab w:val="left" w:pos="709" w:leader="none"/>
        </w:tabs>
        <w:bidi w:val="0"/>
        <w:ind w:hanging="283" w:start="709"/>
        <w:jc w:val="start"/>
        <w:rPr/>
      </w:pPr>
      <w:r>
        <w:rPr/>
        <w:t xml:space="preserve">Encourage </w:t>
      </w:r>
      <w:r>
        <w:rPr>
          <w:rStyle w:val="Strong"/>
        </w:rPr>
        <w:t>cross-functional stewardship</w:t>
      </w:r>
      <w:r>
        <w:rPr/>
        <w:t>—linking technical, legal, and ethical expertise.</w:t>
      </w:r>
    </w:p>
    <w:p>
      <w:pPr>
        <w:pStyle w:val="BodyText"/>
        <w:bidi w:val="0"/>
        <w:jc w:val="start"/>
        <w:rPr/>
      </w:pPr>
      <w:r>
        <w:rPr/>
        <w:t>These practices align institutional behavior with the same CARE values that shape the technology itself. Secure reasoning thus becomes both a cultural and operational norm.</w:t>
      </w:r>
    </w:p>
    <w:p>
      <w:pPr>
        <w:pStyle w:val="Heading3"/>
        <w:bidi w:val="0"/>
        <w:jc w:val="start"/>
        <w:rPr/>
      </w:pPr>
      <w:r>
        <w:rPr>
          <w:rStyle w:val="Strong"/>
          <w:b/>
          <w:bCs/>
        </w:rPr>
        <w:t>7.2 Institutional Roles and Responsibilities</w:t>
      </w:r>
    </w:p>
    <w:p>
      <w:pPr>
        <w:pStyle w:val="BodyText"/>
        <w:bidi w:val="0"/>
        <w:jc w:val="start"/>
        <w:rPr/>
      </w:pPr>
      <w:r>
        <w:rPr/>
        <w:t>RKL’s framework supports clear role definition so that ethical accountability is distributed, not diffused:</w:t>
      </w:r>
    </w:p>
    <w:tbl>
      <w:tblPr>
        <w:tblW w:w="9972" w:type="dxa"/>
        <w:jc w:val="start"/>
        <w:tblInd w:w="0" w:type="dxa"/>
        <w:tblLayout w:type="fixed"/>
        <w:tblCellMar>
          <w:top w:w="28" w:type="dxa"/>
          <w:start w:w="28" w:type="dxa"/>
          <w:bottom w:w="28" w:type="dxa"/>
          <w:end w:w="28" w:type="dxa"/>
        </w:tblCellMar>
      </w:tblPr>
      <w:tblGrid>
        <w:gridCol w:w="2161"/>
        <w:gridCol w:w="4812"/>
        <w:gridCol w:w="2999"/>
      </w:tblGrid>
      <w:tr>
        <w:trPr>
          <w:tblHeader w:val="true"/>
        </w:trPr>
        <w:tc>
          <w:tcPr>
            <w:tcW w:w="2161" w:type="dxa"/>
            <w:tcBorders/>
            <w:vAlign w:val="center"/>
          </w:tcPr>
          <w:p>
            <w:pPr>
              <w:pStyle w:val="TableHeading"/>
              <w:suppressLineNumbers/>
              <w:bidi w:val="0"/>
              <w:jc w:val="center"/>
              <w:rPr/>
            </w:pPr>
            <w:r>
              <w:rPr/>
              <w:t>Role</w:t>
            </w:r>
          </w:p>
        </w:tc>
        <w:tc>
          <w:tcPr>
            <w:tcW w:w="4812" w:type="dxa"/>
            <w:tcBorders/>
            <w:vAlign w:val="center"/>
          </w:tcPr>
          <w:p>
            <w:pPr>
              <w:pStyle w:val="TableHeading"/>
              <w:suppressLineNumbers/>
              <w:bidi w:val="0"/>
              <w:jc w:val="center"/>
              <w:rPr/>
            </w:pPr>
            <w:r>
              <w:rPr/>
              <w:t>Primary Responsibility</w:t>
            </w:r>
          </w:p>
        </w:tc>
        <w:tc>
          <w:tcPr>
            <w:tcW w:w="2999" w:type="dxa"/>
            <w:tcBorders/>
            <w:vAlign w:val="center"/>
          </w:tcPr>
          <w:p>
            <w:pPr>
              <w:pStyle w:val="TableHeading"/>
              <w:suppressLineNumbers/>
              <w:bidi w:val="0"/>
              <w:jc w:val="center"/>
              <w:rPr/>
            </w:pPr>
            <w:r>
              <w:rPr/>
              <w:t>Example</w:t>
            </w:r>
          </w:p>
        </w:tc>
      </w:tr>
      <w:tr>
        <w:trPr/>
        <w:tc>
          <w:tcPr>
            <w:tcW w:w="2161" w:type="dxa"/>
            <w:tcBorders/>
            <w:vAlign w:val="center"/>
          </w:tcPr>
          <w:p>
            <w:pPr>
              <w:pStyle w:val="TableContents"/>
              <w:widowControl w:val="false"/>
              <w:suppressLineNumbers/>
              <w:bidi w:val="0"/>
              <w:jc w:val="start"/>
              <w:rPr/>
            </w:pPr>
            <w:r>
              <w:rPr>
                <w:rStyle w:val="Strong"/>
              </w:rPr>
              <w:t>Custodians</w:t>
            </w:r>
          </w:p>
        </w:tc>
        <w:tc>
          <w:tcPr>
            <w:tcW w:w="4812" w:type="dxa"/>
            <w:tcBorders/>
            <w:vAlign w:val="center"/>
          </w:tcPr>
          <w:p>
            <w:pPr>
              <w:pStyle w:val="TableContents"/>
              <w:widowControl w:val="false"/>
              <w:suppressLineNumbers/>
              <w:bidi w:val="0"/>
              <w:jc w:val="start"/>
              <w:rPr/>
            </w:pPr>
            <w:r>
              <w:rPr/>
              <w:t>Maintain authority over governed knowledge domains; approve reasoning access and outputs.</w:t>
            </w:r>
          </w:p>
        </w:tc>
        <w:tc>
          <w:tcPr>
            <w:tcW w:w="2999" w:type="dxa"/>
            <w:tcBorders/>
            <w:vAlign w:val="center"/>
          </w:tcPr>
          <w:p>
            <w:pPr>
              <w:pStyle w:val="TableContents"/>
              <w:widowControl w:val="false"/>
              <w:suppressLineNumbers/>
              <w:bidi w:val="0"/>
              <w:jc w:val="start"/>
              <w:rPr/>
            </w:pPr>
            <w:r>
              <w:rPr/>
              <w:t>Data stewards, archivists, research directors</w:t>
            </w:r>
          </w:p>
        </w:tc>
      </w:tr>
      <w:tr>
        <w:trPr/>
        <w:tc>
          <w:tcPr>
            <w:tcW w:w="2161" w:type="dxa"/>
            <w:tcBorders/>
            <w:vAlign w:val="center"/>
          </w:tcPr>
          <w:p>
            <w:pPr>
              <w:pStyle w:val="TableContents"/>
              <w:widowControl w:val="false"/>
              <w:suppressLineNumbers/>
              <w:bidi w:val="0"/>
              <w:jc w:val="start"/>
              <w:rPr/>
            </w:pPr>
            <w:r>
              <w:rPr>
                <w:rStyle w:val="Strong"/>
              </w:rPr>
              <w:t>Operators</w:t>
            </w:r>
          </w:p>
        </w:tc>
        <w:tc>
          <w:tcPr>
            <w:tcW w:w="4812" w:type="dxa"/>
            <w:tcBorders/>
            <w:vAlign w:val="center"/>
          </w:tcPr>
          <w:p>
            <w:pPr>
              <w:pStyle w:val="TableContents"/>
              <w:widowControl w:val="false"/>
              <w:suppressLineNumbers/>
              <w:bidi w:val="0"/>
              <w:jc w:val="start"/>
              <w:rPr/>
            </w:pPr>
            <w:r>
              <w:rPr/>
              <w:t>Configure and maintain secure-reasoning environments; enforce governance metadata and audit systems.</w:t>
            </w:r>
          </w:p>
        </w:tc>
        <w:tc>
          <w:tcPr>
            <w:tcW w:w="2999" w:type="dxa"/>
            <w:tcBorders/>
            <w:vAlign w:val="center"/>
          </w:tcPr>
          <w:p>
            <w:pPr>
              <w:pStyle w:val="TableContents"/>
              <w:widowControl w:val="false"/>
              <w:suppressLineNumbers/>
              <w:bidi w:val="0"/>
              <w:jc w:val="start"/>
              <w:rPr/>
            </w:pPr>
            <w:r>
              <w:rPr/>
              <w:t>IT and data-engineering teams</w:t>
            </w:r>
          </w:p>
        </w:tc>
      </w:tr>
      <w:tr>
        <w:trPr/>
        <w:tc>
          <w:tcPr>
            <w:tcW w:w="2161" w:type="dxa"/>
            <w:tcBorders/>
            <w:vAlign w:val="center"/>
          </w:tcPr>
          <w:p>
            <w:pPr>
              <w:pStyle w:val="TableContents"/>
              <w:widowControl w:val="false"/>
              <w:suppressLineNumbers/>
              <w:bidi w:val="0"/>
              <w:jc w:val="start"/>
              <w:rPr/>
            </w:pPr>
            <w:r>
              <w:rPr>
                <w:rStyle w:val="Strong"/>
              </w:rPr>
              <w:t>Oversight Bodies</w:t>
            </w:r>
          </w:p>
        </w:tc>
        <w:tc>
          <w:tcPr>
            <w:tcW w:w="4812" w:type="dxa"/>
            <w:tcBorders/>
            <w:vAlign w:val="center"/>
          </w:tcPr>
          <w:p>
            <w:pPr>
              <w:pStyle w:val="TableContents"/>
              <w:widowControl w:val="false"/>
              <w:suppressLineNumbers/>
              <w:bidi w:val="0"/>
              <w:jc w:val="start"/>
              <w:rPr/>
            </w:pPr>
            <w:r>
              <w:rPr/>
              <w:t>Evaluate adherence to policy and ethical standards; review audit logs and reasoning outcomes.</w:t>
            </w:r>
          </w:p>
        </w:tc>
        <w:tc>
          <w:tcPr>
            <w:tcW w:w="2999" w:type="dxa"/>
            <w:tcBorders/>
            <w:vAlign w:val="center"/>
          </w:tcPr>
          <w:p>
            <w:pPr>
              <w:pStyle w:val="TableContents"/>
              <w:widowControl w:val="false"/>
              <w:suppressLineNumbers/>
              <w:bidi w:val="0"/>
              <w:jc w:val="start"/>
              <w:rPr/>
            </w:pPr>
            <w:r>
              <w:rPr/>
              <w:t>Ethics boards, compliance offices</w:t>
            </w:r>
          </w:p>
        </w:tc>
      </w:tr>
      <w:tr>
        <w:trPr/>
        <w:tc>
          <w:tcPr>
            <w:tcW w:w="2161" w:type="dxa"/>
            <w:tcBorders/>
            <w:vAlign w:val="center"/>
          </w:tcPr>
          <w:p>
            <w:pPr>
              <w:pStyle w:val="TableContents"/>
              <w:widowControl w:val="false"/>
              <w:suppressLineNumbers/>
              <w:bidi w:val="0"/>
              <w:jc w:val="start"/>
              <w:rPr/>
            </w:pPr>
            <w:r>
              <w:rPr>
                <w:rStyle w:val="Strong"/>
              </w:rPr>
              <w:t>Stakeholders and Communities</w:t>
            </w:r>
          </w:p>
        </w:tc>
        <w:tc>
          <w:tcPr>
            <w:tcW w:w="4812" w:type="dxa"/>
            <w:tcBorders/>
            <w:vAlign w:val="center"/>
          </w:tcPr>
          <w:p>
            <w:pPr>
              <w:pStyle w:val="TableContents"/>
              <w:widowControl w:val="false"/>
              <w:suppressLineNumbers/>
              <w:bidi w:val="0"/>
              <w:jc w:val="start"/>
              <w:rPr/>
            </w:pPr>
            <w:r>
              <w:rPr/>
              <w:t>Benefit from and contribute to responsible use; provide input on how collective benefit is defined.</w:t>
            </w:r>
          </w:p>
        </w:tc>
        <w:tc>
          <w:tcPr>
            <w:tcW w:w="2999" w:type="dxa"/>
            <w:tcBorders/>
            <w:vAlign w:val="center"/>
          </w:tcPr>
          <w:p>
            <w:pPr>
              <w:pStyle w:val="TableContents"/>
              <w:widowControl w:val="false"/>
              <w:suppressLineNumbers/>
              <w:bidi w:val="0"/>
              <w:jc w:val="start"/>
              <w:rPr/>
            </w:pPr>
            <w:r>
              <w:rPr/>
              <w:t>Employees, research partners, affected communities</w:t>
            </w:r>
          </w:p>
        </w:tc>
      </w:tr>
    </w:tbl>
    <w:p>
      <w:pPr>
        <w:pStyle w:val="BodyText"/>
        <w:bidi w:val="0"/>
        <w:jc w:val="start"/>
        <w:rPr/>
      </w:pPr>
      <w:r>
        <w:rPr/>
      </w:r>
    </w:p>
    <w:p>
      <w:pPr>
        <w:pStyle w:val="BodyText"/>
        <w:bidi w:val="0"/>
        <w:jc w:val="start"/>
        <w:rPr/>
      </w:pPr>
      <w:r>
        <w:rPr/>
        <w:t>Clear role boundaries transform governance from an abstract principle into a functioning accountability system.</w:t>
      </w:r>
    </w:p>
    <w:p>
      <w:pPr>
        <w:pStyle w:val="Heading3"/>
        <w:bidi w:val="0"/>
        <w:jc w:val="start"/>
        <w:rPr/>
      </w:pPr>
      <w:r>
        <w:rPr>
          <w:rStyle w:val="Strong"/>
          <w:b/>
          <w:bCs/>
        </w:rPr>
        <w:t>7.3 Embedding CARE in Institutional Practice</w:t>
      </w:r>
    </w:p>
    <w:p>
      <w:pPr>
        <w:pStyle w:val="BodyText"/>
        <w:bidi w:val="0"/>
        <w:jc w:val="start"/>
        <w:rPr/>
      </w:pPr>
      <w:r>
        <w:rPr/>
        <w:t>CARE provides a roadmap for operationalizing ethical reasoning:</w:t>
      </w:r>
    </w:p>
    <w:p>
      <w:pPr>
        <w:pStyle w:val="BodyText"/>
        <w:numPr>
          <w:ilvl w:val="0"/>
          <w:numId w:val="14"/>
        </w:numPr>
        <w:tabs>
          <w:tab w:val="left" w:pos="709" w:leader="none"/>
        </w:tabs>
        <w:bidi w:val="0"/>
        <w:ind w:hanging="283" w:start="709"/>
        <w:jc w:val="start"/>
        <w:rPr/>
      </w:pPr>
      <w:r>
        <w:rPr>
          <w:rStyle w:val="Strong"/>
        </w:rPr>
        <w:t>Collective Benefit</w:t>
      </w:r>
      <w:r>
        <w:rPr/>
        <w:t xml:space="preserve"> — Secure reasoning must advance the organization’s mission </w:t>
      </w:r>
      <w:r>
        <w:rPr>
          <w:rStyle w:val="Emphasis"/>
        </w:rPr>
        <w:t>and</w:t>
      </w:r>
      <w:r>
        <w:rPr/>
        <w:t xml:space="preserve"> contribute to shared public good. Institutions define and measure this benefit explicitly.</w:t>
      </w:r>
    </w:p>
    <w:p>
      <w:pPr>
        <w:pStyle w:val="BodyText"/>
        <w:numPr>
          <w:ilvl w:val="0"/>
          <w:numId w:val="14"/>
        </w:numPr>
        <w:tabs>
          <w:tab w:val="left" w:pos="709" w:leader="none"/>
        </w:tabs>
        <w:bidi w:val="0"/>
        <w:ind w:hanging="283" w:start="709"/>
        <w:jc w:val="start"/>
        <w:rPr/>
      </w:pPr>
      <w:r>
        <w:rPr>
          <w:rStyle w:val="Strong"/>
        </w:rPr>
        <w:t>Authority to Control</w:t>
      </w:r>
      <w:r>
        <w:rPr/>
        <w:t xml:space="preserve"> — Custodians maintain final say over how their knowledge assets are used, including the right to revoke consent or modify conditions.</w:t>
      </w:r>
    </w:p>
    <w:p>
      <w:pPr>
        <w:pStyle w:val="BodyText"/>
        <w:numPr>
          <w:ilvl w:val="0"/>
          <w:numId w:val="14"/>
        </w:numPr>
        <w:tabs>
          <w:tab w:val="left" w:pos="709" w:leader="none"/>
        </w:tabs>
        <w:bidi w:val="0"/>
        <w:ind w:hanging="283" w:start="709"/>
        <w:jc w:val="start"/>
        <w:rPr/>
      </w:pPr>
      <w:r>
        <w:rPr>
          <w:rStyle w:val="Strong"/>
        </w:rPr>
        <w:t>Responsibility</w:t>
      </w:r>
      <w:r>
        <w:rPr/>
        <w:t xml:space="preserve"> — Every reasoning event has an accountable owner; logs and manifests identify who initiated and approved it.</w:t>
      </w:r>
    </w:p>
    <w:p>
      <w:pPr>
        <w:pStyle w:val="BodyText"/>
        <w:numPr>
          <w:ilvl w:val="0"/>
          <w:numId w:val="14"/>
        </w:numPr>
        <w:tabs>
          <w:tab w:val="left" w:pos="709" w:leader="none"/>
        </w:tabs>
        <w:bidi w:val="0"/>
        <w:ind w:hanging="283" w:start="709"/>
        <w:jc w:val="start"/>
        <w:rPr/>
      </w:pPr>
      <w:r>
        <w:rPr>
          <w:rStyle w:val="Strong"/>
        </w:rPr>
        <w:t>Ethics</w:t>
      </w:r>
      <w:r>
        <w:rPr/>
        <w:t xml:space="preserve"> — Decisions about model choice, data scope, and dissemination incorporate ethical review alongside technical validation.</w:t>
      </w:r>
    </w:p>
    <w:p>
      <w:pPr>
        <w:pStyle w:val="BodyText"/>
        <w:bidi w:val="0"/>
        <w:jc w:val="start"/>
        <w:rPr/>
      </w:pPr>
      <w:r>
        <w:rPr/>
        <w:t>By aligning institutional roles with these principles, organizations ensure that governance remains human-centered even as reasoning becomes more automated. This human-centered foundation addresses a key public concern: what remains uniquely human in an AI-assisted workplace is the capacity for judgment, accountability, and ethical interpretation.</w:t>
      </w:r>
    </w:p>
    <w:p>
      <w:pPr>
        <w:pStyle w:val="Heading3"/>
        <w:bidi w:val="0"/>
        <w:jc w:val="start"/>
        <w:rPr/>
      </w:pPr>
      <w:r>
        <w:rPr>
          <w:rStyle w:val="Strong"/>
          <w:b/>
          <w:bCs/>
        </w:rPr>
        <w:t>7.4 The Human-in-Governance Loop</w:t>
      </w:r>
    </w:p>
    <w:p>
      <w:pPr>
        <w:pStyle w:val="BodyText"/>
        <w:bidi w:val="0"/>
        <w:jc w:val="start"/>
        <w:rPr/>
      </w:pPr>
      <w:r>
        <w:rPr/>
        <w:t xml:space="preserve">Automation can enforce rules, but only humans can interpret values. Secure reasoning therefore maintains a </w:t>
      </w:r>
      <w:r>
        <w:rPr>
          <w:rStyle w:val="Emphasis"/>
        </w:rPr>
        <w:t>human-in-governance loop</w:t>
      </w:r>
      <w:r>
        <w:rPr/>
        <w:t>—a structure that keeps oversight, deliberation, and ethical judgment active.</w:t>
      </w:r>
    </w:p>
    <w:p>
      <w:pPr>
        <w:pStyle w:val="BodyText"/>
        <w:bidi w:val="0"/>
        <w:jc w:val="start"/>
        <w:rPr/>
      </w:pPr>
      <w:r>
        <w:rPr/>
        <w:t>Key mechanisms include:</w:t>
      </w:r>
    </w:p>
    <w:p>
      <w:pPr>
        <w:pStyle w:val="BodyText"/>
        <w:numPr>
          <w:ilvl w:val="0"/>
          <w:numId w:val="15"/>
        </w:numPr>
        <w:tabs>
          <w:tab w:val="left" w:pos="709" w:leader="none"/>
        </w:tabs>
        <w:bidi w:val="0"/>
        <w:ind w:hanging="283" w:start="709"/>
        <w:jc w:val="start"/>
        <w:rPr/>
      </w:pPr>
      <w:r>
        <w:rPr>
          <w:rStyle w:val="Strong"/>
        </w:rPr>
        <w:t>Governance checkpoints</w:t>
      </w:r>
      <w:r>
        <w:rPr/>
        <w:t xml:space="preserve"> before deployment and release of results.</w:t>
      </w:r>
    </w:p>
    <w:p>
      <w:pPr>
        <w:pStyle w:val="BodyText"/>
        <w:numPr>
          <w:ilvl w:val="0"/>
          <w:numId w:val="15"/>
        </w:numPr>
        <w:tabs>
          <w:tab w:val="left" w:pos="709" w:leader="none"/>
        </w:tabs>
        <w:bidi w:val="0"/>
        <w:ind w:hanging="283" w:start="709"/>
        <w:jc w:val="start"/>
        <w:rPr/>
      </w:pPr>
      <w:r>
        <w:rPr>
          <w:rStyle w:val="Strong"/>
        </w:rPr>
        <w:t>Continuous audit review</w:t>
      </w:r>
      <w:r>
        <w:rPr/>
        <w:t xml:space="preserve"> combining automated logging with human verification.</w:t>
      </w:r>
    </w:p>
    <w:p>
      <w:pPr>
        <w:pStyle w:val="BodyText"/>
        <w:numPr>
          <w:ilvl w:val="0"/>
          <w:numId w:val="15"/>
        </w:numPr>
        <w:tabs>
          <w:tab w:val="left" w:pos="709" w:leader="none"/>
        </w:tabs>
        <w:bidi w:val="0"/>
        <w:ind w:hanging="283" w:start="709"/>
        <w:jc w:val="start"/>
        <w:rPr/>
      </w:pPr>
      <w:r>
        <w:rPr>
          <w:rStyle w:val="Strong"/>
        </w:rPr>
        <w:t>Ethical escalation protocols</w:t>
      </w:r>
      <w:r>
        <w:rPr/>
        <w:t xml:space="preserve"> when reasoning results raise fairness or bias concerns.</w:t>
      </w:r>
    </w:p>
    <w:p>
      <w:pPr>
        <w:pStyle w:val="BodyText"/>
        <w:numPr>
          <w:ilvl w:val="0"/>
          <w:numId w:val="15"/>
        </w:numPr>
        <w:tabs>
          <w:tab w:val="left" w:pos="709" w:leader="none"/>
        </w:tabs>
        <w:bidi w:val="0"/>
        <w:ind w:hanging="283" w:start="709"/>
        <w:jc w:val="start"/>
        <w:rPr/>
      </w:pPr>
      <w:r>
        <w:rPr>
          <w:rStyle w:val="Strong"/>
        </w:rPr>
        <w:t>Participatory feedback loops</w:t>
      </w:r>
      <w:r>
        <w:rPr/>
        <w:t xml:space="preserve"> allowing affected stakeholders to contest or refine reasoning outputs.</w:t>
      </w:r>
    </w:p>
    <w:p>
      <w:pPr>
        <w:pStyle w:val="BodyText"/>
        <w:bidi w:val="0"/>
        <w:jc w:val="start"/>
        <w:rPr/>
      </w:pPr>
      <w:r>
        <w:rPr/>
        <w:t>These ensure that accountability evolves with the complexity of the systems themselves. Secure reasoning’s commitment to the human-in-governance loop affirms that AI’s value lies in its partnership with human discernment.</w:t>
      </w:r>
    </w:p>
    <w:p>
      <w:pPr>
        <w:pStyle w:val="Heading3"/>
        <w:bidi w:val="0"/>
        <w:jc w:val="start"/>
        <w:rPr/>
      </w:pPr>
      <w:r>
        <w:rPr>
          <w:rStyle w:val="Strong"/>
          <w:b/>
          <w:bCs/>
        </w:rPr>
        <w:t>7.5 Institutional Adoption Pathways</w:t>
      </w:r>
    </w:p>
    <w:p>
      <w:pPr>
        <w:pStyle w:val="BodyText"/>
        <w:bidi w:val="0"/>
        <w:jc w:val="start"/>
        <w:rPr/>
      </w:pPr>
      <w:r>
        <w:rPr/>
        <w:t>Introducing secure reasoning involves both cultural and procedural transformation. RKL helps partner organizations progress through four stages of adoption:</w:t>
      </w:r>
    </w:p>
    <w:p>
      <w:pPr>
        <w:pStyle w:val="BodyText"/>
        <w:numPr>
          <w:ilvl w:val="0"/>
          <w:numId w:val="16"/>
        </w:numPr>
        <w:tabs>
          <w:tab w:val="left" w:pos="709" w:leader="none"/>
        </w:tabs>
        <w:bidi w:val="0"/>
        <w:ind w:hanging="283" w:start="709"/>
        <w:jc w:val="start"/>
        <w:rPr/>
      </w:pPr>
      <w:r>
        <w:rPr>
          <w:rStyle w:val="Strong"/>
        </w:rPr>
        <w:t>Awareness</w:t>
      </w:r>
      <w:r>
        <w:rPr/>
        <w:t xml:space="preserve"> — recognizing governance and ethical challenges in current AI use.</w:t>
      </w:r>
    </w:p>
    <w:p>
      <w:pPr>
        <w:pStyle w:val="BodyText"/>
        <w:numPr>
          <w:ilvl w:val="0"/>
          <w:numId w:val="16"/>
        </w:numPr>
        <w:tabs>
          <w:tab w:val="left" w:pos="709" w:leader="none"/>
        </w:tabs>
        <w:bidi w:val="0"/>
        <w:ind w:hanging="283" w:start="709"/>
        <w:jc w:val="start"/>
        <w:rPr/>
      </w:pPr>
      <w:r>
        <w:rPr>
          <w:rStyle w:val="Strong"/>
        </w:rPr>
        <w:t>Assessment</w:t>
      </w:r>
      <w:r>
        <w:rPr/>
        <w:t xml:space="preserve"> — mapping data, information, and knowledge assets and identifying risks.</w:t>
      </w:r>
    </w:p>
    <w:p>
      <w:pPr>
        <w:pStyle w:val="BodyText"/>
        <w:numPr>
          <w:ilvl w:val="0"/>
          <w:numId w:val="16"/>
        </w:numPr>
        <w:tabs>
          <w:tab w:val="left" w:pos="709" w:leader="none"/>
        </w:tabs>
        <w:bidi w:val="0"/>
        <w:ind w:hanging="283" w:start="709"/>
        <w:jc w:val="start"/>
        <w:rPr/>
      </w:pPr>
      <w:r>
        <w:rPr>
          <w:rStyle w:val="Strong"/>
        </w:rPr>
        <w:t>Implementation</w:t>
      </w:r>
      <w:r>
        <w:rPr/>
        <w:t xml:space="preserve"> — deploying secure-reasoning tools and aligning them with institutional policy.</w:t>
      </w:r>
    </w:p>
    <w:p>
      <w:pPr>
        <w:pStyle w:val="BodyText"/>
        <w:numPr>
          <w:ilvl w:val="0"/>
          <w:numId w:val="16"/>
        </w:numPr>
        <w:tabs>
          <w:tab w:val="left" w:pos="709" w:leader="none"/>
        </w:tabs>
        <w:bidi w:val="0"/>
        <w:ind w:hanging="283" w:start="709"/>
        <w:jc w:val="start"/>
        <w:rPr/>
      </w:pPr>
      <w:r>
        <w:rPr>
          <w:rStyle w:val="Strong"/>
        </w:rPr>
        <w:t>Maturity</w:t>
      </w:r>
      <w:r>
        <w:rPr/>
        <w:t xml:space="preserve"> — integrating governance reviews, audits, and community engagement as continuous processes.</w:t>
      </w:r>
    </w:p>
    <w:p>
      <w:pPr>
        <w:pStyle w:val="BodyText"/>
        <w:bidi w:val="0"/>
        <w:jc w:val="start"/>
        <w:rPr/>
      </w:pPr>
      <w:r>
        <w:rPr/>
        <w:t>Each stage reinforces the idea that governance and ethics are not overhead—they are the infrastructure of trust.</w:t>
      </w:r>
    </w:p>
    <w:p>
      <w:pPr>
        <w:pStyle w:val="Heading3"/>
        <w:bidi w:val="0"/>
        <w:jc w:val="start"/>
        <w:rPr/>
      </w:pPr>
      <w:r>
        <w:rPr>
          <w:rStyle w:val="Strong"/>
          <w:b/>
          <w:bCs/>
        </w:rPr>
        <w:t>7.6 Benefits of Ethical Integration</w:t>
      </w:r>
    </w:p>
    <w:p>
      <w:pPr>
        <w:pStyle w:val="BodyText"/>
        <w:bidi w:val="0"/>
        <w:jc w:val="start"/>
        <w:rPr/>
      </w:pPr>
      <w:r>
        <w:rPr/>
        <w:t>Embedding secure reasoning into institutional design produces tangible outcomes:</w:t>
      </w:r>
    </w:p>
    <w:p>
      <w:pPr>
        <w:pStyle w:val="BodyText"/>
        <w:numPr>
          <w:ilvl w:val="0"/>
          <w:numId w:val="17"/>
        </w:numPr>
        <w:tabs>
          <w:tab w:val="left" w:pos="709" w:leader="none"/>
        </w:tabs>
        <w:bidi w:val="0"/>
        <w:ind w:hanging="283" w:start="709"/>
        <w:jc w:val="start"/>
        <w:rPr/>
      </w:pPr>
      <w:r>
        <w:rPr>
          <w:rStyle w:val="Strong"/>
        </w:rPr>
        <w:t>Sustained Trust</w:t>
      </w:r>
      <w:r>
        <w:rPr/>
        <w:t xml:space="preserve"> — Stakeholders understand and verify how reasoning operates.</w:t>
      </w:r>
    </w:p>
    <w:p>
      <w:pPr>
        <w:pStyle w:val="BodyText"/>
        <w:numPr>
          <w:ilvl w:val="0"/>
          <w:numId w:val="17"/>
        </w:numPr>
        <w:tabs>
          <w:tab w:val="left" w:pos="709" w:leader="none"/>
        </w:tabs>
        <w:bidi w:val="0"/>
        <w:ind w:hanging="283" w:start="709"/>
        <w:jc w:val="start"/>
        <w:rPr/>
      </w:pPr>
      <w:r>
        <w:rPr>
          <w:rStyle w:val="Strong"/>
        </w:rPr>
        <w:t>Reduced Risk</w:t>
      </w:r>
      <w:r>
        <w:rPr/>
        <w:t xml:space="preserve"> — Ethical and legal compliance become systemic rather than episodic.</w:t>
      </w:r>
    </w:p>
    <w:p>
      <w:pPr>
        <w:pStyle w:val="BodyText"/>
        <w:numPr>
          <w:ilvl w:val="0"/>
          <w:numId w:val="17"/>
        </w:numPr>
        <w:tabs>
          <w:tab w:val="left" w:pos="709" w:leader="none"/>
        </w:tabs>
        <w:bidi w:val="0"/>
        <w:ind w:hanging="283" w:start="709"/>
        <w:jc w:val="start"/>
        <w:rPr/>
      </w:pPr>
      <w:r>
        <w:rPr>
          <w:rStyle w:val="Strong"/>
        </w:rPr>
        <w:t>Operational Efficiency</w:t>
      </w:r>
      <w:r>
        <w:rPr/>
        <w:t xml:space="preserve"> — Governance structures streamline decision-making and documentation.</w:t>
      </w:r>
    </w:p>
    <w:p>
      <w:pPr>
        <w:pStyle w:val="BodyText"/>
        <w:numPr>
          <w:ilvl w:val="0"/>
          <w:numId w:val="17"/>
        </w:numPr>
        <w:tabs>
          <w:tab w:val="left" w:pos="709" w:leader="none"/>
        </w:tabs>
        <w:bidi w:val="0"/>
        <w:ind w:hanging="283" w:start="709"/>
        <w:jc w:val="start"/>
        <w:rPr/>
      </w:pPr>
      <w:r>
        <w:rPr>
          <w:rStyle w:val="Strong"/>
        </w:rPr>
        <w:t>Resilience and Continuity</w:t>
      </w:r>
      <w:r>
        <w:rPr/>
        <w:t xml:space="preserve"> — Institutional memory is preserved through auditable reasoning trails.</w:t>
      </w:r>
    </w:p>
    <w:p>
      <w:pPr>
        <w:pStyle w:val="BodyText"/>
        <w:numPr>
          <w:ilvl w:val="0"/>
          <w:numId w:val="17"/>
        </w:numPr>
        <w:tabs>
          <w:tab w:val="left" w:pos="709" w:leader="none"/>
        </w:tabs>
        <w:bidi w:val="0"/>
        <w:ind w:hanging="283" w:start="709"/>
        <w:jc w:val="start"/>
        <w:rPr/>
      </w:pPr>
      <w:r>
        <w:rPr>
          <w:rStyle w:val="Strong"/>
        </w:rPr>
        <w:t>Public Confidence</w:t>
      </w:r>
      <w:r>
        <w:rPr/>
        <w:t xml:space="preserve"> — Transparent governance demonstrates accountability to society.</w:t>
      </w:r>
    </w:p>
    <w:p>
      <w:pPr>
        <w:pStyle w:val="BodyText"/>
        <w:bidi w:val="0"/>
        <w:jc w:val="start"/>
        <w:rPr/>
      </w:pPr>
      <w:r>
        <w:rPr/>
        <w:t>These benefits make ethical integration both a moral and strategic imperative.</w:t>
      </w:r>
    </w:p>
    <w:p>
      <w:pPr>
        <w:pStyle w:val="Heading3"/>
        <w:bidi w:val="0"/>
        <w:jc w:val="start"/>
        <w:rPr/>
      </w:pPr>
      <w:r>
        <w:rPr>
          <w:rStyle w:val="Strong"/>
          <w:b/>
          <w:bCs/>
        </w:rPr>
        <w:t>7.7 RKL’s Role in Ethical Stewardship</w:t>
      </w:r>
    </w:p>
    <w:p>
      <w:pPr>
        <w:pStyle w:val="BodyText"/>
        <w:bidi w:val="0"/>
        <w:jc w:val="start"/>
        <w:rPr/>
      </w:pPr>
      <w:r>
        <w:rPr/>
        <w:t>RKL’s contribution extends beyond technical frameworks. The lab convenes experts in governance, law, ethics, and community engagement to develop shared standards and training programs for institutional partners. It promotes research on the human dimensions of secure reasoning—how organizations interpret consent, balance openness and protection, and translate CARE into policy.</w:t>
      </w:r>
    </w:p>
    <w:p>
      <w:pPr>
        <w:pStyle w:val="BodyText"/>
        <w:bidi w:val="0"/>
        <w:jc w:val="start"/>
        <w:rPr/>
      </w:pPr>
      <w:r>
        <w:rPr/>
        <w:t xml:space="preserve">Through this collaborative stewardship, RKL aims to make </w:t>
      </w:r>
      <w:r>
        <w:rPr>
          <w:rStyle w:val="Strong"/>
        </w:rPr>
        <w:t>ethical governance a default capability of AI ecosystems</w:t>
      </w:r>
      <w:r>
        <w:rPr/>
        <w:t>—AI that strengthens human institutions rather than replaces them.</w:t>
      </w:r>
    </w:p>
    <w:p>
      <w:pPr>
        <w:pStyle w:val="BodyText"/>
        <w:bidi w:val="0"/>
        <w:jc w:val="start"/>
        <w:rPr/>
      </w:pPr>
      <w:r>
        <w:rPr/>
        <w:t xml:space="preserve">The next section, </w:t>
      </w:r>
      <w:r>
        <w:rPr>
          <w:rStyle w:val="Strong"/>
        </w:rPr>
        <w:t>Demonstration Phase</w:t>
      </w:r>
      <w:r>
        <w:rPr/>
        <w:t>, describes how RKL is implementing these principles in practice—through pilot projects, toolkits, and field demonstrations that validate both the technical and ethical dimensions of secure reasoning.</w:t>
      </w:r>
    </w:p>
    <w:p>
      <w:pPr>
        <w:pStyle w:val="Heading2"/>
        <w:bidi w:val="0"/>
        <w:jc w:val="start"/>
        <w:rPr/>
      </w:pPr>
      <w:r>
        <w:rPr>
          <w:rStyle w:val="Strong"/>
          <w:b/>
          <w:bCs/>
        </w:rPr>
        <w:t>8 Demonstration Phase</w:t>
      </w:r>
    </w:p>
    <w:p>
      <w:pPr>
        <w:pStyle w:val="BodyText"/>
        <w:bidi w:val="0"/>
        <w:jc w:val="start"/>
        <w:rPr/>
      </w:pPr>
      <w:r>
        <w:rPr/>
        <w:t>RKL is in its initial demonstration phase, translating secure-reasoning theory into practical evidence through small, collaborative deployments. This work advances deliberately and sustainably—guided by a volunteer board and partner institutions who share RKL’s vision of governed, human-centered AI. The aim is not rapid scale-up but credible proofs of concept that demonstrate what secure reasoning can achieve under real institutional constraints.</w:t>
      </w:r>
    </w:p>
    <w:p>
      <w:pPr>
        <w:pStyle w:val="BodyText"/>
        <w:bidi w:val="0"/>
        <w:jc w:val="start"/>
        <w:rPr/>
      </w:pPr>
      <w:r>
        <w:rPr/>
        <w:t>RKL focuses on organizations pursuing public benefit—however they define it—and collaborates to demonstrate how secure reasoning can support responsible AI within their existing governance frameworks. These partnerships help institutions translate abstract principles into practical, governed reasoning environments that align with their missions.</w:t>
      </w:r>
    </w:p>
    <w:p>
      <w:pPr>
        <w:pStyle w:val="BodyText"/>
        <w:bidi w:val="0"/>
        <w:jc w:val="start"/>
        <w:rPr/>
      </w:pPr>
      <w:r>
        <w:rPr/>
        <w:t>The demonstration phase distinguishes between active programs that are already underway and emerging areas that chart the lab’s long-term direction. Each, in turn, reinforces RKL’s central hypothesis: that verifiable, human-centered reasoning is both technically feasible and institutionally valuable.</w:t>
      </w:r>
    </w:p>
    <w:p>
      <w:pPr>
        <w:pStyle w:val="Heading3"/>
        <w:bidi w:val="0"/>
        <w:jc w:val="start"/>
        <w:rPr/>
      </w:pPr>
      <w:r>
        <w:rPr>
          <w:rStyle w:val="Strong"/>
          <w:b/>
          <w:bCs/>
        </w:rPr>
        <w:t>8.1 Objectives</w:t>
      </w:r>
    </w:p>
    <w:p>
      <w:pPr>
        <w:pStyle w:val="BodyText"/>
        <w:numPr>
          <w:ilvl w:val="0"/>
          <w:numId w:val="18"/>
        </w:numPr>
        <w:tabs>
          <w:tab w:val="left" w:pos="709" w:leader="none"/>
        </w:tabs>
        <w:bidi w:val="0"/>
        <w:ind w:hanging="283" w:start="709"/>
        <w:jc w:val="start"/>
        <w:rPr/>
      </w:pPr>
      <w:r>
        <w:rPr>
          <w:rStyle w:val="Strong"/>
        </w:rPr>
        <w:t>Build Reference Environments</w:t>
      </w:r>
      <w:r>
        <w:rPr/>
        <w:t xml:space="preserve"> – develop reproducible secure-reasoning stacks showing complete governance loops.</w:t>
      </w:r>
    </w:p>
    <w:p>
      <w:pPr>
        <w:pStyle w:val="BodyText"/>
        <w:numPr>
          <w:ilvl w:val="0"/>
          <w:numId w:val="18"/>
        </w:numPr>
        <w:tabs>
          <w:tab w:val="left" w:pos="709" w:leader="none"/>
        </w:tabs>
        <w:bidi w:val="0"/>
        <w:ind w:hanging="283" w:start="709"/>
        <w:jc w:val="start"/>
        <w:rPr/>
      </w:pPr>
      <w:r>
        <w:rPr>
          <w:rStyle w:val="Strong"/>
        </w:rPr>
        <w:t>Validate Ethical Governance</w:t>
      </w:r>
      <w:r>
        <w:rPr/>
        <w:t xml:space="preserve"> – evaluate how CARE-aligned protocols sustain consent, accountability, and transparency.</w:t>
      </w:r>
    </w:p>
    <w:p>
      <w:pPr>
        <w:pStyle w:val="BodyText"/>
        <w:numPr>
          <w:ilvl w:val="0"/>
          <w:numId w:val="18"/>
        </w:numPr>
        <w:tabs>
          <w:tab w:val="left" w:pos="709" w:leader="none"/>
        </w:tabs>
        <w:bidi w:val="0"/>
        <w:ind w:hanging="283" w:start="709"/>
        <w:jc w:val="start"/>
        <w:rPr/>
      </w:pPr>
      <w:r>
        <w:rPr>
          <w:rStyle w:val="Strong"/>
        </w:rPr>
        <w:t>Support Knowledge Readiness</w:t>
      </w:r>
      <w:r>
        <w:rPr/>
        <w:t xml:space="preserve"> – help partners curate and document data, information, and knowledge assets for AI interaction.</w:t>
      </w:r>
    </w:p>
    <w:p>
      <w:pPr>
        <w:pStyle w:val="BodyText"/>
        <w:numPr>
          <w:ilvl w:val="0"/>
          <w:numId w:val="18"/>
        </w:numPr>
        <w:tabs>
          <w:tab w:val="left" w:pos="709" w:leader="none"/>
        </w:tabs>
        <w:bidi w:val="0"/>
        <w:ind w:hanging="283" w:start="709"/>
        <w:jc w:val="start"/>
        <w:rPr/>
      </w:pPr>
      <w:r>
        <w:rPr>
          <w:rStyle w:val="Strong"/>
        </w:rPr>
        <w:t>Establish Training and Standards</w:t>
      </w:r>
      <w:r>
        <w:rPr/>
        <w:t xml:space="preserve"> – create practical guides for auditing, attribution, and ethical review.</w:t>
      </w:r>
    </w:p>
    <w:p>
      <w:pPr>
        <w:pStyle w:val="BodyText"/>
        <w:numPr>
          <w:ilvl w:val="0"/>
          <w:numId w:val="18"/>
        </w:numPr>
        <w:tabs>
          <w:tab w:val="left" w:pos="709" w:leader="none"/>
        </w:tabs>
        <w:bidi w:val="0"/>
        <w:ind w:hanging="283" w:start="709"/>
        <w:jc w:val="start"/>
        <w:rPr/>
      </w:pPr>
      <w:r>
        <w:rPr>
          <w:rStyle w:val="Strong"/>
        </w:rPr>
        <w:t>Publish Open Artifacts</w:t>
      </w:r>
      <w:r>
        <w:rPr/>
        <w:t xml:space="preserve"> – release software, documentation, and case studies under open licenses for reuse by others.</w:t>
      </w:r>
    </w:p>
    <w:p>
      <w:pPr>
        <w:pStyle w:val="BodyText"/>
        <w:bidi w:val="0"/>
        <w:jc w:val="start"/>
        <w:rPr/>
      </w:pPr>
      <w:r>
        <w:rPr/>
        <w:t>Together, these goals move secure reasoning from concept to practice.</w:t>
      </w:r>
    </w:p>
    <w:p>
      <w:pPr>
        <w:pStyle w:val="Heading3"/>
        <w:bidi w:val="0"/>
        <w:jc w:val="start"/>
        <w:rPr/>
      </w:pPr>
      <w:r>
        <w:rPr>
          <w:rStyle w:val="Strong"/>
          <w:b/>
          <w:bCs/>
        </w:rPr>
        <w:t>8.2 Active Programs</w:t>
      </w:r>
    </w:p>
    <w:p>
      <w:pPr>
        <w:pStyle w:val="Heading4"/>
        <w:bidi w:val="0"/>
        <w:jc w:val="start"/>
        <w:rPr/>
      </w:pPr>
      <w:r>
        <w:rPr>
          <w:rStyle w:val="Strong"/>
          <w:b/>
          <w:bCs/>
        </w:rPr>
        <w:t>Open Protocols</w:t>
      </w:r>
    </w:p>
    <w:p>
      <w:pPr>
        <w:pStyle w:val="BodyText"/>
        <w:bidi w:val="0"/>
        <w:jc w:val="start"/>
        <w:rPr/>
      </w:pPr>
      <w:r>
        <w:rPr/>
        <w:t>RKL contributes to the refinement of public-interest standards—such as context-exchange and policy-aware retrieval protocols—that define how reasoning systems interact securely with governed knowledge domains.</w:t>
      </w:r>
    </w:p>
    <w:p>
      <w:pPr>
        <w:pStyle w:val="Heading4"/>
        <w:bidi w:val="0"/>
        <w:jc w:val="start"/>
        <w:rPr/>
      </w:pPr>
      <w:r>
        <w:rPr>
          <w:rStyle w:val="Strong"/>
          <w:b/>
          <w:bCs/>
        </w:rPr>
        <w:t>Reference Toolkits</w:t>
      </w:r>
    </w:p>
    <w:p>
      <w:pPr>
        <w:pStyle w:val="BodyText"/>
        <w:bidi w:val="0"/>
        <w:jc w:val="start"/>
        <w:rPr/>
      </w:pPr>
      <w:r>
        <w:rPr/>
        <w:t>Open-source adapters, audit-logging systems, and reproducible stacks that organizations can adapt, deploy, and audit. These implementations demonstrate how secure reasoning functions under local control.</w:t>
      </w:r>
    </w:p>
    <w:p>
      <w:pPr>
        <w:pStyle w:val="Heading4"/>
        <w:bidi w:val="0"/>
        <w:jc w:val="start"/>
        <w:rPr/>
      </w:pPr>
      <w:r>
        <w:rPr>
          <w:rStyle w:val="Strong"/>
          <w:b/>
          <w:bCs/>
        </w:rPr>
        <w:t>Field Pilots</w:t>
      </w:r>
    </w:p>
    <w:p>
      <w:pPr>
        <w:pStyle w:val="BodyText"/>
        <w:bidi w:val="0"/>
        <w:jc w:val="start"/>
        <w:rPr/>
      </w:pPr>
      <w:r>
        <w:rPr/>
        <w:t>Collaborations with partner organizations to test secure reasoning in real-world contexts. Current pilots focus on bridging research and institutional knowledge, validating responsible reasoning in scientific, heritage, and civic planning domains.</w:t>
      </w:r>
    </w:p>
    <w:p>
      <w:pPr>
        <w:pStyle w:val="Heading3"/>
        <w:bidi w:val="0"/>
        <w:jc w:val="start"/>
        <w:rPr/>
      </w:pPr>
      <w:r>
        <w:rPr>
          <w:rStyle w:val="Strong"/>
          <w:b/>
          <w:bCs/>
        </w:rPr>
        <w:t>8.3 Emerging Areas</w:t>
      </w:r>
    </w:p>
    <w:p>
      <w:pPr>
        <w:pStyle w:val="Heading4"/>
        <w:bidi w:val="0"/>
        <w:jc w:val="start"/>
        <w:rPr/>
      </w:pPr>
      <w:r>
        <w:rPr>
          <w:rStyle w:val="Strong"/>
          <w:b/>
          <w:bCs/>
        </w:rPr>
        <w:t>Governance Frameworks</w:t>
      </w:r>
    </w:p>
    <w:p>
      <w:pPr>
        <w:pStyle w:val="BodyText"/>
        <w:bidi w:val="0"/>
        <w:jc w:val="start"/>
        <w:rPr/>
      </w:pPr>
      <w:r>
        <w:rPr/>
        <w:t>Templates for consent, licensing, and access-control policies grounded in CARE principles. These frameworks help organizations define who can access which knowledge, under what oversight.</w:t>
      </w:r>
    </w:p>
    <w:p>
      <w:pPr>
        <w:pStyle w:val="Heading4"/>
        <w:bidi w:val="0"/>
        <w:jc w:val="start"/>
        <w:rPr/>
      </w:pPr>
      <w:r>
        <w:rPr>
          <w:rStyle w:val="Strong"/>
          <w:b/>
          <w:bCs/>
        </w:rPr>
        <w:t>Applied Research</w:t>
      </w:r>
    </w:p>
    <w:p>
      <w:pPr>
        <w:pStyle w:val="BodyText"/>
        <w:bidi w:val="0"/>
        <w:jc w:val="start"/>
        <w:rPr/>
      </w:pPr>
      <w:r>
        <w:rPr/>
        <w:t>Studies exploring how human-machine reasoning contributes to knowledge creation and decision-making. Through partnerships, RKL examines how governed reasoning enhances learning, collaboration, and trust.</w:t>
      </w:r>
    </w:p>
    <w:p>
      <w:pPr>
        <w:pStyle w:val="Heading4"/>
        <w:bidi w:val="0"/>
        <w:jc w:val="start"/>
        <w:rPr/>
      </w:pPr>
      <w:r>
        <w:rPr>
          <w:rStyle w:val="Strong"/>
          <w:b/>
          <w:bCs/>
        </w:rPr>
        <w:t>Education &amp; Outreach</w:t>
      </w:r>
    </w:p>
    <w:p>
      <w:pPr>
        <w:pStyle w:val="BodyText"/>
        <w:bidi w:val="0"/>
        <w:jc w:val="start"/>
        <w:rPr/>
      </w:pPr>
      <w:r>
        <w:rPr/>
        <w:t>Workshops and training programs that build capacity for ethical AI and knowledge governance. From introductory sessions to technical “red/blue-team” exercises, RKL helps institutions implement responsible, verifiable AI practices.</w:t>
      </w:r>
    </w:p>
    <w:p>
      <w:pPr>
        <w:pStyle w:val="Heading3"/>
        <w:bidi w:val="0"/>
        <w:jc w:val="start"/>
        <w:rPr/>
      </w:pPr>
      <w:r>
        <w:rPr>
          <w:rStyle w:val="Strong"/>
          <w:b/>
          <w:bCs/>
        </w:rPr>
        <w:t>8.4 Knowledge Readiness Program</w:t>
      </w:r>
    </w:p>
    <w:p>
      <w:pPr>
        <w:pStyle w:val="BodyText"/>
        <w:bidi w:val="0"/>
        <w:jc w:val="start"/>
        <w:rPr/>
      </w:pPr>
      <w:r>
        <w:rPr/>
        <w:t xml:space="preserve">Experience shows that many organizations are not yet ready for AI interaction: their data, information, and knowledge assets are dispersed, outdated, or undocumented. RKL assists partners in </w:t>
      </w:r>
      <w:r>
        <w:rPr>
          <w:rStyle w:val="Strong"/>
        </w:rPr>
        <w:t>knowledge curation and preparation</w:t>
      </w:r>
      <w:r>
        <w:rPr/>
        <w:t>—inventorying, tagging, and structuring holdings so they can safely engage in secure reasoning. This often becomes the first tangible benefit of collaboration: governance begins with knowing what one holds.</w:t>
      </w:r>
    </w:p>
    <w:p>
      <w:pPr>
        <w:pStyle w:val="Heading3"/>
        <w:bidi w:val="0"/>
        <w:jc w:val="start"/>
        <w:rPr/>
      </w:pPr>
      <w:r>
        <w:rPr>
          <w:rStyle w:val="Strong"/>
          <w:b/>
          <w:bCs/>
        </w:rPr>
        <w:t>8.5 Evaluation and Learning</w:t>
      </w:r>
    </w:p>
    <w:p>
      <w:pPr>
        <w:pStyle w:val="BodyText"/>
        <w:bidi w:val="0"/>
        <w:jc w:val="start"/>
        <w:rPr/>
      </w:pPr>
      <w:r>
        <w:rPr/>
        <w:t>Each initiative is assessed through three complementary lenses:</w:t>
      </w:r>
    </w:p>
    <w:p>
      <w:pPr>
        <w:pStyle w:val="BodyText"/>
        <w:numPr>
          <w:ilvl w:val="0"/>
          <w:numId w:val="19"/>
        </w:numPr>
        <w:tabs>
          <w:tab w:val="left" w:pos="709" w:leader="none"/>
        </w:tabs>
        <w:bidi w:val="0"/>
        <w:ind w:hanging="283" w:start="709"/>
        <w:jc w:val="start"/>
        <w:rPr/>
      </w:pPr>
      <w:r>
        <w:rPr>
          <w:rStyle w:val="Strong"/>
        </w:rPr>
        <w:t>Technical Performance</w:t>
      </w:r>
      <w:r>
        <w:rPr/>
        <w:t xml:space="preserve"> – accuracy, reproducibility, and security.</w:t>
      </w:r>
    </w:p>
    <w:p>
      <w:pPr>
        <w:pStyle w:val="BodyText"/>
        <w:numPr>
          <w:ilvl w:val="0"/>
          <w:numId w:val="19"/>
        </w:numPr>
        <w:tabs>
          <w:tab w:val="left" w:pos="709" w:leader="none"/>
        </w:tabs>
        <w:bidi w:val="0"/>
        <w:ind w:hanging="283" w:start="709"/>
        <w:jc w:val="start"/>
        <w:rPr/>
      </w:pPr>
      <w:r>
        <w:rPr>
          <w:rStyle w:val="Strong"/>
        </w:rPr>
        <w:t>Governance Integrity</w:t>
      </w:r>
      <w:r>
        <w:rPr/>
        <w:t xml:space="preserve"> – quality of consent records, audit completeness, and policy adherence.</w:t>
      </w:r>
    </w:p>
    <w:p>
      <w:pPr>
        <w:pStyle w:val="BodyText"/>
        <w:numPr>
          <w:ilvl w:val="0"/>
          <w:numId w:val="19"/>
        </w:numPr>
        <w:tabs>
          <w:tab w:val="left" w:pos="709" w:leader="none"/>
        </w:tabs>
        <w:bidi w:val="0"/>
        <w:ind w:hanging="283" w:start="709"/>
        <w:jc w:val="start"/>
        <w:rPr/>
      </w:pPr>
      <w:r>
        <w:rPr>
          <w:rStyle w:val="Strong"/>
        </w:rPr>
        <w:t>Institutional Impact</w:t>
      </w:r>
      <w:r>
        <w:rPr/>
        <w:t xml:space="preserve"> – improvements in decision quality, collaboration, and stakeholder trust.</w:t>
      </w:r>
    </w:p>
    <w:p>
      <w:pPr>
        <w:pStyle w:val="BodyText"/>
        <w:bidi w:val="0"/>
        <w:jc w:val="start"/>
        <w:rPr/>
      </w:pPr>
      <w:r>
        <w:rPr/>
        <w:t>Results are shared publicly through open reports and knowledge-exchange forums, reinforcing RKL’s commitment to transparency and collective learning.</w:t>
      </w:r>
    </w:p>
    <w:p>
      <w:pPr>
        <w:pStyle w:val="Heading3"/>
        <w:bidi w:val="0"/>
        <w:jc w:val="start"/>
        <w:rPr/>
      </w:pPr>
      <w:r>
        <w:rPr>
          <w:rStyle w:val="Strong"/>
          <w:b/>
          <w:bCs/>
        </w:rPr>
        <w:t>8.6 Collaboration, Compute, and Stewardship</w:t>
      </w:r>
    </w:p>
    <w:p>
      <w:pPr>
        <w:pStyle w:val="BodyText"/>
        <w:bidi w:val="0"/>
        <w:jc w:val="start"/>
        <w:rPr/>
      </w:pPr>
      <w:r>
        <w:rPr/>
        <w:t>RKL’s demonstration phase depends on partnership and shared infrastructure. The lab works with universities, agencies, and nonprofits whose missions align with public benefit. Partners contribute domain expertise and governed knowledge; RKL provides infrastructure, technical guidance, and governance design.</w:t>
      </w:r>
    </w:p>
    <w:p>
      <w:pPr>
        <w:pStyle w:val="BodyText"/>
        <w:bidi w:val="0"/>
        <w:jc w:val="start"/>
        <w:rPr/>
      </w:pPr>
      <w:r>
        <w:rPr/>
        <w:t xml:space="preserve">A key early objective is to </w:t>
      </w:r>
      <w:r>
        <w:rPr>
          <w:rStyle w:val="Strong"/>
        </w:rPr>
        <w:t>establish internal and partner-accessible compute resources</w:t>
      </w:r>
      <w:r>
        <w:rPr/>
        <w:t xml:space="preserve"> that support research, prototyping, and collaboration under RKL’s governance framework. These resources—including local servers, cloud instances, and necessary subscriptions—will host secure-reasoning environments for pilot projects and testing. Access to this governed compute will enable board members, researchers, and partner organizations to co-develop and test secure-reasoning methods directly within RKL’s ethical and technical protocols.</w:t>
      </w:r>
    </w:p>
    <w:p>
      <w:pPr>
        <w:pStyle w:val="BodyText"/>
        <w:bidi w:val="0"/>
        <w:jc w:val="start"/>
        <w:rPr/>
      </w:pPr>
      <w:r>
        <w:rPr/>
        <w:t>Through this mutual stewardship, each project strengthens the broader ecosystem for secure reasoning while building the capacity needed for long-term growth.</w:t>
      </w:r>
    </w:p>
    <w:p>
      <w:pPr>
        <w:pStyle w:val="Heading3"/>
        <w:bidi w:val="0"/>
        <w:jc w:val="start"/>
        <w:rPr/>
      </w:pPr>
      <w:r>
        <w:rPr>
          <w:rStyle w:val="Strong"/>
          <w:b/>
          <w:bCs/>
        </w:rPr>
        <w:t>8.7 Expected Outcomes</w:t>
      </w:r>
    </w:p>
    <w:p>
      <w:pPr>
        <w:pStyle w:val="BodyText"/>
        <w:bidi w:val="0"/>
        <w:jc w:val="start"/>
        <w:rPr/>
      </w:pPr>
      <w:r>
        <w:rPr/>
        <w:t>As RKL continues its demonstration work, it aims to:</w:t>
      </w:r>
    </w:p>
    <w:p>
      <w:pPr>
        <w:pStyle w:val="BodyText"/>
        <w:numPr>
          <w:ilvl w:val="0"/>
          <w:numId w:val="20"/>
        </w:numPr>
        <w:tabs>
          <w:tab w:val="left" w:pos="709" w:leader="none"/>
        </w:tabs>
        <w:bidi w:val="0"/>
        <w:ind w:hanging="283" w:start="709"/>
        <w:jc w:val="start"/>
        <w:rPr/>
      </w:pPr>
      <w:r>
        <w:rPr/>
        <w:t>Maintain a living reference implementation of secure reasoning across multiple domains.</w:t>
      </w:r>
    </w:p>
    <w:p>
      <w:pPr>
        <w:pStyle w:val="BodyText"/>
        <w:numPr>
          <w:ilvl w:val="0"/>
          <w:numId w:val="20"/>
        </w:numPr>
        <w:tabs>
          <w:tab w:val="left" w:pos="709" w:leader="none"/>
        </w:tabs>
        <w:bidi w:val="0"/>
        <w:ind w:hanging="283" w:start="709"/>
        <w:jc w:val="start"/>
        <w:rPr/>
      </w:pPr>
      <w:r>
        <w:rPr/>
        <w:t>Document verifiable CARE-aligned governance at both technical and institutional levels.</w:t>
      </w:r>
    </w:p>
    <w:p>
      <w:pPr>
        <w:pStyle w:val="BodyText"/>
        <w:numPr>
          <w:ilvl w:val="0"/>
          <w:numId w:val="20"/>
        </w:numPr>
        <w:tabs>
          <w:tab w:val="left" w:pos="709" w:leader="none"/>
        </w:tabs>
        <w:bidi w:val="0"/>
        <w:ind w:hanging="283" w:start="709"/>
        <w:jc w:val="start"/>
        <w:rPr/>
      </w:pPr>
      <w:r>
        <w:rPr/>
        <w:t>Publish open toolkits and knowledge-readiness materials.</w:t>
      </w:r>
    </w:p>
    <w:p>
      <w:pPr>
        <w:pStyle w:val="BodyText"/>
        <w:numPr>
          <w:ilvl w:val="0"/>
          <w:numId w:val="20"/>
        </w:numPr>
        <w:tabs>
          <w:tab w:val="left" w:pos="709" w:leader="none"/>
        </w:tabs>
        <w:bidi w:val="0"/>
        <w:ind w:hanging="283" w:start="709"/>
        <w:jc w:val="start"/>
        <w:rPr/>
      </w:pPr>
      <w:r>
        <w:rPr/>
        <w:t xml:space="preserve">Build the foundation for a </w:t>
      </w:r>
      <w:r>
        <w:rPr>
          <w:rStyle w:val="Strong"/>
        </w:rPr>
        <w:t>Public-Interest Compute Consortium</w:t>
      </w:r>
      <w:r>
        <w:rPr/>
        <w:t>—a federated network that extends these practices across sectors.</w:t>
      </w:r>
    </w:p>
    <w:p>
      <w:pPr>
        <w:pStyle w:val="BodyText"/>
        <w:bidi w:val="0"/>
        <w:jc w:val="start"/>
        <w:rPr/>
      </w:pPr>
      <w:r>
        <w:rPr/>
        <w:t>Progress will remain incremental, transparent, and community-driven, ensuring that RKL’s growth aligns with its values and capacity.</w:t>
      </w:r>
    </w:p>
    <w:p>
      <w:pPr>
        <w:pStyle w:val="BodyText"/>
        <w:bidi w:val="0"/>
        <w:jc w:val="start"/>
        <w:rPr/>
      </w:pPr>
      <w:r>
        <w:rPr/>
        <w:t xml:space="preserve">The next section, </w:t>
      </w:r>
      <w:r>
        <w:rPr>
          <w:rStyle w:val="Strong"/>
        </w:rPr>
        <w:t>Long-Term Vision</w:t>
      </w:r>
      <w:r>
        <w:rPr/>
        <w:t>, outlines how these demonstrations evolve into a lasting ecosystem—linking institutions through governed reasoning environments that extend trust, transparency, and collective benefit worldwide.</w:t>
      </w:r>
    </w:p>
    <w:p>
      <w:pPr>
        <w:pStyle w:val="Heading2"/>
        <w:bidi w:val="0"/>
        <w:jc w:val="start"/>
        <w:rPr/>
      </w:pPr>
      <w:r>
        <w:rPr>
          <w:rStyle w:val="Strong"/>
          <w:b/>
          <w:bCs/>
        </w:rPr>
        <w:t>9 Long-Term Vision</w:t>
      </w:r>
    </w:p>
    <w:p>
      <w:pPr>
        <w:pStyle w:val="BodyText"/>
        <w:bidi w:val="0"/>
        <w:jc w:val="start"/>
        <w:rPr/>
      </w:pPr>
      <w:r>
        <w:rPr/>
        <w:t xml:space="preserve">RKL’s long-term vision is to help build a </w:t>
      </w:r>
      <w:r>
        <w:rPr>
          <w:rStyle w:val="Strong"/>
        </w:rPr>
        <w:t>trusted, human-centered ecosystem for secure reasoning</w:t>
      </w:r>
      <w:r>
        <w:rPr/>
        <w:t>—a distributed public-interest infrastructure where institutions of every scale can use advanced AI responsibly, transparently, and under their own governance.</w:t>
        <w:br/>
        <w:t>Within this evolving ecosystem, RKL contributes through research, partnerships, and demonstration projects that model secure reasoning and CARE-aligned practice.</w:t>
      </w:r>
    </w:p>
    <w:p>
      <w:pPr>
        <w:pStyle w:val="Heading3"/>
        <w:bidi w:val="0"/>
        <w:jc w:val="start"/>
        <w:rPr/>
      </w:pPr>
      <w:r>
        <w:rPr>
          <w:rStyle w:val="Strong"/>
          <w:b/>
          <w:bCs/>
        </w:rPr>
        <w:t>9.1 Guiding Perspective</w:t>
      </w:r>
    </w:p>
    <w:p>
      <w:pPr>
        <w:pStyle w:val="BodyText"/>
        <w:bidi w:val="0"/>
        <w:jc w:val="start"/>
        <w:rPr/>
      </w:pPr>
      <w:r>
        <w:rPr/>
        <w:t xml:space="preserve">Secure reasoning is a </w:t>
      </w:r>
      <w:r>
        <w:rPr>
          <w:rStyle w:val="Strong"/>
        </w:rPr>
        <w:t>human-centered framework for collective intelligence.</w:t>
      </w:r>
      <w:r>
        <w:rPr/>
        <w:br/>
        <w:t>It treats AI as an amplifier of human insight and institutional knowledge, not a replacement for expertise.</w:t>
        <w:br/>
        <w:t>Grounded in the CARE principles—</w:t>
      </w:r>
      <w:r>
        <w:rPr>
          <w:rStyle w:val="Strong"/>
        </w:rPr>
        <w:t>Collective Benefit, Authority to Control, Responsibility, and Ethics</w:t>
      </w:r>
      <w:r>
        <w:rPr/>
        <w:t>—RKL envisions a future where AI strengthens human institutions and reinforces accountability, consent, and trust.</w:t>
      </w:r>
    </w:p>
    <w:p>
      <w:pPr>
        <w:pStyle w:val="BodyText"/>
        <w:bidi w:val="0"/>
        <w:jc w:val="start"/>
        <w:rPr/>
      </w:pPr>
      <w:r>
        <w:rPr/>
        <w:t xml:space="preserve">RKL’s contribution is to expand access to responsible AI for organizations pursuing </w:t>
      </w:r>
      <w:r>
        <w:rPr>
          <w:rStyle w:val="Strong"/>
        </w:rPr>
        <w:t>public benefit as they themselves define it</w:t>
      </w:r>
      <w:r>
        <w:rPr/>
        <w:t>.</w:t>
      </w:r>
    </w:p>
    <w:p>
      <w:pPr>
        <w:pStyle w:val="Heading3"/>
        <w:bidi w:val="0"/>
        <w:jc w:val="start"/>
        <w:rPr/>
      </w:pPr>
      <w:r>
        <w:rPr>
          <w:rStyle w:val="Strong"/>
          <w:b/>
          <w:bCs/>
        </w:rPr>
        <w:t>9.2 Role within a Public-Interest Consortium</w:t>
      </w:r>
    </w:p>
    <w:p>
      <w:pPr>
        <w:pStyle w:val="BodyText"/>
        <w:bidi w:val="0"/>
        <w:jc w:val="start"/>
        <w:rPr/>
      </w:pPr>
      <w:r>
        <w:rPr/>
        <w:t xml:space="preserve">RKL’s vision aligns with broader efforts to create a </w:t>
      </w:r>
      <w:r>
        <w:rPr>
          <w:rStyle w:val="Strong"/>
        </w:rPr>
        <w:t>Public-Interest Compute Consortium (PICC)</w:t>
      </w:r>
      <w:r>
        <w:rPr/>
        <w:t>—a federated network of universities, public agencies, nonprofits, and communities maintaining governed reasoning environments linked by open protocols.</w:t>
      </w:r>
    </w:p>
    <w:p>
      <w:pPr>
        <w:pStyle w:val="BodyText"/>
        <w:bidi w:val="0"/>
        <w:jc w:val="start"/>
        <w:rPr/>
      </w:pPr>
      <w:r>
        <w:rPr/>
        <w:t>RKL contributes by:</w:t>
      </w:r>
    </w:p>
    <w:p>
      <w:pPr>
        <w:pStyle w:val="BodyText"/>
        <w:numPr>
          <w:ilvl w:val="0"/>
          <w:numId w:val="27"/>
        </w:numPr>
        <w:tabs>
          <w:tab w:val="left" w:pos="709" w:leader="none"/>
        </w:tabs>
        <w:bidi w:val="0"/>
        <w:ind w:hanging="283" w:start="709"/>
        <w:jc w:val="start"/>
        <w:rPr/>
      </w:pPr>
      <w:r>
        <w:rPr/>
        <w:t xml:space="preserve">Demonstrating </w:t>
      </w:r>
      <w:r>
        <w:rPr>
          <w:rStyle w:val="Strong"/>
        </w:rPr>
        <w:t>Type I (CARE-Focused), Type II (Open Knowledge Sharing), and Type III (CARE-Enabled Insight Exchange)</w:t>
      </w:r>
      <w:r>
        <w:rPr/>
        <w:t xml:space="preserve"> implementations.</w:t>
      </w:r>
    </w:p>
    <w:p>
      <w:pPr>
        <w:pStyle w:val="BodyText"/>
        <w:numPr>
          <w:ilvl w:val="0"/>
          <w:numId w:val="27"/>
        </w:numPr>
        <w:tabs>
          <w:tab w:val="left" w:pos="709" w:leader="none"/>
        </w:tabs>
        <w:bidi w:val="0"/>
        <w:ind w:hanging="283" w:start="709"/>
        <w:jc w:val="start"/>
        <w:rPr/>
      </w:pPr>
      <w:r>
        <w:rPr/>
        <w:t>Sharing open standards, audit methods, and governance templates.</w:t>
      </w:r>
    </w:p>
    <w:p>
      <w:pPr>
        <w:pStyle w:val="BodyText"/>
        <w:numPr>
          <w:ilvl w:val="0"/>
          <w:numId w:val="27"/>
        </w:numPr>
        <w:tabs>
          <w:tab w:val="left" w:pos="709" w:leader="none"/>
        </w:tabs>
        <w:bidi w:val="0"/>
        <w:ind w:hanging="283" w:start="709"/>
        <w:jc w:val="start"/>
        <w:rPr/>
      </w:pPr>
      <w:r>
        <w:rPr/>
        <w:t>Providing technical and ethical expertise to partners developing secure-reasoning capabilities.</w:t>
      </w:r>
    </w:p>
    <w:p>
      <w:pPr>
        <w:pStyle w:val="BodyText"/>
        <w:numPr>
          <w:ilvl w:val="0"/>
          <w:numId w:val="27"/>
        </w:numPr>
        <w:tabs>
          <w:tab w:val="left" w:pos="709" w:leader="none"/>
        </w:tabs>
        <w:bidi w:val="0"/>
        <w:ind w:hanging="283" w:start="709"/>
        <w:jc w:val="start"/>
        <w:rPr/>
      </w:pPr>
      <w:r>
        <w:rPr/>
        <w:t>Participating in research and policy dialogues that advance public-benefit AI.</w:t>
      </w:r>
    </w:p>
    <w:p>
      <w:pPr>
        <w:pStyle w:val="BodyText"/>
        <w:bidi w:val="0"/>
        <w:jc w:val="start"/>
        <w:rPr/>
      </w:pPr>
      <w:r>
        <w:rPr/>
        <w:t>While RKL’s immediate focus is on organizations that lack the infrastructure to deploy frontier AI models locally, its open-protocol design is equally relevant to larger institutions. As AI systems continue to scale, maintaining local copies of the latest models may become prohibitively expensive and environmentally unsustainable. Even resource-rich organizations may need secure-reasoning protocols to engage responsibly with advanced AI systems while protecting their governed data and knowledge assets.</w:t>
      </w:r>
    </w:p>
    <w:p>
      <w:pPr>
        <w:pStyle w:val="BodyText"/>
        <w:bidi w:val="0"/>
        <w:jc w:val="start"/>
        <w:rPr/>
      </w:pPr>
      <w:r>
        <w:rPr/>
        <w:t>Through collaboration with other actors in this space, RKL helps shape a broader ecosystem of trustworthy reasoning.</w:t>
      </w:r>
    </w:p>
    <w:p>
      <w:pPr>
        <w:pStyle w:val="Heading3"/>
        <w:bidi w:val="0"/>
        <w:jc w:val="start"/>
        <w:rPr/>
      </w:pPr>
      <w:r>
        <w:rPr>
          <w:rStyle w:val="Strong"/>
          <w:b/>
          <w:bCs/>
        </w:rPr>
        <w:t>9.3 Sustainable Governance and Growth</w:t>
      </w:r>
    </w:p>
    <w:p>
      <w:pPr>
        <w:pStyle w:val="BodyText"/>
        <w:bidi w:val="0"/>
        <w:jc w:val="start"/>
        <w:rPr/>
      </w:pPr>
      <w:r>
        <w:rPr/>
        <w:t>RKL’s development remains lean, incremental, and partnership-based.</w:t>
        <w:br/>
        <w:t>It prioritizes shared stewardship and sustainability over expansion.</w:t>
      </w:r>
    </w:p>
    <w:p>
      <w:pPr>
        <w:pStyle w:val="BodyText"/>
        <w:bidi w:val="0"/>
        <w:jc w:val="start"/>
        <w:rPr/>
      </w:pPr>
      <w:r>
        <w:rPr/>
        <w:t>Core elements include:</w:t>
      </w:r>
    </w:p>
    <w:p>
      <w:pPr>
        <w:pStyle w:val="BodyText"/>
        <w:numPr>
          <w:ilvl w:val="0"/>
          <w:numId w:val="21"/>
        </w:numPr>
        <w:tabs>
          <w:tab w:val="left" w:pos="709" w:leader="none"/>
        </w:tabs>
        <w:bidi w:val="0"/>
        <w:ind w:hanging="283" w:start="709"/>
        <w:jc w:val="start"/>
        <w:rPr/>
      </w:pPr>
      <w:r>
        <w:rPr>
          <w:rStyle w:val="Strong"/>
        </w:rPr>
        <w:t>Federated Partnerships</w:t>
      </w:r>
      <w:r>
        <w:rPr/>
        <w:t xml:space="preserve"> — collaboration through open agreements and shared standards.</w:t>
      </w:r>
    </w:p>
    <w:p>
      <w:pPr>
        <w:pStyle w:val="BodyText"/>
        <w:numPr>
          <w:ilvl w:val="0"/>
          <w:numId w:val="21"/>
        </w:numPr>
        <w:tabs>
          <w:tab w:val="left" w:pos="709" w:leader="none"/>
        </w:tabs>
        <w:bidi w:val="0"/>
        <w:ind w:hanging="283" w:start="709"/>
        <w:jc w:val="start"/>
        <w:rPr/>
      </w:pPr>
      <w:r>
        <w:rPr>
          <w:rStyle w:val="Strong"/>
        </w:rPr>
        <w:t>Transparent Governance</w:t>
      </w:r>
      <w:r>
        <w:rPr/>
        <w:t xml:space="preserve"> — publicly available manifests and audits.</w:t>
      </w:r>
    </w:p>
    <w:p>
      <w:pPr>
        <w:pStyle w:val="BodyText"/>
        <w:numPr>
          <w:ilvl w:val="0"/>
          <w:numId w:val="21"/>
        </w:numPr>
        <w:tabs>
          <w:tab w:val="left" w:pos="709" w:leader="none"/>
        </w:tabs>
        <w:bidi w:val="0"/>
        <w:ind w:hanging="283" w:start="709"/>
        <w:jc w:val="start"/>
        <w:rPr/>
      </w:pPr>
      <w:r>
        <w:rPr>
          <w:rStyle w:val="Strong"/>
        </w:rPr>
        <w:t>Ethical Oversight</w:t>
      </w:r>
      <w:r>
        <w:rPr/>
        <w:t xml:space="preserve"> — rotating committees of domain and community representatives.</w:t>
      </w:r>
    </w:p>
    <w:p>
      <w:pPr>
        <w:pStyle w:val="BodyText"/>
        <w:numPr>
          <w:ilvl w:val="0"/>
          <w:numId w:val="21"/>
        </w:numPr>
        <w:tabs>
          <w:tab w:val="left" w:pos="709" w:leader="none"/>
        </w:tabs>
        <w:bidi w:val="0"/>
        <w:ind w:hanging="283" w:start="709"/>
        <w:jc w:val="start"/>
        <w:rPr/>
      </w:pPr>
      <w:r>
        <w:rPr>
          <w:rStyle w:val="Strong"/>
        </w:rPr>
        <w:t>Financial Sustainability</w:t>
      </w:r>
      <w:r>
        <w:rPr/>
        <w:t xml:space="preserve"> — grants, cost-sharing, and contributions aligned with mission.</w:t>
      </w:r>
    </w:p>
    <w:p>
      <w:pPr>
        <w:pStyle w:val="BodyText"/>
        <w:bidi w:val="0"/>
        <w:jc w:val="start"/>
        <w:rPr/>
      </w:pPr>
      <w:r>
        <w:rPr/>
        <w:t>This approach maintains ethical integrity while supporting steady progress.</w:t>
      </w:r>
    </w:p>
    <w:p>
      <w:pPr>
        <w:pStyle w:val="Heading3"/>
        <w:bidi w:val="0"/>
        <w:jc w:val="start"/>
        <w:rPr/>
      </w:pPr>
      <w:r>
        <w:rPr>
          <w:rStyle w:val="Strong"/>
          <w:b/>
          <w:bCs/>
        </w:rPr>
        <w:t>9.4 Expanding Impact Areas</w:t>
      </w:r>
    </w:p>
    <w:p>
      <w:pPr>
        <w:pStyle w:val="BodyText"/>
        <w:bidi w:val="0"/>
        <w:jc w:val="start"/>
        <w:rPr/>
      </w:pPr>
      <w:r>
        <w:rPr/>
        <w:t>As capacity grows, RKL seeks to extend secure reasoning to additional domains demonstrating social and public value:</w:t>
      </w:r>
    </w:p>
    <w:p>
      <w:pPr>
        <w:pStyle w:val="BodyText"/>
        <w:numPr>
          <w:ilvl w:val="0"/>
          <w:numId w:val="22"/>
        </w:numPr>
        <w:tabs>
          <w:tab w:val="left" w:pos="709" w:leader="none"/>
        </w:tabs>
        <w:bidi w:val="0"/>
        <w:ind w:hanging="283" w:start="709"/>
        <w:jc w:val="start"/>
        <w:rPr/>
      </w:pPr>
      <w:r>
        <w:rPr>
          <w:rStyle w:val="Strong"/>
        </w:rPr>
        <w:t>Environmental Monitoring and Climate Adaptation</w:t>
      </w:r>
      <w:r>
        <w:rPr/>
        <w:t xml:space="preserve"> — enabling collaboration across local and national levels while preserving data sovereignty.</w:t>
      </w:r>
    </w:p>
    <w:p>
      <w:pPr>
        <w:pStyle w:val="BodyText"/>
        <w:numPr>
          <w:ilvl w:val="0"/>
          <w:numId w:val="22"/>
        </w:numPr>
        <w:tabs>
          <w:tab w:val="left" w:pos="709" w:leader="none"/>
        </w:tabs>
        <w:bidi w:val="0"/>
        <w:ind w:hanging="283" w:start="709"/>
        <w:jc w:val="start"/>
        <w:rPr/>
      </w:pPr>
      <w:r>
        <w:rPr>
          <w:rStyle w:val="Strong"/>
        </w:rPr>
        <w:t>Public Health and Safety</w:t>
      </w:r>
      <w:r>
        <w:rPr/>
        <w:t xml:space="preserve"> — reasoning across distributed, protected information for policy without exposing personal records.</w:t>
      </w:r>
    </w:p>
    <w:p>
      <w:pPr>
        <w:pStyle w:val="BodyText"/>
        <w:numPr>
          <w:ilvl w:val="0"/>
          <w:numId w:val="22"/>
        </w:numPr>
        <w:tabs>
          <w:tab w:val="left" w:pos="709" w:leader="none"/>
        </w:tabs>
        <w:bidi w:val="0"/>
        <w:ind w:hanging="283" w:start="709"/>
        <w:jc w:val="start"/>
        <w:rPr/>
      </w:pPr>
      <w:r>
        <w:rPr>
          <w:rStyle w:val="Strong"/>
        </w:rPr>
        <w:t>Cultural Heritage and Knowledge Preservation</w:t>
      </w:r>
      <w:r>
        <w:rPr/>
        <w:t xml:space="preserve"> — empowering communities to manage and share heritage information under their own authority.</w:t>
      </w:r>
    </w:p>
    <w:p>
      <w:pPr>
        <w:pStyle w:val="BodyText"/>
        <w:numPr>
          <w:ilvl w:val="0"/>
          <w:numId w:val="22"/>
        </w:numPr>
        <w:tabs>
          <w:tab w:val="left" w:pos="709" w:leader="none"/>
        </w:tabs>
        <w:bidi w:val="0"/>
        <w:ind w:hanging="283" w:start="709"/>
        <w:jc w:val="start"/>
        <w:rPr/>
      </w:pPr>
      <w:r>
        <w:rPr>
          <w:rStyle w:val="Strong"/>
        </w:rPr>
        <w:t>Education and Research Infrastructure</w:t>
      </w:r>
      <w:r>
        <w:rPr/>
        <w:t xml:space="preserve"> — providing governed reasoning sandboxes for students and researchers.</w:t>
      </w:r>
    </w:p>
    <w:p>
      <w:pPr>
        <w:pStyle w:val="BodyText"/>
        <w:numPr>
          <w:ilvl w:val="0"/>
          <w:numId w:val="22"/>
        </w:numPr>
        <w:tabs>
          <w:tab w:val="left" w:pos="709" w:leader="none"/>
        </w:tabs>
        <w:bidi w:val="0"/>
        <w:ind w:hanging="283" w:start="709"/>
        <w:jc w:val="start"/>
        <w:rPr/>
      </w:pPr>
      <w:r>
        <w:rPr>
          <w:rStyle w:val="Strong"/>
        </w:rPr>
        <w:t>Civic Planning and Administration</w:t>
      </w:r>
      <w:r>
        <w:rPr/>
        <w:t xml:space="preserve"> — supporting evidence-based policy under transparent, auditable governance.</w:t>
      </w:r>
    </w:p>
    <w:p>
      <w:pPr>
        <w:pStyle w:val="BodyText"/>
        <w:bidi w:val="0"/>
        <w:jc w:val="start"/>
        <w:rPr/>
      </w:pPr>
      <w:r>
        <w:rPr/>
        <w:t>These areas demonstrate secure reasoning’s potential to generate measurable public benefit.</w:t>
      </w:r>
    </w:p>
    <w:p>
      <w:pPr>
        <w:pStyle w:val="Heading3"/>
        <w:bidi w:val="0"/>
        <w:jc w:val="start"/>
        <w:rPr/>
      </w:pPr>
      <w:r>
        <w:rPr>
          <w:rStyle w:val="Strong"/>
          <w:b/>
          <w:bCs/>
        </w:rPr>
        <w:t>9.5 Sustainability and Social Responsibility</w:t>
      </w:r>
    </w:p>
    <w:p>
      <w:pPr>
        <w:pStyle w:val="BodyText"/>
        <w:bidi w:val="0"/>
        <w:jc w:val="start"/>
        <w:rPr/>
      </w:pPr>
      <w:r>
        <w:rPr/>
        <w:t xml:space="preserve">Secure reasoning also encourages reflection on the </w:t>
      </w:r>
      <w:r>
        <w:rPr>
          <w:rStyle w:val="Strong"/>
        </w:rPr>
        <w:t>social and environmental footprint</w:t>
      </w:r>
      <w:r>
        <w:rPr/>
        <w:t xml:space="preserve"> of AI.</w:t>
        <w:br/>
        <w:t>Centralized data-center architectures consume vast energy and concentrate control, while local reasoning and organizational sovereignty can encourage more efficient, mission-aligned use of compute resources.</w:t>
      </w:r>
    </w:p>
    <w:p>
      <w:pPr>
        <w:pStyle w:val="BodyText"/>
        <w:bidi w:val="0"/>
        <w:jc w:val="start"/>
        <w:rPr/>
      </w:pPr>
      <w:r>
        <w:rPr>
          <w:rStyle w:val="Strong"/>
        </w:rPr>
        <w:t>While still an open area of study, this sustainability perspective reinforces RKL’s commitment to collective benefit:</w:t>
      </w:r>
      <w:r>
        <w:rPr/>
        <w:t xml:space="preserve"> responsible AI must serve people today </w:t>
      </w:r>
      <w:r>
        <w:rPr>
          <w:rStyle w:val="Emphasis"/>
        </w:rPr>
        <w:t>without compromising the needs of future generations.</w:t>
      </w:r>
      <w:r>
        <w:rPr/>
        <w:br/>
        <w:t xml:space="preserve">If advanced reasoning helps organizations use data more effectively and reduce unnecessary centralization, it could become a technology that helps society balance the </w:t>
      </w:r>
      <w:r>
        <w:rPr>
          <w:rStyle w:val="Strong"/>
        </w:rPr>
        <w:t>sustainability trilemma</w:t>
      </w:r>
      <w:r>
        <w:rPr/>
        <w:t>—economic viability, social equity, and environmental protection.</w:t>
      </w:r>
    </w:p>
    <w:p>
      <w:pPr>
        <w:pStyle w:val="Heading3"/>
        <w:bidi w:val="0"/>
        <w:jc w:val="start"/>
        <w:rPr/>
      </w:pPr>
      <w:r>
        <w:rPr>
          <w:rStyle w:val="Strong"/>
          <w:b/>
          <w:bCs/>
        </w:rPr>
        <w:t>9.6 Measuring Progress</w:t>
      </w:r>
    </w:p>
    <w:p>
      <w:pPr>
        <w:pStyle w:val="BodyText"/>
        <w:bidi w:val="0"/>
        <w:jc w:val="start"/>
        <w:rPr/>
      </w:pPr>
      <w:r>
        <w:rPr/>
        <w:t>RKL considers progress in terms of contribution and learning rather than scale:</w:t>
      </w:r>
    </w:p>
    <w:p>
      <w:pPr>
        <w:pStyle w:val="BodyText"/>
        <w:numPr>
          <w:ilvl w:val="0"/>
          <w:numId w:val="32"/>
        </w:numPr>
        <w:tabs>
          <w:tab w:val="left" w:pos="709" w:leader="none"/>
        </w:tabs>
        <w:bidi w:val="0"/>
        <w:ind w:hanging="283" w:start="709"/>
        <w:jc w:val="start"/>
        <w:rPr/>
      </w:pPr>
      <w:r>
        <w:rPr>
          <w:rStyle w:val="Strong"/>
        </w:rPr>
        <w:t>Adoption and Diversity</w:t>
      </w:r>
      <w:r>
        <w:rPr/>
        <w:t xml:space="preserve"> — the range of institutions applying secure-reasoning principles.</w:t>
      </w:r>
    </w:p>
    <w:p>
      <w:pPr>
        <w:pStyle w:val="BodyText"/>
        <w:numPr>
          <w:ilvl w:val="0"/>
          <w:numId w:val="32"/>
        </w:numPr>
        <w:tabs>
          <w:tab w:val="left" w:pos="709" w:leader="none"/>
        </w:tabs>
        <w:bidi w:val="0"/>
        <w:ind w:hanging="283" w:start="709"/>
        <w:jc w:val="start"/>
        <w:rPr/>
      </w:pPr>
      <w:r>
        <w:rPr>
          <w:rStyle w:val="Strong"/>
        </w:rPr>
        <w:t>Governance Integrity</w:t>
      </w:r>
      <w:r>
        <w:rPr/>
        <w:t xml:space="preserve"> — evidence of CARE-aligned policy enforcement.</w:t>
      </w:r>
    </w:p>
    <w:p>
      <w:pPr>
        <w:pStyle w:val="BodyText"/>
        <w:numPr>
          <w:ilvl w:val="0"/>
          <w:numId w:val="32"/>
        </w:numPr>
        <w:tabs>
          <w:tab w:val="left" w:pos="709" w:leader="none"/>
        </w:tabs>
        <w:bidi w:val="0"/>
        <w:ind w:hanging="283" w:start="709"/>
        <w:jc w:val="start"/>
        <w:rPr/>
      </w:pPr>
      <w:r>
        <w:rPr>
          <w:rStyle w:val="Strong"/>
        </w:rPr>
        <w:t>Knowledge Readiness</w:t>
      </w:r>
      <w:r>
        <w:rPr/>
        <w:t xml:space="preserve"> — improvements in partners’ ability to curate and govern their assets.</w:t>
      </w:r>
    </w:p>
    <w:p>
      <w:pPr>
        <w:pStyle w:val="BodyText"/>
        <w:numPr>
          <w:ilvl w:val="0"/>
          <w:numId w:val="32"/>
        </w:numPr>
        <w:tabs>
          <w:tab w:val="left" w:pos="709" w:leader="none"/>
        </w:tabs>
        <w:bidi w:val="0"/>
        <w:ind w:hanging="283" w:start="709"/>
        <w:jc w:val="start"/>
        <w:rPr/>
      </w:pPr>
      <w:r>
        <w:rPr>
          <w:rStyle w:val="Strong"/>
        </w:rPr>
        <w:t>Human Engagement</w:t>
      </w:r>
      <w:r>
        <w:rPr/>
        <w:t xml:space="preserve"> — how reasoning augments, not replaces, human decision-making.</w:t>
      </w:r>
    </w:p>
    <w:p>
      <w:pPr>
        <w:pStyle w:val="BodyText"/>
        <w:numPr>
          <w:ilvl w:val="0"/>
          <w:numId w:val="32"/>
        </w:numPr>
        <w:tabs>
          <w:tab w:val="left" w:pos="709" w:leader="none"/>
        </w:tabs>
        <w:bidi w:val="0"/>
        <w:ind w:hanging="283" w:start="709"/>
        <w:jc w:val="start"/>
        <w:rPr/>
      </w:pPr>
      <w:r>
        <w:rPr>
          <w:rStyle w:val="Strong"/>
        </w:rPr>
        <w:t>Efficiency and Impact</w:t>
      </w:r>
      <w:r>
        <w:rPr/>
        <w:t xml:space="preserve"> — evidence that more efficient, locally governed reasoning helps mitigate the social and environmental costs of large-scale AI infrastructure </w:t>
      </w:r>
      <w:r>
        <w:rPr>
          <w:rStyle w:val="Strong"/>
        </w:rPr>
        <w:t>(including its broader social and environmental dimensions).</w:t>
      </w:r>
    </w:p>
    <w:p>
      <w:pPr>
        <w:pStyle w:val="BodyText"/>
        <w:bidi w:val="0"/>
        <w:jc w:val="start"/>
        <w:rPr/>
      </w:pPr>
      <w:r>
        <w:rPr/>
        <w:t>These measures link ethical, institutional, and sustainability outcomes into one continuum of accountability.</w:t>
      </w:r>
    </w:p>
    <w:p>
      <w:pPr>
        <w:pStyle w:val="Heading3"/>
        <w:bidi w:val="0"/>
        <w:jc w:val="start"/>
        <w:rPr/>
      </w:pPr>
      <w:r>
        <w:rPr>
          <w:rStyle w:val="Strong"/>
          <w:b/>
          <w:bCs/>
        </w:rPr>
        <w:t>9.7 Commitments Going Forward</w:t>
      </w:r>
    </w:p>
    <w:p>
      <w:pPr>
        <w:pStyle w:val="BodyText"/>
        <w:bidi w:val="0"/>
        <w:jc w:val="start"/>
        <w:rPr/>
      </w:pPr>
      <w:r>
        <w:rPr/>
        <w:t>RKL’s enduring commitments are to:</w:t>
      </w:r>
    </w:p>
    <w:p>
      <w:pPr>
        <w:pStyle w:val="BodyText"/>
        <w:numPr>
          <w:ilvl w:val="0"/>
          <w:numId w:val="23"/>
        </w:numPr>
        <w:tabs>
          <w:tab w:val="left" w:pos="709" w:leader="none"/>
        </w:tabs>
        <w:bidi w:val="0"/>
        <w:ind w:hanging="283" w:start="709"/>
        <w:jc w:val="start"/>
        <w:rPr/>
      </w:pPr>
      <w:r>
        <w:rPr>
          <w:rStyle w:val="Strong"/>
        </w:rPr>
        <w:t>Open Infrastructure</w:t>
      </w:r>
      <w:r>
        <w:rPr/>
        <w:t xml:space="preserve"> — keeping core protocols and reference tools openly documented.</w:t>
      </w:r>
    </w:p>
    <w:p>
      <w:pPr>
        <w:pStyle w:val="BodyText"/>
        <w:numPr>
          <w:ilvl w:val="0"/>
          <w:numId w:val="23"/>
        </w:numPr>
        <w:tabs>
          <w:tab w:val="left" w:pos="709" w:leader="none"/>
        </w:tabs>
        <w:bidi w:val="0"/>
        <w:ind w:hanging="283" w:start="709"/>
        <w:jc w:val="start"/>
        <w:rPr/>
      </w:pPr>
      <w:r>
        <w:rPr>
          <w:rStyle w:val="Strong"/>
        </w:rPr>
        <w:t>Ethical Leadership</w:t>
      </w:r>
      <w:r>
        <w:rPr/>
        <w:t xml:space="preserve"> — maintaining CARE principles as design and governance guides.</w:t>
      </w:r>
    </w:p>
    <w:p>
      <w:pPr>
        <w:pStyle w:val="BodyText"/>
        <w:numPr>
          <w:ilvl w:val="0"/>
          <w:numId w:val="23"/>
        </w:numPr>
        <w:tabs>
          <w:tab w:val="left" w:pos="709" w:leader="none"/>
        </w:tabs>
        <w:bidi w:val="0"/>
        <w:ind w:hanging="283" w:start="709"/>
        <w:jc w:val="start"/>
        <w:rPr/>
      </w:pPr>
      <w:r>
        <w:rPr>
          <w:rStyle w:val="Strong"/>
        </w:rPr>
        <w:t>Human-Centered Innovation</w:t>
      </w:r>
      <w:r>
        <w:rPr/>
        <w:t xml:space="preserve"> — ensuring AI enhances, not replaces, human insight.</w:t>
      </w:r>
    </w:p>
    <w:p>
      <w:pPr>
        <w:pStyle w:val="BodyText"/>
        <w:numPr>
          <w:ilvl w:val="0"/>
          <w:numId w:val="23"/>
        </w:numPr>
        <w:tabs>
          <w:tab w:val="left" w:pos="709" w:leader="none"/>
        </w:tabs>
        <w:bidi w:val="0"/>
        <w:ind w:hanging="283" w:start="709"/>
        <w:jc w:val="start"/>
        <w:rPr/>
      </w:pPr>
      <w:r>
        <w:rPr>
          <w:rStyle w:val="Strong"/>
        </w:rPr>
        <w:t>Community Stewardship</w:t>
      </w:r>
      <w:r>
        <w:rPr/>
        <w:t xml:space="preserve"> — growing through equitable partnership and shared benefit.</w:t>
      </w:r>
    </w:p>
    <w:p>
      <w:pPr>
        <w:pStyle w:val="BodyText"/>
        <w:numPr>
          <w:ilvl w:val="0"/>
          <w:numId w:val="23"/>
        </w:numPr>
        <w:tabs>
          <w:tab w:val="left" w:pos="709" w:leader="none"/>
        </w:tabs>
        <w:bidi w:val="0"/>
        <w:ind w:hanging="283" w:start="709"/>
        <w:jc w:val="start"/>
        <w:rPr/>
      </w:pPr>
      <w:r>
        <w:rPr>
          <w:rStyle w:val="Strong"/>
        </w:rPr>
        <w:t>Sustainability</w:t>
      </w:r>
      <w:r>
        <w:rPr/>
        <w:t xml:space="preserve"> — embedding resource efficiency and long-term responsibility into every initiative.</w:t>
      </w:r>
    </w:p>
    <w:p>
      <w:pPr>
        <w:pStyle w:val="Heading3"/>
        <w:bidi w:val="0"/>
        <w:jc w:val="start"/>
        <w:rPr/>
      </w:pPr>
      <w:r>
        <w:rPr>
          <w:rStyle w:val="Strong"/>
          <w:b/>
          <w:bCs/>
        </w:rPr>
        <w:t>9.8 The Vision Ahead</w:t>
      </w:r>
    </w:p>
    <w:p>
      <w:pPr>
        <w:pStyle w:val="BodyText"/>
        <w:bidi w:val="0"/>
        <w:jc w:val="start"/>
        <w:rPr/>
      </w:pPr>
      <w:r>
        <w:rPr/>
        <w:t>RKL envisions contributing to a federated network of governed reasoning environments that extend trust, transparency, and collective benefit across disciplines and communities.</w:t>
        <w:br/>
        <w:t xml:space="preserve">By advancing ethical frameworks, open protocols, and examples of CARE-aligned practice, RKL supports the emergence of an </w:t>
      </w:r>
      <w:r>
        <w:rPr>
          <w:rStyle w:val="Strong"/>
        </w:rPr>
        <w:t>AI ecosystem accountable to human values and planetary limits.</w:t>
      </w:r>
    </w:p>
    <w:p>
      <w:pPr>
        <w:pStyle w:val="BodyText"/>
        <w:bidi w:val="0"/>
        <w:jc w:val="start"/>
        <w:rPr/>
      </w:pPr>
      <w:r>
        <w:rPr/>
        <w:t xml:space="preserve">Secure reasoning, in this vision, becomes a </w:t>
      </w:r>
      <w:r>
        <w:rPr>
          <w:rStyle w:val="Strong"/>
        </w:rPr>
        <w:t>shared civic capability</w:t>
      </w:r>
      <w:r>
        <w:rPr/>
        <w:t>—a means for institutions and societies to use intelligence responsibly, sustainably, and under their own control.</w:t>
      </w:r>
    </w:p>
    <w:p>
      <w:pPr>
        <w:pStyle w:val="BodyText"/>
        <w:bidi w:val="0"/>
        <w:jc w:val="start"/>
        <w:rPr/>
      </w:pPr>
      <w:r>
        <w:rPr/>
        <w:t xml:space="preserve">The concluding section, </w:t>
      </w:r>
      <w:r>
        <w:rPr>
          <w:rStyle w:val="Strong"/>
        </w:rPr>
        <w:t>Conclusion</w:t>
      </w:r>
      <w:r>
        <w:rPr/>
        <w:t>, summarizes how secure reasoning unites governance, ethics, sustainability, and human purpose into a coherent framework for trustworthy AI.</w:t>
      </w:r>
    </w:p>
    <w:p>
      <w:pPr>
        <w:pStyle w:val="Heading2"/>
        <w:bidi w:val="0"/>
        <w:jc w:val="start"/>
        <w:rPr/>
      </w:pPr>
      <w:r>
        <w:rPr>
          <w:rStyle w:val="Strong"/>
          <w:b/>
          <w:bCs/>
        </w:rPr>
        <w:t>10 Conclusion</w:t>
      </w:r>
    </w:p>
    <w:p>
      <w:pPr>
        <w:pStyle w:val="BodyText"/>
        <w:bidi w:val="0"/>
        <w:jc w:val="start"/>
        <w:rPr/>
      </w:pPr>
      <w:r>
        <w:rPr/>
        <w:t>Secure reasoning represents a new foundation for how artificial intelligence interacts with the world’s knowledge. It brings governance to the reasoning process itself—ensuring that every analysis, retrieval, or inference occurs under explicit consent, transparent authority, and verifiable accountability.</w:t>
      </w:r>
    </w:p>
    <w:p>
      <w:pPr>
        <w:pStyle w:val="BodyText"/>
        <w:bidi w:val="0"/>
        <w:jc w:val="start"/>
        <w:rPr/>
      </w:pPr>
      <w:r>
        <w:rPr/>
        <w:t xml:space="preserve">RKL’s contribution is to demonstrate that </w:t>
      </w:r>
      <w:r>
        <w:rPr>
          <w:rStyle w:val="Strong"/>
        </w:rPr>
        <w:t>governance, ethics, and innovation can coexist.</w:t>
      </w:r>
      <w:r>
        <w:rPr/>
        <w:br/>
        <w:t>By embedding CARE—</w:t>
      </w:r>
      <w:r>
        <w:rPr>
          <w:rStyle w:val="Emphasis"/>
        </w:rPr>
        <w:t>Collective Benefit, Authority to Control, Responsibility, and Ethics</w:t>
      </w:r>
      <w:r>
        <w:rPr/>
        <w:t>—into both technology and institutional design, RKL helps organizations transform AI from an external service into an accountable partner.</w:t>
      </w:r>
    </w:p>
    <w:p>
      <w:pPr>
        <w:pStyle w:val="Heading3"/>
        <w:bidi w:val="0"/>
        <w:jc w:val="start"/>
        <w:rPr/>
      </w:pPr>
      <w:r>
        <w:rPr>
          <w:rStyle w:val="Strong"/>
          <w:b/>
          <w:bCs/>
        </w:rPr>
        <w:t>10.1 Reframing the Role of AI</w:t>
      </w:r>
    </w:p>
    <w:p>
      <w:pPr>
        <w:pStyle w:val="BodyText"/>
        <w:bidi w:val="0"/>
        <w:jc w:val="start"/>
        <w:rPr/>
      </w:pPr>
      <w:r>
        <w:rPr/>
        <w:t xml:space="preserve">For institutions, the challenge of AI is not simply access to capability but </w:t>
      </w:r>
      <w:r>
        <w:rPr>
          <w:rStyle w:val="Strong"/>
        </w:rPr>
        <w:t>alignment with purpose.</w:t>
      </w:r>
      <w:r>
        <w:rPr/>
        <w:br/>
        <w:t xml:space="preserve">Secure reasoning reframes AI as a system that </w:t>
      </w:r>
      <w:r>
        <w:rPr>
          <w:rStyle w:val="Emphasis"/>
        </w:rPr>
        <w:t>amplifies</w:t>
      </w:r>
      <w:r>
        <w:rPr/>
        <w:t xml:space="preserve"> human expertise rather than replacing it.</w:t>
        <w:br/>
        <w:t>When reasoning is governed, auditable, and human-interpreted, organizations regain confidence in how insights are produced and applied.</w:t>
        <w:br/>
        <w:t>The outcome is not automation for its own sake but a more resilient form of collective intelligence.</w:t>
      </w:r>
    </w:p>
    <w:p>
      <w:pPr>
        <w:pStyle w:val="Heading3"/>
        <w:bidi w:val="0"/>
        <w:jc w:val="start"/>
        <w:rPr/>
      </w:pPr>
      <w:r>
        <w:rPr>
          <w:rStyle w:val="Strong"/>
          <w:b/>
          <w:bCs/>
        </w:rPr>
        <w:t>10.2 Building a Culture of Trust</w:t>
      </w:r>
    </w:p>
    <w:p>
      <w:pPr>
        <w:pStyle w:val="BodyText"/>
        <w:bidi w:val="0"/>
        <w:jc w:val="start"/>
        <w:rPr/>
      </w:pPr>
      <w:r>
        <w:rPr/>
        <w:t xml:space="preserve">Trust in AI cannot be legislated or outsourced—it must be </w:t>
      </w:r>
      <w:r>
        <w:rPr>
          <w:rStyle w:val="Strong"/>
        </w:rPr>
        <w:t>designed and practiced.</w:t>
      </w:r>
      <w:r>
        <w:rPr/>
        <w:br/>
        <w:t>RKL’s framework converts abstract principles into daily operations:</w:t>
      </w:r>
    </w:p>
    <w:p>
      <w:pPr>
        <w:pStyle w:val="BodyText"/>
        <w:numPr>
          <w:ilvl w:val="0"/>
          <w:numId w:val="24"/>
        </w:numPr>
        <w:tabs>
          <w:tab w:val="left" w:pos="709" w:leader="none"/>
        </w:tabs>
        <w:bidi w:val="0"/>
        <w:ind w:hanging="283" w:start="709"/>
        <w:jc w:val="start"/>
        <w:rPr/>
      </w:pPr>
      <w:r>
        <w:rPr/>
        <w:t>Governance manifests instead of disclaimers.</w:t>
      </w:r>
    </w:p>
    <w:p>
      <w:pPr>
        <w:pStyle w:val="BodyText"/>
        <w:numPr>
          <w:ilvl w:val="0"/>
          <w:numId w:val="24"/>
        </w:numPr>
        <w:tabs>
          <w:tab w:val="left" w:pos="709" w:leader="none"/>
        </w:tabs>
        <w:bidi w:val="0"/>
        <w:ind w:hanging="283" w:start="709"/>
        <w:jc w:val="start"/>
        <w:rPr/>
      </w:pPr>
      <w:r>
        <w:rPr/>
        <w:t>Audit trails instead of assumptions.</w:t>
      </w:r>
    </w:p>
    <w:p>
      <w:pPr>
        <w:pStyle w:val="BodyText"/>
        <w:numPr>
          <w:ilvl w:val="0"/>
          <w:numId w:val="24"/>
        </w:numPr>
        <w:tabs>
          <w:tab w:val="left" w:pos="709" w:leader="none"/>
        </w:tabs>
        <w:bidi w:val="0"/>
        <w:ind w:hanging="283" w:start="709"/>
        <w:jc w:val="start"/>
        <w:rPr/>
      </w:pPr>
      <w:r>
        <w:rPr/>
        <w:t>Human oversight instead of blind automation.</w:t>
      </w:r>
    </w:p>
    <w:p>
      <w:pPr>
        <w:pStyle w:val="BodyText"/>
        <w:bidi w:val="0"/>
        <w:jc w:val="start"/>
        <w:rPr/>
      </w:pPr>
      <w:r>
        <w:rPr/>
        <w:t>Institutions adopting secure reasoning demonstrate to their communities that ethical stewardship and technical excellence are mutually reinforcing.</w:t>
      </w:r>
    </w:p>
    <w:p>
      <w:pPr>
        <w:pStyle w:val="Heading3"/>
        <w:bidi w:val="0"/>
        <w:jc w:val="start"/>
        <w:rPr/>
      </w:pPr>
      <w:r>
        <w:rPr>
          <w:rStyle w:val="Strong"/>
          <w:b/>
          <w:bCs/>
        </w:rPr>
        <w:t>10.3 From Infrastructure to Ecosystem</w:t>
      </w:r>
    </w:p>
    <w:p>
      <w:pPr>
        <w:pStyle w:val="BodyText"/>
        <w:bidi w:val="0"/>
        <w:jc w:val="start"/>
        <w:rPr/>
      </w:pPr>
      <w:r>
        <w:rPr/>
        <w:t xml:space="preserve">The demonstration phase is only </w:t>
      </w:r>
      <w:r>
        <w:rPr>
          <w:rStyle w:val="Strong"/>
          <w:b w:val="false"/>
          <w:bCs w:val="false"/>
        </w:rPr>
        <w:t>the</w:t>
      </w:r>
      <w:r>
        <w:rPr>
          <w:b/>
          <w:bCs/>
        </w:rPr>
        <w:t xml:space="preserve"> </w:t>
      </w:r>
      <w:r>
        <w:rPr/>
        <w:t xml:space="preserve">beginning. Each pilot, toolkit, and partnership contributes to a broader ecosystem of secure reasoning—an open, federated model in which many actors share methods, protocols, and values. RKL’s role within this ecosystem is to </w:t>
      </w:r>
      <w:r>
        <w:rPr>
          <w:rStyle w:val="Strong"/>
        </w:rPr>
        <w:t>model practical CARE-aligned implementations</w:t>
      </w:r>
      <w:r>
        <w:rPr/>
        <w:t xml:space="preserve"> and to expand responsible access to AI for organizations pursuing public benefit on their own terms.</w:t>
      </w:r>
    </w:p>
    <w:p>
      <w:pPr>
        <w:pStyle w:val="Heading3"/>
        <w:bidi w:val="0"/>
        <w:jc w:val="start"/>
        <w:rPr/>
      </w:pPr>
      <w:r>
        <w:rPr>
          <w:rStyle w:val="Strong"/>
          <w:b/>
          <w:bCs/>
        </w:rPr>
        <w:t>10.4 Human and Planetary Stewardship</w:t>
      </w:r>
    </w:p>
    <w:p>
      <w:pPr>
        <w:pStyle w:val="BodyText"/>
        <w:bidi w:val="0"/>
        <w:jc w:val="start"/>
        <w:rPr/>
      </w:pPr>
      <w:r>
        <w:rPr/>
        <w:t xml:space="preserve">Responsible AI must serve people today </w:t>
      </w:r>
      <w:r>
        <w:rPr>
          <w:rStyle w:val="Emphasis"/>
        </w:rPr>
        <w:t>without compromising the needs of future generations.</w:t>
      </w:r>
      <w:r>
        <w:rPr/>
        <w:t xml:space="preserve"> RKL believes that the recent advances in natural language interaction and machine reasoning may become among the defining technologies of our time—tools that, if governed responsibly, can help future generations not only sustain but thrive. By promoting locally governed, efficient reasoning, RKL and its partners explore how organizational sovereignty can reduce unnecessary centralization and its social and environmental costs. Secure reasoning thus contributes not only to ethical governance but also to the broader pursuit of sustainability—helping society balance technological progress with economic viability, social equity, and ecological responsibility.</w:t>
      </w:r>
    </w:p>
    <w:p>
      <w:pPr>
        <w:pStyle w:val="Heading3"/>
        <w:bidi w:val="0"/>
        <w:jc w:val="start"/>
        <w:rPr/>
      </w:pPr>
      <w:r>
        <w:rPr>
          <w:rStyle w:val="Strong"/>
          <w:b/>
          <w:bCs/>
        </w:rPr>
        <w:t>10.5 Looking Forward</w:t>
      </w:r>
    </w:p>
    <w:p>
      <w:pPr>
        <w:pStyle w:val="BodyText"/>
        <w:bidi w:val="0"/>
        <w:jc w:val="start"/>
        <w:rPr/>
      </w:pPr>
      <w:r>
        <w:rPr/>
        <w:t xml:space="preserve">RKL envisions a future in which </w:t>
      </w:r>
      <w:r>
        <w:rPr>
          <w:rStyle w:val="Strong"/>
        </w:rPr>
        <w:t>secure reasoning becomes a civic capability</w:t>
      </w:r>
      <w:r>
        <w:rPr/>
        <w:t>—available to any institution that values transparency, accountability, and human judgment.</w:t>
        <w:br/>
        <w:t>Through open infrastructure, ethical design, and cooperative learning, secure reasoning can anchor a generation of AI systems that are worthy of the trust they demand.</w:t>
      </w:r>
    </w:p>
    <w:p>
      <w:pPr>
        <w:pStyle w:val="BodyText"/>
        <w:bidi w:val="0"/>
        <w:jc w:val="start"/>
        <w:rPr/>
      </w:pPr>
      <w:r>
        <w:rPr/>
        <w:t>In that future, intelligence—human and artificial—works together under shared governance to advance knowledge responsibly, sustainably, and for the collective benefit of all.</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2"/>
        <w:bidi w:val="0"/>
        <w:jc w:val="start"/>
        <w:rPr/>
      </w:pPr>
      <w:r>
        <w:rPr>
          <w:rStyle w:val="Strong"/>
          <w:b/>
          <w:bCs/>
        </w:rPr>
        <w:t>Acknowledgments</w:t>
      </w:r>
    </w:p>
    <w:p>
      <w:pPr>
        <w:pStyle w:val="BodyText"/>
        <w:bidi w:val="0"/>
        <w:jc w:val="start"/>
        <w:rPr/>
      </w:pPr>
      <w:r>
        <w:rPr/>
        <w:t>The Resonant Knowledge Lab (RKL) extends sincere appreciation to its volunteer board, collaborators, and early partners who have contributed ideas and feedback shaping this white paper. Their insight, experience, and steady engagement have strengthened the clarity, ethical grounding, and practical focus of RKL’s work on secure reasoning.</w:t>
      </w:r>
    </w:p>
    <w:p>
      <w:pPr>
        <w:pStyle w:val="BodyText"/>
        <w:bidi w:val="0"/>
        <w:jc w:val="start"/>
        <w:rPr/>
      </w:pPr>
      <w:r>
        <w:rPr/>
        <w:t xml:space="preserve">RKL also acknowledges the </w:t>
      </w:r>
      <w:r>
        <w:rPr>
          <w:rStyle w:val="Strong"/>
        </w:rPr>
        <w:t>Global Indigenous Data Alliance (GIDA)</w:t>
      </w:r>
      <w:r>
        <w:rPr/>
        <w:t xml:space="preserve"> for articulating the </w:t>
      </w:r>
      <w:r>
        <w:rPr>
          <w:rStyle w:val="Strong"/>
        </w:rPr>
        <w:t>CARE Principles for Indigenous Data Governance</w:t>
      </w:r>
      <w:r>
        <w:rPr/>
        <w:t>, which provide the ethical foundation for this framework. RKL applies these principles respectfully to broader contexts, recognizing their origins in Indigenous data sovereignty and their enduring relevance to all forms of governed knowledge.</w:t>
      </w:r>
    </w:p>
    <w:p>
      <w:pPr>
        <w:pStyle w:val="BodyText"/>
        <w:bidi w:val="0"/>
        <w:jc w:val="start"/>
        <w:rPr/>
      </w:pPr>
      <w:r>
        <w:rPr/>
        <w:t xml:space="preserve">This document was produced through a combination of human authorship and </w:t>
      </w:r>
      <w:r>
        <w:rPr>
          <w:rStyle w:val="Strong"/>
        </w:rPr>
        <w:t>AI-assisted drafting and editing</w:t>
      </w:r>
      <w:r>
        <w:rPr/>
        <w:t xml:space="preserve"> using OpenAI’s ChatGPT (GPT-5). All ideas, structure, and final content were developed under human direction and editorial oversight. RKL discloses this collaboration as part of its commitment to transparency and to modeling responsible human–AI co-production in research and writing.</w:t>
      </w:r>
    </w:p>
    <w:p>
      <w:pPr>
        <w:pStyle w:val="BodyText"/>
        <w:bidi w:val="0"/>
        <w:jc w:val="start"/>
        <w:rPr/>
      </w:pPr>
      <w:r>
        <w:rPr/>
        <w:t>Special thanks are due to colleagues and reviewers who offered critical perspective on governance, sustainability, and institutional design—helping ensure that the framework for secure reasoning reflects both technical feasibility and human-centered values.</w:t>
      </w:r>
    </w:p>
    <w:p>
      <w:pPr>
        <w:pStyle w:val="BodyText"/>
        <w:bidi w:val="0"/>
        <w:jc w:val="start"/>
        <w:rPr/>
      </w:pPr>
      <w:r>
        <w:rPr/>
        <w:t>This white paper is the product of collective reflection and open collaboration. While responsibility for its content rests with RKL, the lab recognizes the broader community of thinkers and practitioners advancing ethical, transparent, and sustainable approaches to artificial intelligence.</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2"/>
        <w:bidi w:val="0"/>
        <w:jc w:val="start"/>
        <w:rPr/>
      </w:pPr>
      <w:r>
        <w:rPr>
          <w:rStyle w:val="Strong"/>
          <w:b/>
          <w:bCs/>
        </w:rPr>
        <w:t>About Resonant Knowledge Lab</w:t>
      </w:r>
    </w:p>
    <w:p>
      <w:pPr>
        <w:pStyle w:val="BodyText"/>
        <w:bidi w:val="0"/>
        <w:jc w:val="start"/>
        <w:rPr/>
      </w:pPr>
      <w:r>
        <w:rPr>
          <w:rStyle w:val="Strong"/>
        </w:rPr>
        <w:t>Resonant Knowledge Lab (RKL)</w:t>
      </w:r>
      <w:r>
        <w:rPr/>
        <w:t xml:space="preserve"> is a nonprofit research and implementation organization based in Virginia, USA. The lab develops open, verifiable infrastructure that enables people and institutions to use advanced AI reasoning systems responsibly, transparently, and under their own governance.</w:t>
      </w:r>
    </w:p>
    <w:p>
      <w:pPr>
        <w:pStyle w:val="BodyText"/>
        <w:bidi w:val="0"/>
        <w:jc w:val="start"/>
        <w:rPr/>
      </w:pPr>
      <w:r>
        <w:rPr/>
        <w:t xml:space="preserve">RKL’s mission is to advance </w:t>
      </w:r>
      <w:r>
        <w:rPr>
          <w:rStyle w:val="Strong"/>
        </w:rPr>
        <w:t>secure reasoning</w:t>
      </w:r>
      <w:r>
        <w:rPr/>
        <w:t xml:space="preserve">—an approach that embeds governance, consent, and accountability directly into the reasoning process of artificial intelligence. Guided by the </w:t>
      </w:r>
      <w:r>
        <w:rPr>
          <w:rStyle w:val="Strong"/>
        </w:rPr>
        <w:t>CARE Principles for Indigenous Data Governance</w:t>
      </w:r>
      <w:r>
        <w:rPr/>
        <w:t xml:space="preserve"> (Global Indigenous Data Alliance, 2019), RKL applies these values of </w:t>
      </w:r>
      <w:r>
        <w:rPr>
          <w:rStyle w:val="Strong"/>
        </w:rPr>
        <w:t>Collective Benefit, Authority to Control, Responsibility, and Ethics</w:t>
      </w:r>
      <w:r>
        <w:rPr/>
        <w:t xml:space="preserve"> to a broad range of organizational and community knowledge contexts.</w:t>
      </w:r>
    </w:p>
    <w:p>
      <w:pPr>
        <w:pStyle w:val="BodyText"/>
        <w:bidi w:val="0"/>
        <w:jc w:val="start"/>
        <w:rPr/>
      </w:pPr>
      <w:r>
        <w:rPr/>
        <w:t xml:space="preserve">The lab operates through partnerships across research, public, and civic sectors, helping organizations become </w:t>
      </w:r>
      <w:r>
        <w:rPr>
          <w:rStyle w:val="Strong"/>
        </w:rPr>
        <w:t>knowledge-ready</w:t>
      </w:r>
      <w:r>
        <w:rPr/>
        <w:t xml:space="preserve"> for responsible AI use. RKL’s work integrates ethics, technology, and institutional design to demonstrate that governance and innovation can coexist, and that AI can strengthen, rather than replace, human expertise.</w:t>
      </w:r>
    </w:p>
    <w:p>
      <w:pPr>
        <w:pStyle w:val="BodyText"/>
        <w:bidi w:val="0"/>
        <w:jc w:val="start"/>
        <w:rPr/>
      </w:pPr>
      <w:r>
        <w:rPr/>
        <w:t>RKL is governed by a volunteer board and sustained through collaboration, grants, and shared infrastructure initiatives. Its long-term vision is to contribute to a federated, public-interest ecosystem for secure reasoning—where institutions of every scale can engage frontier AI confidently, accountably, and for the collective good.</w:t>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Heading2"/>
        <w:bidi w:val="0"/>
        <w:jc w:val="start"/>
        <w:rPr/>
      </w:pPr>
      <w:r>
        <w:rPr>
          <w:rStyle w:val="Strong"/>
          <w:b/>
          <w:bCs/>
        </w:rPr>
        <w:t>References / Further Reading</w:t>
      </w:r>
    </w:p>
    <w:p>
      <w:pPr>
        <w:pStyle w:val="BodyText"/>
        <w:bidi w:val="0"/>
        <w:jc w:val="start"/>
        <w:rPr/>
      </w:pPr>
      <w:r>
        <w:rPr>
          <w:rStyle w:val="Strong"/>
        </w:rPr>
        <w:t>Note:</w:t>
      </w:r>
      <w:r>
        <w:rPr/>
        <w:t xml:space="preserve"> This reference list was </w:t>
      </w:r>
      <w:r>
        <w:rPr>
          <w:rStyle w:val="Strong"/>
        </w:rPr>
        <w:t>AI-generated using verified, publicly available sources</w:t>
      </w:r>
      <w:r>
        <w:rPr/>
        <w:t xml:space="preserve"> and is </w:t>
      </w:r>
      <w:r>
        <w:rPr>
          <w:rStyle w:val="Strong"/>
        </w:rPr>
        <w:t>pending full human review and validation</w:t>
      </w:r>
      <w:r>
        <w:rPr/>
        <w:t xml:space="preserve"> by RKL’s board and contributors before final publication. All entries have been checked for authenticity and relevance to the topics of governance, ethics, sustainability, and AI accountability.</w:t>
      </w:r>
    </w:p>
    <w:p>
      <w:pPr>
        <w:pStyle w:val="BodyText"/>
        <w:bidi w:val="0"/>
        <w:jc w:val="start"/>
        <w:rPr/>
      </w:pPr>
      <w:r>
        <w:rPr/>
      </w:r>
    </w:p>
    <w:p>
      <w:pPr>
        <w:pStyle w:val="BodyText"/>
        <w:bidi w:val="0"/>
        <w:jc w:val="start"/>
        <w:rPr/>
      </w:pPr>
      <w:r>
        <w:rPr/>
        <w:t xml:space="preserve">Bender, E. M., Gebru, T., McMillan-Major, A., &amp; Shmitchell, S. (2021). </w:t>
      </w:r>
      <w:r>
        <w:rPr>
          <w:rStyle w:val="Emphasis"/>
        </w:rPr>
        <w:t>On the dangers of stochastic parrots: Can language models be too big?</w:t>
      </w:r>
      <w:r>
        <w:rPr/>
        <w:t xml:space="preserve"> In </w:t>
      </w:r>
      <w:r>
        <w:rPr>
          <w:rStyle w:val="Emphasis"/>
        </w:rPr>
        <w:t>Proceedings of the 2021 ACM Conference on Fairness, Accountability, and Transparency</w:t>
      </w:r>
      <w:r>
        <w:rPr/>
        <w:t xml:space="preserve"> (pp. 610–623). New York: Association for Computing Machinery. https://doi.org/10.1145/3442188.3445922</w:t>
      </w:r>
    </w:p>
    <w:p>
      <w:pPr>
        <w:pStyle w:val="BodyText"/>
        <w:bidi w:val="0"/>
        <w:jc w:val="start"/>
        <w:rPr/>
      </w:pPr>
      <w:r>
        <w:rPr/>
        <w:t xml:space="preserve">European Commission, High-Level Expert Group on Artificial Intelligence. (2019). </w:t>
      </w:r>
      <w:r>
        <w:rPr>
          <w:rStyle w:val="Emphasis"/>
        </w:rPr>
        <w:t>Ethics guidelines for trustworthy AI.</w:t>
      </w:r>
      <w:r>
        <w:rPr/>
        <w:t xml:space="preserve"> Brussels: European Commission. Retrieved from </w:t>
      </w:r>
      <w:hyperlink r:id="rId4" w:tgtFrame="_new">
        <w:r>
          <w:rPr>
            <w:rStyle w:val="Hyperlink"/>
          </w:rPr>
          <w:t>https://digital-strategy.ec.europa.eu/en/library/ethics-guidelines-trustworthy-ai</w:t>
        </w:r>
      </w:hyperlink>
    </w:p>
    <w:p>
      <w:pPr>
        <w:pStyle w:val="BodyText"/>
        <w:bidi w:val="0"/>
        <w:jc w:val="start"/>
        <w:rPr/>
      </w:pPr>
      <w:r>
        <w:rPr/>
        <w:t xml:space="preserve">Floridi, L., &amp; Cowls, J. (2019). </w:t>
      </w:r>
      <w:r>
        <w:rPr>
          <w:rStyle w:val="Emphasis"/>
        </w:rPr>
        <w:t>A unified framework of five principles for AI in society.</w:t>
      </w:r>
      <w:r>
        <w:rPr/>
        <w:t xml:space="preserve"> </w:t>
      </w:r>
      <w:r>
        <w:rPr>
          <w:rStyle w:val="Emphasis"/>
        </w:rPr>
        <w:t>Harvard Data Science Review</w:t>
      </w:r>
      <w:r>
        <w:rPr/>
        <w:t>, 1(1). https://doi.org/10.1162/99608f92.8cd550d1</w:t>
      </w:r>
    </w:p>
    <w:p>
      <w:pPr>
        <w:pStyle w:val="BodyText"/>
        <w:bidi w:val="0"/>
        <w:jc w:val="start"/>
        <w:rPr/>
      </w:pPr>
      <w:r>
        <w:rPr/>
        <w:t xml:space="preserve">Global Indigenous Data Alliance. (2019). </w:t>
      </w:r>
      <w:r>
        <w:rPr>
          <w:rStyle w:val="Emphasis"/>
        </w:rPr>
        <w:t>CARE Principles for Indigenous Data Governance.</w:t>
      </w:r>
      <w:r>
        <w:rPr/>
        <w:t xml:space="preserve"> Tucson, AZ: GIDA. Retrieved from </w:t>
      </w:r>
      <w:hyperlink r:id="rId5" w:tgtFrame="_new">
        <w:r>
          <w:rPr>
            <w:rStyle w:val="Hyperlink"/>
          </w:rPr>
          <w:t>https://www.gida-global.org/care</w:t>
        </w:r>
      </w:hyperlink>
    </w:p>
    <w:p>
      <w:pPr>
        <w:pStyle w:val="BodyText"/>
        <w:bidi w:val="0"/>
        <w:jc w:val="start"/>
        <w:rPr/>
      </w:pPr>
      <w:r>
        <w:rPr/>
        <w:t xml:space="preserve">National Institute of Standards and Technology. (2023). </w:t>
      </w:r>
      <w:r>
        <w:rPr>
          <w:rStyle w:val="Emphasis"/>
        </w:rPr>
        <w:t>Artificial Intelligence Risk Management Framework (AI RMF 1.0).</w:t>
      </w:r>
      <w:r>
        <w:rPr/>
        <w:t xml:space="preserve"> Gaithersburg, MD: U.S. Department of Commerce. Retrieved from </w:t>
      </w:r>
      <w:hyperlink r:id="rId6" w:tgtFrame="_new">
        <w:r>
          <w:rPr>
            <w:rStyle w:val="Hyperlink"/>
          </w:rPr>
          <w:t>https://www.nist.gov/itl/ai-risk-management-framework</w:t>
        </w:r>
      </w:hyperlink>
    </w:p>
    <w:p>
      <w:pPr>
        <w:pStyle w:val="BodyText"/>
        <w:bidi w:val="0"/>
        <w:jc w:val="start"/>
        <w:rPr/>
      </w:pPr>
      <w:r>
        <w:rPr/>
        <w:t xml:space="preserve">National Science Foundation. (2023). </w:t>
      </w:r>
      <w:r>
        <w:rPr>
          <w:rStyle w:val="Emphasis"/>
        </w:rPr>
        <w:t>Safe, secure, and trustworthy AI: Report to the National Science Board.</w:t>
      </w:r>
      <w:r>
        <w:rPr/>
        <w:t xml:space="preserve"> Arlington, VA: U.S. NSF. Retrieved from https://nsf.gov/nsb/publications/2023/safe-secure-trustworthy-ai.jsp</w:t>
      </w:r>
    </w:p>
    <w:p>
      <w:pPr>
        <w:pStyle w:val="BodyText"/>
        <w:bidi w:val="0"/>
        <w:jc w:val="start"/>
        <w:rPr/>
      </w:pPr>
      <w:r>
        <w:rPr/>
        <w:t xml:space="preserve">United Nations Environment Programme. (2022). </w:t>
      </w:r>
      <w:r>
        <w:rPr>
          <w:rStyle w:val="Emphasis"/>
        </w:rPr>
        <w:t>Sustainability and digital transformation: A global survey.</w:t>
      </w:r>
      <w:r>
        <w:rPr/>
        <w:t xml:space="preserve"> Nairobi: UNEP. Retrieved from https://www.unep.org/resources/report/sustainability-and-digital-transformation-global-survey</w:t>
      </w:r>
    </w:p>
    <w:p>
      <w:pPr>
        <w:pStyle w:val="BodyText"/>
        <w:bidi w:val="0"/>
        <w:jc w:val="start"/>
        <w:rPr/>
      </w:pPr>
      <w:r>
        <w:rPr/>
        <w:t xml:space="preserve">United Nations World Commission on Environment and Development. (1987). </w:t>
      </w:r>
      <w:r>
        <w:rPr>
          <w:rStyle w:val="Emphasis"/>
        </w:rPr>
        <w:t>Our common future (Brundtland Report).</w:t>
      </w:r>
      <w:r>
        <w:rPr/>
        <w:t xml:space="preserve"> Oxford: Oxford University Press.</w:t>
      </w:r>
    </w:p>
    <w:p>
      <w:pPr>
        <w:pStyle w:val="BodyText"/>
        <w:bidi w:val="0"/>
        <w:jc w:val="start"/>
        <w:rPr/>
      </w:pPr>
      <w:r>
        <w:rPr/>
        <w:t xml:space="preserve">UNESCO. (2021). </w:t>
      </w:r>
      <w:r>
        <w:rPr>
          <w:rStyle w:val="Emphasis"/>
        </w:rPr>
        <w:t>Recommendation on the ethics of artificial intelligence.</w:t>
      </w:r>
      <w:r>
        <w:rPr/>
        <w:t xml:space="preserve"> Paris: UNESCO. Retrieved from https://unesdoc.unesco.org/ark:/48223/pf0000379920</w:t>
      </w:r>
    </w:p>
    <w:p>
      <w:pPr>
        <w:pStyle w:val="BodyText"/>
        <w:bidi w:val="0"/>
        <w:jc w:val="start"/>
        <w:rPr/>
      </w:pPr>
      <w:r>
        <w:rPr/>
        <w:t xml:space="preserve">U.S. Department of Energy. (2023). </w:t>
      </w:r>
      <w:r>
        <w:rPr>
          <w:rStyle w:val="Emphasis"/>
        </w:rPr>
        <w:t>Energy and environmental implications of artificial intelligence.</w:t>
      </w:r>
      <w:r>
        <w:rPr/>
        <w:t xml:space="preserve"> Washington, D.C.: DOE Office of Policy. Retrieved from </w:t>
      </w:r>
      <w:hyperlink r:id="rId7">
        <w:r>
          <w:rPr>
            <w:rStyle w:val="Hyperlink"/>
          </w:rPr>
          <w:t>https://www.energy.gov/policy/articles/energy-and-environmental-implications-artificial-intelligence</w:t>
        </w:r>
      </w:hyperlink>
    </w:p>
    <w:p>
      <w:pPr>
        <w:pStyle w:val="Heading2"/>
        <w:bidi w:val="0"/>
        <w:jc w:val="start"/>
        <w:rPr>
          <w:rStyle w:val="Strong"/>
          <w:b/>
          <w:bCs/>
        </w:rPr>
      </w:pPr>
      <w:r>
        <w:rPr/>
      </w:r>
    </w:p>
    <w:p>
      <w:pPr>
        <w:pStyle w:val="Heading2"/>
        <w:bidi w:val="0"/>
        <w:jc w:val="start"/>
        <w:rPr/>
      </w:pPr>
      <w:r>
        <w:rPr>
          <w:rStyle w:val="Strong"/>
          <w:b/>
          <w:bCs/>
        </w:rPr>
        <w:t>Version and Review Statement</w:t>
      </w:r>
    </w:p>
    <w:p>
      <w:pPr>
        <w:pStyle w:val="BodyText"/>
        <w:bidi w:val="0"/>
        <w:spacing w:lineRule="auto" w:line="240" w:before="0" w:after="0"/>
        <w:jc w:val="start"/>
        <w:rPr/>
      </w:pPr>
      <w:r>
        <w:rPr/>
        <w:t xml:space="preserve">This document represents </w:t>
      </w:r>
      <w:r>
        <w:rPr>
          <w:rStyle w:val="Strong"/>
        </w:rPr>
        <w:t>Version 1.0 (October 2025)</w:t>
      </w:r>
      <w:r>
        <w:rPr/>
        <w:t xml:space="preserve"> of the </w:t>
      </w:r>
      <w:r>
        <w:rPr>
          <w:rStyle w:val="Emphasis"/>
        </w:rPr>
        <w:t>Resonant Knowledge Lab Secure Reasoning White Paper</w:t>
      </w:r>
      <w:r>
        <w:rPr/>
        <w:t>.</w:t>
      </w:r>
    </w:p>
    <w:p>
      <w:pPr>
        <w:pStyle w:val="BodyText"/>
        <w:bidi w:val="0"/>
        <w:spacing w:lineRule="auto" w:line="240" w:before="0" w:after="0"/>
        <w:jc w:val="start"/>
        <w:rPr/>
      </w:pPr>
      <w:r>
        <w:rPr/>
        <w:br/>
        <w:t>It was produced collaboratively by the Resonant Knowledge Lab (RKL) board and contributors, with AI-assisted drafting and editing using OpenAI’s ChatGPT (GPT-5). All ideas, structure, and final content were developed under human direction and editorial oversight.</w:t>
      </w:r>
    </w:p>
    <w:p>
      <w:pPr>
        <w:pStyle w:val="BodyText"/>
        <w:bidi w:val="0"/>
        <w:spacing w:lineRule="auto" w:line="240" w:before="0" w:after="0"/>
        <w:jc w:val="start"/>
        <w:rPr/>
      </w:pPr>
      <w:r>
        <w:rPr/>
      </w:r>
    </w:p>
    <w:p>
      <w:pPr>
        <w:pStyle w:val="BodyText"/>
        <w:bidi w:val="0"/>
        <w:spacing w:lineRule="auto" w:line="240" w:before="0" w:after="0"/>
        <w:jc w:val="start"/>
        <w:rPr/>
      </w:pPr>
      <w:r>
        <w:rPr/>
        <w:t xml:space="preserve">This version has been verified for factual accuracy and ethical alignment to the best of RKL’s capacity as of publication. The </w:t>
      </w:r>
      <w:r>
        <w:rPr>
          <w:rStyle w:val="Strong"/>
        </w:rPr>
        <w:t>References / Further Reading</w:t>
      </w:r>
      <w:r>
        <w:rPr/>
        <w:t xml:space="preserve"> section was AI-generated using verified, publicly available sources and is </w:t>
      </w:r>
      <w:r>
        <w:rPr>
          <w:rStyle w:val="Strong"/>
        </w:rPr>
        <w:t>pending full human review and approval</w:t>
      </w:r>
      <w:r>
        <w:rPr/>
        <w:t xml:space="preserve"> by RKL’s board prior to final publication.</w:t>
      </w:r>
    </w:p>
    <w:p>
      <w:pPr>
        <w:pStyle w:val="BodyText"/>
        <w:bidi w:val="0"/>
        <w:spacing w:lineRule="auto" w:line="240" w:before="0" w:after="0"/>
        <w:jc w:val="start"/>
        <w:rPr/>
      </w:pPr>
      <w:r>
        <w:rPr/>
      </w:r>
    </w:p>
    <w:p>
      <w:pPr>
        <w:pStyle w:val="BodyText"/>
        <w:bidi w:val="0"/>
        <w:spacing w:lineRule="auto" w:line="240" w:before="0" w:after="0"/>
        <w:jc w:val="start"/>
        <w:rPr/>
      </w:pPr>
      <w:r>
        <w:rPr/>
        <w:t>Future versions will incorporate feedback, new research, and lessons from RKL’s demonstration projects.</w:t>
      </w:r>
    </w:p>
    <w:p>
      <w:pPr>
        <w:pStyle w:val="BodyText"/>
        <w:bidi w:val="0"/>
        <w:spacing w:lineRule="auto" w:line="240" w:before="0" w:after="0"/>
        <w:jc w:val="start"/>
        <w:rPr/>
      </w:pPr>
      <w:r>
        <w:rPr/>
        <w:br/>
        <w:t xml:space="preserve">For comments, citations, or partnership inquiries, please contact </w:t>
      </w:r>
      <w:hyperlink r:id="rId8">
        <w:r>
          <w:rPr>
            <w:rStyle w:val="Hyperlink"/>
            <w:b/>
            <w:bCs/>
          </w:rPr>
          <w:t>info@resonantknowledgelab.org</w:t>
        </w:r>
      </w:hyperlink>
      <w:r>
        <w:rPr/>
        <w:t xml:space="preserve"> or visit </w:t>
      </w:r>
      <w:hyperlink r:id="rId9" w:tgtFrame="_new">
        <w:r>
          <w:rPr>
            <w:rStyle w:val="Hyperlink"/>
            <w:b/>
            <w:bCs/>
          </w:rPr>
          <w:t>https://resonantknowledgelab.org</w:t>
        </w:r>
      </w:hyperlink>
      <w:r>
        <w:rPr/>
        <w:t>.</w:t>
      </w:r>
    </w:p>
    <w:p>
      <w:pPr>
        <w:pStyle w:val="BodyText"/>
        <w:bidi w:val="0"/>
        <w:spacing w:lineRule="auto" w:line="240" w:before="0" w:after="0"/>
        <w:jc w:val="start"/>
        <w:rPr>
          <w:rStyle w:val="Strong"/>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resonantknowledgelab.org" TargetMode="External"/><Relationship Id="rId3" Type="http://schemas.openxmlformats.org/officeDocument/2006/relationships/hyperlink" Target="https://resonantknowledgelab.org/" TargetMode="External"/><Relationship Id="rId4" Type="http://schemas.openxmlformats.org/officeDocument/2006/relationships/hyperlink" Target="https://digital-strategy.ec.europa.eu/en/library/ethics-guidelines-trustworthy-ai" TargetMode="External"/><Relationship Id="rId5" Type="http://schemas.openxmlformats.org/officeDocument/2006/relationships/hyperlink" Target="https://www.gida-global.org/care" TargetMode="External"/><Relationship Id="rId6" Type="http://schemas.openxmlformats.org/officeDocument/2006/relationships/hyperlink" Target="https://www.nist.gov/itl/ai-risk-management-framework" TargetMode="External"/><Relationship Id="rId7" Type="http://schemas.openxmlformats.org/officeDocument/2006/relationships/hyperlink" Target="https://www.energy.gov/policy/articles/energy-and-environmental-implications-artificial-intelligence" TargetMode="External"/><Relationship Id="rId8" Type="http://schemas.openxmlformats.org/officeDocument/2006/relationships/hyperlink" Target="mailto:info@resonantknowledgelab.org" TargetMode="External"/><Relationship Id="rId9" Type="http://schemas.openxmlformats.org/officeDocument/2006/relationships/hyperlink" Target="https://resonantknowledgelab.org/"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256</TotalTime>
  <Application>LibreOffice/24.2.7.2$Linux_X86_64 LibreOffice_project/420$Build-2</Application>
  <AppVersion>15.0000</AppVersion>
  <Pages>30</Pages>
  <Words>8684</Words>
  <Characters>58834</Characters>
  <CharactersWithSpaces>67001</CharactersWithSpaces>
  <Paragraphs>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2025-10-31T07:48:04Z</dcterms:created>
  <dc:creator/>
  <dc:description/>
  <dc:language>en-US</dc:language>
  <cp:lastModifiedBy/>
  <dcterms:modified xsi:type="dcterms:W3CDTF">2025-10-31T12:50:03Z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