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1. The Challenge: Data-Rich, Knowledge-Constrained</w:t>
      </w:r>
    </w:p>
    <w:p>
      <w:pPr>
        <w:pStyle w:val="BodyText"/>
        <w:bidi w:val="0"/>
        <w:spacing w:lineRule="auto" w:line="276" w:before="0" w:after="140"/>
        <w:jc w:val="start"/>
        <w:rPr/>
      </w:pPr>
      <w:r>
        <w:rPr/>
        <w:t xml:space="preserve">Across research, public, and civic sectors, organizations recognize that advanced AI reasoning could help them interpret complex </w:t>
      </w:r>
      <w:r>
        <w:rPr>
          <w:rStyle w:val="Strong"/>
        </w:rPr>
        <w:t>information</w:t>
      </w:r>
      <w:r>
        <w:rPr/>
        <w:t xml:space="preserve"> and make better decisions. Yet the systems capable of that reasoning are typically external—operated by providers who require </w:t>
      </w:r>
      <w:r>
        <w:rPr>
          <w:rStyle w:val="Strong"/>
        </w:rPr>
        <w:t>data</w:t>
      </w:r>
      <w:r>
        <w:rPr/>
        <w:t xml:space="preserve"> transfer or indexing beyond the organization’s control. Most institutions lack the means to bring this capability inside their own governance boundaries.</w:t>
      </w:r>
    </w:p>
    <w:p>
      <w:pPr>
        <w:pStyle w:val="BodyText"/>
        <w:bidi w:val="0"/>
        <w:spacing w:lineRule="auto" w:line="276" w:before="0" w:after="140"/>
        <w:jc w:val="start"/>
        <w:rPr/>
      </w:pPr>
      <w:r>
        <w:rPr/>
        <w:t xml:space="preserve">At the same time, many organizations struggle to access the </w:t>
      </w:r>
      <w:r>
        <w:rPr>
          <w:rStyle w:val="Strong"/>
        </w:rPr>
        <w:t>knowledge</w:t>
      </w:r>
      <w:r>
        <w:rPr/>
        <w:t xml:space="preserve"> they already hold. Years of growth and specialization have buried </w:t>
      </w:r>
      <w:r>
        <w:rPr>
          <w:rStyle w:val="Strong"/>
        </w:rPr>
        <w:t>information assets</w:t>
      </w:r>
      <w:r>
        <w:rPr/>
        <w:t xml:space="preserve"> across systems, formats, and divisions. AI reasoning offers a way to surface and connect these internal assets—allowing staff to query institutional </w:t>
      </w:r>
      <w:r>
        <w:rPr>
          <w:rStyle w:val="Strong"/>
        </w:rPr>
        <w:t>knowledge domains</w:t>
      </w:r>
      <w:r>
        <w:rPr/>
        <w:t xml:space="preserve"> in natural language and reveal </w:t>
      </w:r>
      <w:r>
        <w:rPr>
          <w:rStyle w:val="Strong"/>
        </w:rPr>
        <w:t>insights</w:t>
      </w:r>
      <w:r>
        <w:rPr/>
        <w:t xml:space="preserve"> that would otherwise remain locked in archives or individual expertise. Properly governed, this capacity strengthens mission performance and preserves organizational memory.</w:t>
      </w:r>
    </w:p>
    <w:p>
      <w:pPr>
        <w:pStyle w:val="BodyText"/>
        <w:bidi w:val="0"/>
        <w:spacing w:lineRule="auto" w:line="276" w:before="0" w:after="140"/>
        <w:jc w:val="start"/>
        <w:rPr/>
      </w:pPr>
      <w:r>
        <w:rPr/>
        <w:t xml:space="preserve">The result is a persistent </w:t>
      </w:r>
      <w:r>
        <w:rPr>
          <w:rStyle w:val="Strong"/>
        </w:rPr>
        <w:t>enterprise AI gap</w:t>
      </w:r>
      <w:r>
        <w:rPr/>
        <w:t xml:space="preserve">: powerful reasoning exists, but few organizations can use it responsibly with the </w:t>
      </w:r>
      <w:r>
        <w:rPr>
          <w:rStyle w:val="Strong"/>
        </w:rPr>
        <w:t>data, information, and knowledge</w:t>
      </w:r>
      <w:r>
        <w:rPr/>
        <w:t xml:space="preserve"> they steward. Some of this material is indeed too sensitive to expose—but much more remains under-utilized simply because no infrastructure ensures that consent, authority, and accountability accompany the reasoning process itself.</w:t>
      </w:r>
    </w:p>
    <w:p>
      <w:pPr>
        <w:pStyle w:val="BodyText"/>
        <w:bidi w:val="0"/>
        <w:spacing w:lineRule="auto" w:line="276" w:before="0" w:after="140"/>
        <w:jc w:val="start"/>
        <w:rPr/>
      </w:pPr>
      <w:r>
        <w:rPr/>
        <w:t>This imbalance—</w:t>
      </w:r>
      <w:r>
        <w:rPr>
          <w:rStyle w:val="Strong"/>
        </w:rPr>
        <w:t>data abundance without governance capacity</w:t>
      </w:r>
      <w:r>
        <w:rPr/>
        <w:t xml:space="preserve">—prevents local </w:t>
      </w:r>
      <w:r>
        <w:rPr>
          <w:rStyle w:val="Strong"/>
        </w:rPr>
        <w:t>insight</w:t>
      </w:r>
      <w:r>
        <w:rPr/>
        <w:t xml:space="preserve"> from informing collective understanding. Weak or inconsistent governance keeps </w:t>
      </w:r>
      <w:r>
        <w:rPr>
          <w:rStyle w:val="Strong"/>
        </w:rPr>
        <w:t>knowledge</w:t>
      </w:r>
      <w:r>
        <w:rPr/>
        <w:t xml:space="preserve"> locked away, whether for justified protection or avoidable caution.</w:t>
      </w:r>
    </w:p>
    <w:p>
      <w:pPr>
        <w:pStyle w:val="BodyText"/>
        <w:bidi w:val="0"/>
        <w:spacing w:lineRule="auto" w:line="276" w:before="0" w:after="140"/>
        <w:jc w:val="start"/>
        <w:rPr/>
      </w:pPr>
      <w:r>
        <w:rPr/>
        <w:t xml:space="preserve">Without verifiable systems for consent, attribution, and audit, institutions must choose between </w:t>
      </w:r>
      <w:r>
        <w:rPr>
          <w:rStyle w:val="Strong"/>
        </w:rPr>
        <w:t>over-protection (silence)</w:t>
      </w:r>
      <w:r>
        <w:rPr/>
        <w:t xml:space="preserve"> and </w:t>
      </w:r>
      <w:r>
        <w:rPr>
          <w:rStyle w:val="Strong"/>
        </w:rPr>
        <w:t>over-exposure (loss of control)</w:t>
      </w:r>
      <w:r>
        <w:rPr/>
        <w:t>.</w:t>
      </w:r>
    </w:p>
    <w:p>
      <w:pPr>
        <w:pStyle w:val="BodyText"/>
        <w:bidi w:val="0"/>
        <w:spacing w:lineRule="auto" w:line="276" w:before="0" w:after="140"/>
        <w:jc w:val="start"/>
        <w:rPr/>
      </w:pPr>
      <w:r>
        <w:rPr>
          <w:rStyle w:val="Strong"/>
        </w:rPr>
        <w:t>RKL</w:t>
      </w:r>
      <w:r>
        <w:rPr/>
        <w:t xml:space="preserve"> addresses this gap by building governance infrastructure that allows AI reasoning to occur within policy boundaries rather than outside them—so organizations can convert both protected and under-used </w:t>
      </w:r>
      <w:r>
        <w:rPr>
          <w:rStyle w:val="Strong"/>
        </w:rPr>
        <w:t>knowledge</w:t>
      </w:r>
      <w:r>
        <w:rPr/>
        <w:t xml:space="preserve"> into actionable </w:t>
      </w:r>
      <w:r>
        <w:rPr>
          <w:rStyle w:val="Strong"/>
        </w:rPr>
        <w:t>insight</w:t>
      </w:r>
      <w:r>
        <w:rPr/>
        <w:t xml:space="preserve"> without surrendering custody or trust.</w:t>
      </w:r>
    </w:p>
    <w:p>
      <w:pPr>
        <w:pStyle w:val="Heading2"/>
        <w:bidi w:val="0"/>
        <w:jc w:val="start"/>
        <w:rPr/>
      </w:pPr>
      <w:r>
        <w:rPr>
          <w:rStyle w:val="Strong"/>
          <w:b/>
          <w:bCs/>
        </w:rPr>
        <w:t>2. Why Secure Reasoning</w:t>
      </w:r>
    </w:p>
    <w:p>
      <w:pPr>
        <w:pStyle w:val="BodyText"/>
        <w:bidi w:val="0"/>
        <w:jc w:val="start"/>
        <w:rPr/>
      </w:pPr>
      <w:r>
        <w:rPr/>
        <w:t>Modern AI reasoning systems excel at pattern recognition and inference, yet their architectures assume that data can be moved or mirrored into external environments.</w:t>
        <w:br/>
        <w:t xml:space="preserve">For most organizations, this model is misaligned with governance obligations and with the way institutional </w:t>
      </w:r>
      <w:r>
        <w:rPr>
          <w:rStyle w:val="Strong"/>
        </w:rPr>
        <w:t>data, information, and knowledge assets</w:t>
      </w:r>
      <w:r>
        <w:rPr/>
        <w:t xml:space="preserve"> are structured and controlled.</w:t>
      </w:r>
    </w:p>
    <w:p>
      <w:pPr>
        <w:pStyle w:val="BodyText"/>
        <w:bidi w:val="0"/>
        <w:jc w:val="start"/>
        <w:rPr/>
      </w:pPr>
      <w:r>
        <w:rPr>
          <w:rStyle w:val="Strong"/>
        </w:rPr>
        <w:t>RKL grounds its approach in the CARE principles—Collective Benefit, Authority to Control, Responsibility, and Ethics.</w:t>
      </w:r>
      <w:r>
        <w:rPr/>
        <w:br/>
        <w:t>These principles define how local governance should guide AI reasoning: decisions about access and use must remain with those who steward the knowledge.</w:t>
        <w:br/>
        <w:t>CARE provides the ethical foundation for secure reasoning, ensuring that authority, accountability, and collective benefit are built into every interaction between AI systems and knowledge domains.</w:t>
      </w:r>
    </w:p>
    <w:p>
      <w:pPr>
        <w:pStyle w:val="HorizontalLine"/>
        <w:bidi w:val="0"/>
        <w:jc w:val="start"/>
        <w:rPr/>
      </w:pPr>
      <w:r>
        <w:rPr/>
      </w:r>
    </w:p>
    <w:p>
      <w:pPr>
        <w:pStyle w:val="Heading3"/>
        <w:bidi w:val="0"/>
        <w:jc w:val="start"/>
        <w:rPr/>
      </w:pPr>
      <w:r>
        <w:rPr>
          <w:rStyle w:val="Strong"/>
          <w:b/>
          <w:bCs/>
        </w:rPr>
        <w:t>Current Reasoning Landscape</w:t>
      </w:r>
    </w:p>
    <w:p>
      <w:pPr>
        <w:pStyle w:val="BodyText"/>
        <w:bidi w:val="0"/>
        <w:jc w:val="start"/>
        <w:rPr/>
      </w:pPr>
      <w:r>
        <w:rPr/>
        <w:t>AI reasoning today takes many forms—fine-tuning, retrieval-augmented generation, interactive “heads-up” chat interfaces, and emerging agentic workflows.</w:t>
        <w:br/>
        <w:t xml:space="preserve">All share a structural limitation: </w:t>
      </w:r>
      <w:r>
        <w:rPr>
          <w:rStyle w:val="Strong"/>
        </w:rPr>
        <w:t>capability and governance are separated.</w:t>
      </w:r>
      <w:r>
        <w:rPr/>
        <w:br/>
        <w:t>Organizations can invoke powerful reasoning but cannot verify what happens to their data, how context is stored, or whether consent and attribution travel with the request.</w:t>
      </w:r>
    </w:p>
    <w:p>
      <w:pPr>
        <w:pStyle w:val="BodyText"/>
        <w:bidi w:val="0"/>
        <w:jc w:val="start"/>
        <w:rPr/>
      </w:pPr>
      <w:r>
        <w:rPr/>
        <w:t>In everyday use, most reasoning now occurs informally through general chat interfaces.</w:t>
        <w:br/>
        <w:t>Staff paste documents or pose sensitive questions without audit trails or clear policy boundaries.</w:t>
        <w:br/>
        <w:t xml:space="preserve">This </w:t>
      </w:r>
      <w:r>
        <w:rPr>
          <w:rStyle w:val="Emphasis"/>
        </w:rPr>
        <w:t>heads-up reasoning</w:t>
      </w:r>
      <w:r>
        <w:rPr/>
        <w:t xml:space="preserve"> has already created a diffuse exposure surface for organizations that lack local control protocols.</w:t>
        <w:br/>
        <w:t xml:space="preserve">The reasoning itself remains a </w:t>
      </w:r>
      <w:r>
        <w:rPr>
          <w:rStyle w:val="Strong"/>
        </w:rPr>
        <w:t>black box</w:t>
      </w:r>
      <w:r>
        <w:rPr/>
        <w:t>—powerful, but opaque.</w:t>
      </w:r>
    </w:p>
    <w:p>
      <w:pPr>
        <w:pStyle w:val="HorizontalLine"/>
        <w:bidi w:val="0"/>
        <w:jc w:val="start"/>
        <w:rPr/>
      </w:pPr>
      <w:r>
        <w:rPr/>
      </w:r>
    </w:p>
    <w:p>
      <w:pPr>
        <w:pStyle w:val="Heading3"/>
        <w:bidi w:val="0"/>
        <w:jc w:val="start"/>
        <w:rPr/>
      </w:pPr>
      <w:r>
        <w:rPr>
          <w:rStyle w:val="Strong"/>
          <w:b/>
          <w:bCs/>
        </w:rPr>
        <w:t>The Value Hypothesis</w:t>
      </w:r>
    </w:p>
    <w:p>
      <w:pPr>
        <w:pStyle w:val="BodyText"/>
        <w:bidi w:val="0"/>
        <w:jc w:val="start"/>
        <w:rPr/>
      </w:pPr>
      <w:r>
        <w:rPr/>
        <w:t xml:space="preserve">Organizations hold vast stores of governed knowledge, yet the </w:t>
      </w:r>
      <w:r>
        <w:rPr>
          <w:rStyle w:val="Strong"/>
        </w:rPr>
        <w:t>full value of these assets</w:t>
      </w:r>
      <w:r>
        <w:rPr/>
        <w:t xml:space="preserve"> often remains unrealized.</w:t>
        <w:br/>
        <w:t xml:space="preserve">Secure reasoning begins from the hypothesis that </w:t>
      </w:r>
      <w:r>
        <w:rPr>
          <w:rStyle w:val="Strong"/>
        </w:rPr>
        <w:t>AI systems can help institutions realize the latent value of their data, information, and knowledge assets—without relinquishing control of them.</w:t>
      </w:r>
    </w:p>
    <w:p>
      <w:pPr>
        <w:pStyle w:val="BodyText"/>
        <w:bidi w:val="0"/>
        <w:jc w:val="start"/>
        <w:rPr/>
      </w:pPr>
      <w:r>
        <w:rPr/>
        <w:t>By embedding governance directly into reasoning workflows, institutions can:</w:t>
      </w:r>
    </w:p>
    <w:p>
      <w:pPr>
        <w:pStyle w:val="BodyText"/>
        <w:numPr>
          <w:ilvl w:val="0"/>
          <w:numId w:val="4"/>
        </w:numPr>
        <w:tabs>
          <w:tab w:val="left" w:pos="709" w:leader="none"/>
        </w:tabs>
        <w:bidi w:val="0"/>
        <w:ind w:hanging="283" w:start="709"/>
        <w:jc w:val="start"/>
        <w:rPr/>
      </w:pPr>
      <w:r>
        <w:rPr/>
        <w:t>Use natural-language interfaces to access and connect internal knowledge assets;</w:t>
      </w:r>
    </w:p>
    <w:p>
      <w:pPr>
        <w:pStyle w:val="BodyText"/>
        <w:numPr>
          <w:ilvl w:val="0"/>
          <w:numId w:val="4"/>
        </w:numPr>
        <w:tabs>
          <w:tab w:val="left" w:pos="709" w:leader="none"/>
        </w:tabs>
        <w:bidi w:val="0"/>
        <w:ind w:hanging="283" w:start="709"/>
        <w:jc w:val="start"/>
        <w:rPr/>
      </w:pPr>
      <w:r>
        <w:rPr/>
        <w:t>Derive insights that support mission objectives and operational decisions;</w:t>
      </w:r>
    </w:p>
    <w:p>
      <w:pPr>
        <w:pStyle w:val="BodyText"/>
        <w:numPr>
          <w:ilvl w:val="0"/>
          <w:numId w:val="4"/>
        </w:numPr>
        <w:tabs>
          <w:tab w:val="left" w:pos="709" w:leader="none"/>
        </w:tabs>
        <w:bidi w:val="0"/>
        <w:ind w:hanging="283" w:start="709"/>
        <w:jc w:val="start"/>
        <w:rPr/>
      </w:pPr>
      <w:r>
        <w:rPr/>
        <w:t>Preserve authority, consent, and accountability for every interaction.</w:t>
      </w:r>
    </w:p>
    <w:p>
      <w:pPr>
        <w:pStyle w:val="BodyText"/>
        <w:bidi w:val="0"/>
        <w:jc w:val="start"/>
        <w:rPr/>
      </w:pPr>
      <w:r>
        <w:rPr/>
        <w:t xml:space="preserve">This transforms AI from an external service into an internal capability—reasoning an organization can </w:t>
      </w:r>
      <w:r>
        <w:rPr>
          <w:rStyle w:val="Emphasis"/>
        </w:rPr>
        <w:t>govern, audit, and trust.</w:t>
      </w:r>
    </w:p>
    <w:p>
      <w:pPr>
        <w:pStyle w:val="HorizontalLine"/>
        <w:bidi w:val="0"/>
        <w:jc w:val="start"/>
        <w:rPr/>
      </w:pPr>
      <w:r>
        <w:rPr/>
      </w:r>
    </w:p>
    <w:p>
      <w:pPr>
        <w:pStyle w:val="Heading3"/>
        <w:bidi w:val="0"/>
        <w:jc w:val="start"/>
        <w:rPr/>
      </w:pPr>
      <w:r>
        <w:rPr>
          <w:rStyle w:val="Strong"/>
          <w:b/>
          <w:bCs/>
        </w:rPr>
        <w:t>The Risk Spectrum</w:t>
      </w:r>
    </w:p>
    <w:p>
      <w:pPr>
        <w:pStyle w:val="BodyText"/>
        <w:bidi w:val="0"/>
        <w:jc w:val="start"/>
        <w:rPr/>
      </w:pPr>
      <w:r>
        <w:rPr/>
        <w:t xml:space="preserve">Obligations to protect data and information range from </w:t>
      </w:r>
      <w:r>
        <w:rPr>
          <w:rStyle w:val="Strong"/>
        </w:rPr>
        <w:t>ethical</w:t>
      </w:r>
      <w:r>
        <w:rPr/>
        <w:t xml:space="preserve"> to </w:t>
      </w:r>
      <w:r>
        <w:rPr>
          <w:rStyle w:val="Strong"/>
        </w:rPr>
        <w:t>legal</w:t>
      </w:r>
      <w:r>
        <w:rPr/>
        <w:t xml:space="preserve"> to </w:t>
      </w:r>
      <w:r>
        <w:rPr>
          <w:rStyle w:val="Strong"/>
        </w:rPr>
        <w:t>financial and proprietary</w:t>
      </w:r>
      <w:r>
        <w:rPr/>
        <w:t>.</w:t>
        <w:br/>
        <w:t>In some domains—such as personal or health information—exposure is explicitly prohibited by law.</w:t>
        <w:br/>
        <w:t>In others—such as cultural heritage, research, or innovation—improper use may violate ethical responsibilities, erode intellectual advantage, or undermine public trust.</w:t>
      </w:r>
    </w:p>
    <w:p>
      <w:pPr>
        <w:pStyle w:val="BodyText"/>
        <w:bidi w:val="0"/>
        <w:jc w:val="start"/>
        <w:rPr/>
      </w:pPr>
      <w:r>
        <w:rPr/>
        <w:t>Many organizations, especially smaller ones, lack the expertise to distinguish among these categories or to calculate the risks involved.</w:t>
        <w:br/>
        <w:t>Uncertain about what can safely be shared, they default to caution, limiting both internal innovation and potential collaboration.</w:t>
      </w:r>
    </w:p>
    <w:p>
      <w:pPr>
        <w:pStyle w:val="BodyText"/>
        <w:bidi w:val="0"/>
        <w:jc w:val="start"/>
        <w:rPr/>
      </w:pPr>
      <w:r>
        <w:rPr/>
        <w:t xml:space="preserve">Secure reasoning provides a structure for </w:t>
      </w:r>
      <w:r>
        <w:rPr>
          <w:rStyle w:val="Strong"/>
        </w:rPr>
        <w:t>informed risk management</w:t>
      </w:r>
      <w:r>
        <w:rPr/>
        <w:t>.</w:t>
        <w:br/>
        <w:t>By embedding verifiable consent, authority, and audit mechanisms, it allows institutions to engage AI systems confidently—maximizing benefit while maintaining compliance and stewardship.</w:t>
      </w:r>
    </w:p>
    <w:p>
      <w:pPr>
        <w:pStyle w:val="HorizontalLine"/>
        <w:bidi w:val="0"/>
        <w:jc w:val="start"/>
        <w:rPr/>
      </w:pPr>
      <w:r>
        <w:rPr/>
      </w:r>
    </w:p>
    <w:p>
      <w:pPr>
        <w:pStyle w:val="Heading3"/>
        <w:bidi w:val="0"/>
        <w:jc w:val="start"/>
        <w:rPr/>
      </w:pPr>
      <w:r>
        <w:rPr>
          <w:rStyle w:val="Strong"/>
          <w:b/>
          <w:bCs/>
        </w:rPr>
        <w:t>Closing the Gap</w:t>
      </w:r>
    </w:p>
    <w:p>
      <w:pPr>
        <w:pStyle w:val="BodyText"/>
        <w:bidi w:val="0"/>
        <w:jc w:val="start"/>
        <w:rPr/>
      </w:pPr>
      <w:r>
        <w:rPr/>
        <w:t>Secure reasoning closes the enterprise-AI gap identified earlier.</w:t>
        <w:br/>
        <w:t>Instead of exporting sensitive material to remote systems, organizations bring the reasoning process to their own governed environments.</w:t>
        <w:br/>
        <w:t xml:space="preserve">Consent, purpose, and provenance travel with the reasoning itself, ensuring that every derived </w:t>
      </w:r>
      <w:r>
        <w:rPr>
          <w:rStyle w:val="Strong"/>
        </w:rPr>
        <w:t>insight</w:t>
      </w:r>
      <w:r>
        <w:rPr/>
        <w:t xml:space="preserve"> is traceable to authorized context.</w:t>
      </w:r>
    </w:p>
    <w:p>
      <w:pPr>
        <w:pStyle w:val="BodyText"/>
        <w:bidi w:val="0"/>
        <w:jc w:val="start"/>
        <w:rPr/>
      </w:pPr>
      <w:r>
        <w:rPr/>
        <w:t xml:space="preserve">Emerging technologies—such as </w:t>
      </w:r>
      <w:r>
        <w:rPr>
          <w:rStyle w:val="Strong"/>
        </w:rPr>
        <w:t>context-exchange protocols</w:t>
      </w:r>
      <w:r>
        <w:rPr/>
        <w:t xml:space="preserve">, </w:t>
      </w:r>
      <w:r>
        <w:rPr>
          <w:rStyle w:val="Strong"/>
        </w:rPr>
        <w:t>policy-aware retrieval frameworks</w:t>
      </w:r>
      <w:r>
        <w:rPr/>
        <w:t xml:space="preserve">, and advances in </w:t>
      </w:r>
      <w:r>
        <w:rPr>
          <w:rStyle w:val="Strong"/>
        </w:rPr>
        <w:t>AI-agent governance</w:t>
      </w:r>
      <w:r>
        <w:rPr/>
        <w:t>—already demonstrate parts of this approach.</w:t>
        <w:br/>
        <w:t xml:space="preserve">Secure reasoning unites these developments within a coherent governance model, making </w:t>
      </w:r>
      <w:r>
        <w:rPr>
          <w:rStyle w:val="Strong"/>
        </w:rPr>
        <w:t>local authority</w:t>
      </w:r>
      <w:r>
        <w:rPr/>
        <w:t xml:space="preserve"> the default condition rather than an afterthought.</w:t>
      </w:r>
    </w:p>
    <w:p>
      <w:pPr>
        <w:pStyle w:val="BodyText"/>
        <w:bidi w:val="0"/>
        <w:jc w:val="start"/>
        <w:rPr/>
      </w:pPr>
      <w:r>
        <w:rPr/>
        <w:t xml:space="preserve">Importantly, secure reasoning does </w:t>
      </w:r>
      <w:r>
        <w:rPr>
          <w:rStyle w:val="Strong"/>
        </w:rPr>
        <w:t>not</w:t>
      </w:r>
      <w:r>
        <w:rPr/>
        <w:t xml:space="preserve"> require every organization to host its own large models.</w:t>
        <w:br/>
        <w:t>What matters is that governance stays local even if computation is distributed.</w:t>
        <w:br/>
        <w:t>Through governed interfaces, institutions can draw on external reasoning resources—selecting the best available models—while enforcing their own consent, purpose, and provenance rules.</w:t>
        <w:br/>
        <w:t>This balance makes secure reasoning practical for both small organizations that rely on shared infrastructure and large institutions optimizing cost and capability.</w:t>
      </w:r>
    </w:p>
    <w:p>
      <w:pPr>
        <w:pStyle w:val="HorizontalLine"/>
        <w:bidi w:val="0"/>
        <w:jc w:val="start"/>
        <w:rPr/>
      </w:pPr>
      <w:r>
        <w:rPr/>
      </w:r>
    </w:p>
    <w:p>
      <w:pPr>
        <w:pStyle w:val="Heading3"/>
        <w:bidi w:val="0"/>
        <w:jc w:val="start"/>
        <w:rPr/>
      </w:pPr>
      <w:r>
        <w:rPr>
          <w:rStyle w:val="Strong"/>
          <w:b/>
          <w:bCs/>
        </w:rPr>
        <w:t>Transition to Section 3</w:t>
      </w:r>
    </w:p>
    <w:p>
      <w:pPr>
        <w:pStyle w:val="BodyText"/>
        <w:bidi w:val="0"/>
        <w:jc w:val="start"/>
        <w:rPr/>
      </w:pPr>
      <w:r>
        <w:rPr/>
        <w:t xml:space="preserve">The next section defines </w:t>
      </w:r>
      <w:r>
        <w:rPr>
          <w:rStyle w:val="Emphasis"/>
        </w:rPr>
        <w:t>secure reasoning</w:t>
      </w:r>
      <w:r>
        <w:rPr/>
        <w:t xml:space="preserve"> in formal terms—explaining how governance metadata, consent, and auditability become integral to the reasoning process itself.</w:t>
        <w:br/>
        <w:t xml:space="preserve">It shows how RKL’s framework moves AI from a tool that operates </w:t>
      </w:r>
      <w:r>
        <w:rPr>
          <w:rStyle w:val="Emphasis"/>
        </w:rPr>
        <w:t>over</w:t>
      </w:r>
      <w:r>
        <w:rPr/>
        <w:t xml:space="preserve"> data to one that reasons </w:t>
      </w:r>
      <w:r>
        <w:rPr>
          <w:rStyle w:val="Emphasis"/>
        </w:rPr>
        <w:t>within</w:t>
      </w:r>
      <w:r>
        <w:rPr/>
        <w:t xml:space="preserve"> governed knowledge domains.</w:t>
      </w:r>
    </w:p>
    <w:p>
      <w:pPr>
        <w:pStyle w:val="BodyText"/>
        <w:bidi w:val="0"/>
        <w:jc w:val="start"/>
        <w:rPr>
          <w:rStyle w:val="Strong"/>
        </w:rPr>
      </w:pPr>
      <w:r>
        <w:rPr/>
      </w:r>
    </w:p>
    <w:p>
      <w:pPr>
        <w:pStyle w:val="Heading2"/>
        <w:bidi w:val="0"/>
        <w:jc w:val="start"/>
        <w:rPr/>
      </w:pPr>
      <w:r>
        <w:rPr>
          <w:rStyle w:val="Strong"/>
          <w:b/>
          <w:bCs/>
        </w:rPr>
        <w:t>3. Defining Secure Reasoning</w:t>
      </w:r>
    </w:p>
    <w:p>
      <w:pPr>
        <w:pStyle w:val="BodyText"/>
        <w:bidi w:val="0"/>
        <w:jc w:val="start"/>
        <w:rPr/>
      </w:pPr>
      <w:r>
        <w:rPr/>
        <w:t>Secure reasoning is an approach to artificial intelligence that embeds governance directly into the reasoning process itself.</w:t>
        <w:br/>
        <w:t>Instead of transferring data, information, or knowledge to external models, organizations bring the reasoning process—models, agents, or analytical components—</w:t>
      </w:r>
      <w:r>
        <w:rPr>
          <w:rStyle w:val="Strong"/>
        </w:rPr>
        <w:t>into governed environments</w:t>
      </w:r>
      <w:r>
        <w:rPr/>
        <w:t xml:space="preserve"> where policy, consent, and provenance rules are explicit and verifiable.</w:t>
      </w:r>
    </w:p>
    <w:p>
      <w:pPr>
        <w:pStyle w:val="BodyText"/>
        <w:bidi w:val="0"/>
        <w:jc w:val="start"/>
        <w:rPr/>
      </w:pPr>
      <w:r>
        <w:rPr/>
        <w:t xml:space="preserve">This reverses the conventional AI relationship: rather than the model owning the environment, the </w:t>
      </w:r>
      <w:r>
        <w:rPr>
          <w:rStyle w:val="Strong"/>
        </w:rPr>
        <w:t>environment governs the model</w:t>
      </w:r>
      <w:r>
        <w:rPr/>
        <w:t>.</w:t>
        <w:br/>
        <w:t xml:space="preserve">Reasoning occurs </w:t>
      </w:r>
      <w:r>
        <w:rPr>
          <w:rStyle w:val="Emphasis"/>
        </w:rPr>
        <w:t>within</w:t>
      </w:r>
      <w:r>
        <w:rPr/>
        <w:t xml:space="preserve"> defined governance boundaries, not </w:t>
      </w:r>
      <w:r>
        <w:rPr>
          <w:rStyle w:val="Emphasis"/>
        </w:rPr>
        <w:t>over</w:t>
      </w:r>
      <w:r>
        <w:rPr/>
        <w:t xml:space="preserve"> unbounded data sources.</w:t>
        <w:br/>
        <w:t>Each interaction is bound to a traceable record of authority and purpose so that insight generation becomes accountable by design.</w:t>
      </w:r>
    </w:p>
    <w:p>
      <w:pPr>
        <w:pStyle w:val="BodyText"/>
        <w:bidi w:val="0"/>
        <w:jc w:val="start"/>
        <w:rPr/>
      </w:pPr>
      <w:r>
        <w:rPr>
          <w:rStyle w:val="Strong"/>
        </w:rPr>
        <w:t>RKL’s approach is guided by the CARE principles—Collective Benefit, Authority to Control, Responsibility, and Ethics—which define how governance operates inside secure reasoning.</w:t>
      </w:r>
      <w:r>
        <w:rPr/>
        <w:br/>
        <w:t>These principles ensure that every reasoning interaction aligns technical control with ethical stewardship and collective benefit.</w:t>
      </w:r>
    </w:p>
    <w:p>
      <w:pPr>
        <w:pStyle w:val="HorizontalLine"/>
        <w:bidi w:val="0"/>
        <w:jc w:val="start"/>
        <w:rPr/>
      </w:pPr>
      <w:r>
        <w:rPr/>
      </w:r>
    </w:p>
    <w:p>
      <w:pPr>
        <w:pStyle w:val="Heading3"/>
        <w:bidi w:val="0"/>
        <w:jc w:val="start"/>
        <w:rPr/>
      </w:pPr>
      <w:r>
        <w:rPr>
          <w:rStyle w:val="Strong"/>
          <w:b/>
          <w:bCs/>
        </w:rPr>
        <w:t>How Secure Reasoning Works</w:t>
      </w:r>
    </w:p>
    <w:p>
      <w:pPr>
        <w:pStyle w:val="BodyText"/>
        <w:bidi w:val="0"/>
        <w:jc w:val="start"/>
        <w:rPr/>
      </w:pPr>
      <w:r>
        <w:rPr/>
        <w:t>Every reasoning event can be described as a sequence of three contextual layers:</w:t>
      </w:r>
    </w:p>
    <w:p>
      <w:pPr>
        <w:pStyle w:val="BodyText"/>
        <w:numPr>
          <w:ilvl w:val="0"/>
          <w:numId w:val="5"/>
        </w:numPr>
        <w:tabs>
          <w:tab w:val="left" w:pos="709" w:leader="none"/>
        </w:tabs>
        <w:bidi w:val="0"/>
        <w:ind w:hanging="283" w:start="709"/>
        <w:jc w:val="start"/>
        <w:rPr/>
      </w:pPr>
      <w:r>
        <w:rPr>
          <w:rStyle w:val="Strong"/>
        </w:rPr>
        <w:t>Governed Context</w:t>
      </w:r>
      <w:r>
        <w:rPr/>
        <w:t xml:space="preserve"> — the policy, consent, and metadata that define who controls each asset and under what conditions reasoning may occur.</w:t>
        <w:br/>
        <w:t>This layer sets the rules of engagement before any data are touched.</w:t>
      </w:r>
    </w:p>
    <w:p>
      <w:pPr>
        <w:pStyle w:val="BodyText"/>
        <w:numPr>
          <w:ilvl w:val="0"/>
          <w:numId w:val="5"/>
        </w:numPr>
        <w:tabs>
          <w:tab w:val="left" w:pos="709" w:leader="none"/>
        </w:tabs>
        <w:bidi w:val="0"/>
        <w:ind w:hanging="283" w:start="709"/>
        <w:jc w:val="start"/>
        <w:rPr/>
      </w:pPr>
      <w:r>
        <w:rPr>
          <w:rStyle w:val="Strong"/>
        </w:rPr>
        <w:t>Bounded Reasoning</w:t>
      </w:r>
      <w:r>
        <w:rPr/>
        <w:t xml:space="preserve"> — the analytical or generative process that operates within those constraints.</w:t>
        <w:br/>
        <w:t>The model or agent performs reasoning tasks—querying, summarizing, classifying, or inferring—but does so inside a sandbox defined by governance metadata.</w:t>
      </w:r>
    </w:p>
    <w:p>
      <w:pPr>
        <w:pStyle w:val="BodyText"/>
        <w:numPr>
          <w:ilvl w:val="0"/>
          <w:numId w:val="5"/>
        </w:numPr>
        <w:tabs>
          <w:tab w:val="left" w:pos="709" w:leader="none"/>
        </w:tabs>
        <w:bidi w:val="0"/>
        <w:ind w:hanging="283" w:start="709"/>
        <w:jc w:val="start"/>
        <w:rPr/>
      </w:pPr>
      <w:r>
        <w:rPr>
          <w:rStyle w:val="Strong"/>
        </w:rPr>
        <w:t>Controlled Output</w:t>
      </w:r>
      <w:r>
        <w:rPr/>
        <w:t xml:space="preserve"> — the result or </w:t>
      </w:r>
      <w:r>
        <w:rPr>
          <w:rStyle w:val="Emphasis"/>
        </w:rPr>
        <w:t>insight</w:t>
      </w:r>
      <w:r>
        <w:rPr/>
        <w:t xml:space="preserve"> that may leave the environment, accompanied by provenance, attribution, and any restrictions on reuse.</w:t>
      </w:r>
    </w:p>
    <w:p>
      <w:pPr>
        <w:pStyle w:val="BodyText"/>
        <w:bidi w:val="0"/>
        <w:jc w:val="start"/>
        <w:rPr/>
      </w:pPr>
      <w:r>
        <w:rPr/>
        <w:t xml:space="preserve">Together, these layers form a </w:t>
      </w:r>
      <w:r>
        <w:rPr>
          <w:rStyle w:val="Strong"/>
        </w:rPr>
        <w:t>governance loop</w:t>
      </w:r>
      <w:r>
        <w:rPr/>
        <w:t>: consent and purpose precede reasoning; audit and attribution follow it.</w:t>
        <w:br/>
        <w:t>This structure converts governance from a peripheral compliance step into the computational logic of AI itself.</w:t>
      </w:r>
    </w:p>
    <w:p>
      <w:pPr>
        <w:pStyle w:val="HorizontalLine"/>
        <w:bidi w:val="0"/>
        <w:jc w:val="start"/>
        <w:rPr/>
      </w:pPr>
      <w:r>
        <w:rPr/>
      </w:r>
    </w:p>
    <w:p>
      <w:pPr>
        <w:pStyle w:val="Heading3"/>
        <w:bidi w:val="0"/>
        <w:jc w:val="start"/>
        <w:rPr/>
      </w:pPr>
      <w:r>
        <w:rPr>
          <w:rStyle w:val="Strong"/>
          <w:b/>
          <w:bCs/>
        </w:rPr>
        <w:t>Accountability by Design</w:t>
      </w:r>
    </w:p>
    <w:p>
      <w:pPr>
        <w:pStyle w:val="BodyText"/>
        <w:bidi w:val="0"/>
        <w:jc w:val="start"/>
        <w:rPr/>
      </w:pPr>
      <w:r>
        <w:rPr/>
        <w:t xml:space="preserve">Secure reasoning transforms AI from a </w:t>
      </w:r>
      <w:r>
        <w:rPr>
          <w:rStyle w:val="Strong"/>
        </w:rPr>
        <w:t>consumer of assets</w:t>
      </w:r>
      <w:r>
        <w:rPr/>
        <w:t xml:space="preserve"> into a </w:t>
      </w:r>
      <w:r>
        <w:rPr>
          <w:rStyle w:val="Strong"/>
        </w:rPr>
        <w:t>collaborator under consent</w:t>
      </w:r>
      <w:r>
        <w:rPr/>
        <w:t>.</w:t>
        <w:br/>
        <w:t>Each reasoning task—whether summarizing a document, analyzing a dataset, or integrating multiple knowledge domains—carries its own audit trail.</w:t>
        <w:br/>
        <w:t>Institutions can verify what data or information were accessed, under whose authority, and for what purpose.</w:t>
      </w:r>
    </w:p>
    <w:p>
      <w:pPr>
        <w:pStyle w:val="BodyText"/>
        <w:bidi w:val="0"/>
        <w:jc w:val="start"/>
        <w:rPr/>
      </w:pPr>
      <w:r>
        <w:rPr/>
        <w:t xml:space="preserve">Because consent and provenance metadata travel with every operation, secure reasoning supports </w:t>
      </w:r>
      <w:r>
        <w:rPr>
          <w:rStyle w:val="Strong"/>
        </w:rPr>
        <w:t>continuous accountability</w:t>
      </w:r>
      <w:r>
        <w:rPr/>
        <w:t>.</w:t>
        <w:br/>
        <w:t>Governance is no longer external documentation; it is a machine-readable, enforceable layer that travels with the reasoning.</w:t>
      </w:r>
    </w:p>
    <w:p>
      <w:pPr>
        <w:pStyle w:val="BodyText"/>
        <w:bidi w:val="0"/>
        <w:jc w:val="start"/>
        <w:rPr/>
      </w:pPr>
      <w:r>
        <w:rPr/>
        <w:t>This model also reduces reliance on post-hoc trust.</w:t>
        <w:br/>
        <w:t>Organizations no longer need to believe that external providers have respected their policies—they can verify it directly through logs, manifests, and reproducible reasoning traces.</w:t>
      </w:r>
    </w:p>
    <w:p>
      <w:pPr>
        <w:pStyle w:val="HorizontalLine"/>
        <w:bidi w:val="0"/>
        <w:jc w:val="start"/>
        <w:rPr/>
      </w:pPr>
      <w:r>
        <w:rPr/>
      </w:r>
    </w:p>
    <w:p>
      <w:pPr>
        <w:pStyle w:val="Heading3"/>
        <w:bidi w:val="0"/>
        <w:jc w:val="start"/>
        <w:rPr/>
      </w:pPr>
      <w:r>
        <w:rPr>
          <w:rStyle w:val="Strong"/>
          <w:b/>
          <w:bCs/>
        </w:rPr>
        <w:t>Governance Beyond Data</w:t>
      </w:r>
    </w:p>
    <w:p>
      <w:pPr>
        <w:pStyle w:val="BodyText"/>
        <w:bidi w:val="0"/>
        <w:jc w:val="start"/>
        <w:rPr/>
      </w:pPr>
      <w:r>
        <w:rPr/>
        <w:t xml:space="preserve">Secure reasoning extends governance beyond the technical management of data to the stewardship of </w:t>
      </w:r>
      <w:r>
        <w:rPr>
          <w:rStyle w:val="Strong"/>
        </w:rPr>
        <w:t>information and knowledge assets</w:t>
      </w:r>
      <w:r>
        <w:rPr/>
        <w:t>.</w:t>
        <w:br/>
        <w:t>It acknowledges that these assets are not interchangeable:</w:t>
      </w:r>
    </w:p>
    <w:p>
      <w:pPr>
        <w:pStyle w:val="BodyText"/>
        <w:numPr>
          <w:ilvl w:val="0"/>
          <w:numId w:val="6"/>
        </w:numPr>
        <w:tabs>
          <w:tab w:val="left" w:pos="709" w:leader="none"/>
        </w:tabs>
        <w:bidi w:val="0"/>
        <w:ind w:hanging="283" w:start="709"/>
        <w:jc w:val="start"/>
        <w:rPr/>
      </w:pPr>
      <w:r>
        <w:rPr>
          <w:rStyle w:val="Emphasis"/>
        </w:rPr>
        <w:t>Data</w:t>
      </w:r>
      <w:r>
        <w:rPr/>
        <w:t xml:space="preserve"> require protection and consent.</w:t>
      </w:r>
    </w:p>
    <w:p>
      <w:pPr>
        <w:pStyle w:val="BodyText"/>
        <w:numPr>
          <w:ilvl w:val="0"/>
          <w:numId w:val="6"/>
        </w:numPr>
        <w:tabs>
          <w:tab w:val="left" w:pos="709" w:leader="none"/>
        </w:tabs>
        <w:bidi w:val="0"/>
        <w:ind w:hanging="283" w:start="709"/>
        <w:jc w:val="start"/>
        <w:rPr/>
      </w:pPr>
      <w:r>
        <w:rPr>
          <w:rStyle w:val="Emphasis"/>
        </w:rPr>
        <w:t>Information</w:t>
      </w:r>
      <w:r>
        <w:rPr/>
        <w:t xml:space="preserve"> requires structure and traceability.</w:t>
      </w:r>
    </w:p>
    <w:p>
      <w:pPr>
        <w:pStyle w:val="BodyText"/>
        <w:numPr>
          <w:ilvl w:val="0"/>
          <w:numId w:val="6"/>
        </w:numPr>
        <w:tabs>
          <w:tab w:val="left" w:pos="709" w:leader="none"/>
        </w:tabs>
        <w:bidi w:val="0"/>
        <w:ind w:hanging="283" w:start="709"/>
        <w:jc w:val="start"/>
        <w:rPr/>
      </w:pPr>
      <w:r>
        <w:rPr>
          <w:rStyle w:val="Emphasis"/>
        </w:rPr>
        <w:t>Knowledge</w:t>
      </w:r>
      <w:r>
        <w:rPr/>
        <w:t xml:space="preserve"> requires context, attribution, and respect for custodial authority.</w:t>
      </w:r>
    </w:p>
    <w:p>
      <w:pPr>
        <w:pStyle w:val="BodyText"/>
        <w:bidi w:val="0"/>
        <w:jc w:val="start"/>
        <w:rPr/>
      </w:pPr>
      <w:r>
        <w:rPr/>
        <w:t>By governing reasoning itself, institutions can respect all three layers simultaneously.</w:t>
        <w:br/>
        <w:t xml:space="preserve">AI systems learn to interact with knowledge domains as </w:t>
      </w:r>
      <w:r>
        <w:rPr>
          <w:rStyle w:val="Emphasis"/>
        </w:rPr>
        <w:t>contexts to reason within</w:t>
      </w:r>
      <w:r>
        <w:rPr/>
        <w:t xml:space="preserve">, not </w:t>
      </w:r>
      <w:r>
        <w:rPr>
          <w:rStyle w:val="Emphasis"/>
        </w:rPr>
        <w:t>resources to consume.</w:t>
      </w:r>
      <w:r>
        <w:rPr/>
        <w:br/>
        <w:t>In this way, secure reasoning operationalizes CARE’s ethical commitments—ensuring that authority and responsibility accompany every inference.</w:t>
      </w:r>
    </w:p>
    <w:p>
      <w:pPr>
        <w:pStyle w:val="HorizontalLine"/>
        <w:bidi w:val="0"/>
        <w:jc w:val="start"/>
        <w:rPr/>
      </w:pPr>
      <w:r>
        <w:rPr/>
      </w:r>
    </w:p>
    <w:p>
      <w:pPr>
        <w:pStyle w:val="Heading3"/>
        <w:bidi w:val="0"/>
        <w:jc w:val="start"/>
        <w:rPr/>
      </w:pPr>
      <w:r>
        <w:rPr>
          <w:rStyle w:val="Strong"/>
          <w:b/>
          <w:bCs/>
        </w:rPr>
        <w:t>Governing Models and Agents</w:t>
      </w:r>
    </w:p>
    <w:p>
      <w:pPr>
        <w:pStyle w:val="BodyText"/>
        <w:bidi w:val="0"/>
        <w:jc w:val="start"/>
        <w:rPr/>
      </w:pPr>
      <w:r>
        <w:rPr/>
        <w:t xml:space="preserve">As reasoning systems become more autonomous, governance must apply not only to data but also to the </w:t>
      </w:r>
      <w:r>
        <w:rPr>
          <w:rStyle w:val="Strong"/>
        </w:rPr>
        <w:t>agents and models</w:t>
      </w:r>
      <w:r>
        <w:rPr/>
        <w:t xml:space="preserve"> that perform reasoning.</w:t>
        <w:br/>
        <w:t>Secure reasoning includes mechanisms for:</w:t>
      </w:r>
    </w:p>
    <w:p>
      <w:pPr>
        <w:pStyle w:val="BodyText"/>
        <w:numPr>
          <w:ilvl w:val="0"/>
          <w:numId w:val="7"/>
        </w:numPr>
        <w:tabs>
          <w:tab w:val="left" w:pos="709" w:leader="none"/>
        </w:tabs>
        <w:bidi w:val="0"/>
        <w:ind w:hanging="283" w:start="709"/>
        <w:jc w:val="start"/>
        <w:rPr/>
      </w:pPr>
      <w:r>
        <w:rPr/>
        <w:t>Registering which models or agents may operate within a given domain,</w:t>
      </w:r>
    </w:p>
    <w:p>
      <w:pPr>
        <w:pStyle w:val="BodyText"/>
        <w:numPr>
          <w:ilvl w:val="0"/>
          <w:numId w:val="7"/>
        </w:numPr>
        <w:tabs>
          <w:tab w:val="left" w:pos="709" w:leader="none"/>
        </w:tabs>
        <w:bidi w:val="0"/>
        <w:ind w:hanging="283" w:start="709"/>
        <w:jc w:val="start"/>
        <w:rPr/>
      </w:pPr>
      <w:r>
        <w:rPr/>
        <w:t>Verifying their provenance and version, and</w:t>
      </w:r>
    </w:p>
    <w:p>
      <w:pPr>
        <w:pStyle w:val="BodyText"/>
        <w:numPr>
          <w:ilvl w:val="0"/>
          <w:numId w:val="7"/>
        </w:numPr>
        <w:tabs>
          <w:tab w:val="left" w:pos="709" w:leader="none"/>
        </w:tabs>
        <w:bidi w:val="0"/>
        <w:ind w:hanging="283" w:start="709"/>
        <w:jc w:val="start"/>
        <w:rPr/>
      </w:pPr>
      <w:r>
        <w:rPr/>
        <w:t>Enforcing policy boundaries during interaction.</w:t>
      </w:r>
    </w:p>
    <w:p>
      <w:pPr>
        <w:pStyle w:val="BodyText"/>
        <w:bidi w:val="0"/>
        <w:jc w:val="start"/>
        <w:rPr/>
      </w:pPr>
      <w:r>
        <w:rPr/>
        <w:t xml:space="preserve">This approach ensures that </w:t>
      </w:r>
      <w:r>
        <w:rPr>
          <w:rStyle w:val="Strong"/>
        </w:rPr>
        <w:t>AI agents remain accountable to local authority</w:t>
      </w:r>
      <w:r>
        <w:rPr/>
        <w:t>, preventing uncontrolled orchestration or drift in decision-making.</w:t>
        <w:br/>
        <w:t>It parallels cybersecurity’s principle of least privilege: models and agents gain only the reasoning access they are explicitly authorized to perform.</w:t>
      </w:r>
    </w:p>
    <w:p>
      <w:pPr>
        <w:pStyle w:val="HorizontalLine"/>
        <w:bidi w:val="0"/>
        <w:jc w:val="start"/>
        <w:rPr/>
      </w:pPr>
      <w:r>
        <w:rPr/>
      </w:r>
    </w:p>
    <w:p>
      <w:pPr>
        <w:pStyle w:val="Heading3"/>
        <w:bidi w:val="0"/>
        <w:jc w:val="start"/>
        <w:rPr/>
      </w:pPr>
      <w:r>
        <w:rPr>
          <w:rStyle w:val="Strong"/>
          <w:b/>
          <w:bCs/>
        </w:rPr>
        <w:t>Benefits of Secure Reasoning</w:t>
      </w:r>
    </w:p>
    <w:p>
      <w:pPr>
        <w:pStyle w:val="BodyText"/>
        <w:numPr>
          <w:ilvl w:val="0"/>
          <w:numId w:val="8"/>
        </w:numPr>
        <w:tabs>
          <w:tab w:val="left" w:pos="709" w:leader="none"/>
        </w:tabs>
        <w:bidi w:val="0"/>
        <w:ind w:hanging="283" w:start="709"/>
        <w:jc w:val="start"/>
        <w:rPr/>
      </w:pPr>
      <w:r>
        <w:rPr>
          <w:rStyle w:val="Strong"/>
        </w:rPr>
        <w:t>Transparency:</w:t>
      </w:r>
      <w:r>
        <w:rPr/>
        <w:t xml:space="preserve"> Each reasoning event can be inspected and audited.</w:t>
      </w:r>
    </w:p>
    <w:p>
      <w:pPr>
        <w:pStyle w:val="BodyText"/>
        <w:numPr>
          <w:ilvl w:val="0"/>
          <w:numId w:val="8"/>
        </w:numPr>
        <w:tabs>
          <w:tab w:val="left" w:pos="709" w:leader="none"/>
        </w:tabs>
        <w:bidi w:val="0"/>
        <w:ind w:hanging="283" w:start="709"/>
        <w:jc w:val="start"/>
        <w:rPr/>
      </w:pPr>
      <w:r>
        <w:rPr>
          <w:rStyle w:val="Strong"/>
        </w:rPr>
        <w:t>Consent Assurance:</w:t>
      </w:r>
      <w:r>
        <w:rPr/>
        <w:t xml:space="preserve"> Every use of an asset is tied to the custodian’s authorization.</w:t>
      </w:r>
    </w:p>
    <w:p>
      <w:pPr>
        <w:pStyle w:val="BodyText"/>
        <w:numPr>
          <w:ilvl w:val="0"/>
          <w:numId w:val="8"/>
        </w:numPr>
        <w:tabs>
          <w:tab w:val="left" w:pos="709" w:leader="none"/>
        </w:tabs>
        <w:bidi w:val="0"/>
        <w:ind w:hanging="283" w:start="709"/>
        <w:jc w:val="start"/>
        <w:rPr/>
      </w:pPr>
      <w:r>
        <w:rPr>
          <w:rStyle w:val="Strong"/>
        </w:rPr>
        <w:t>Policy Compliance:</w:t>
      </w:r>
      <w:r>
        <w:rPr/>
        <w:t xml:space="preserve"> Governance metadata enforce organizational and legal constraints in real time.</w:t>
      </w:r>
    </w:p>
    <w:p>
      <w:pPr>
        <w:pStyle w:val="BodyText"/>
        <w:numPr>
          <w:ilvl w:val="0"/>
          <w:numId w:val="8"/>
        </w:numPr>
        <w:tabs>
          <w:tab w:val="left" w:pos="709" w:leader="none"/>
        </w:tabs>
        <w:bidi w:val="0"/>
        <w:ind w:hanging="283" w:start="709"/>
        <w:jc w:val="start"/>
        <w:rPr/>
      </w:pPr>
      <w:r>
        <w:rPr>
          <w:rStyle w:val="Strong"/>
        </w:rPr>
        <w:t>Reproducibility:</w:t>
      </w:r>
      <w:r>
        <w:rPr/>
        <w:t xml:space="preserve"> Reasoning traces allow validation of results and attribution of credit.</w:t>
      </w:r>
    </w:p>
    <w:p>
      <w:pPr>
        <w:pStyle w:val="BodyText"/>
        <w:numPr>
          <w:ilvl w:val="0"/>
          <w:numId w:val="8"/>
        </w:numPr>
        <w:tabs>
          <w:tab w:val="left" w:pos="709" w:leader="none"/>
        </w:tabs>
        <w:bidi w:val="0"/>
        <w:ind w:hanging="283" w:start="709"/>
        <w:jc w:val="start"/>
        <w:rPr/>
      </w:pPr>
      <w:r>
        <w:rPr>
          <w:rStyle w:val="Strong"/>
        </w:rPr>
        <w:t>Trust:</w:t>
      </w:r>
      <w:r>
        <w:rPr/>
        <w:t xml:space="preserve"> Stakeholders gain confidence that AI operates under their rules, not opaque external ones.</w:t>
      </w:r>
    </w:p>
    <w:p>
      <w:pPr>
        <w:pStyle w:val="BodyText"/>
        <w:bidi w:val="0"/>
        <w:jc w:val="start"/>
        <w:rPr/>
      </w:pPr>
      <w:r>
        <w:rPr/>
        <w:t xml:space="preserve">Collectively, these benefits create the foundation for </w:t>
      </w:r>
      <w:r>
        <w:rPr>
          <w:rStyle w:val="Strong"/>
        </w:rPr>
        <w:t>trusted reasoning infrastructure</w:t>
      </w:r>
      <w:r>
        <w:rPr/>
        <w:t>—a prerequisite for responsible, public-interest AI.</w:t>
      </w:r>
    </w:p>
    <w:p>
      <w:pPr>
        <w:pStyle w:val="HorizontalLine"/>
        <w:bidi w:val="0"/>
        <w:jc w:val="start"/>
        <w:rPr/>
      </w:pPr>
      <w:r>
        <w:rPr/>
      </w:r>
    </w:p>
    <w:p>
      <w:pPr>
        <w:pStyle w:val="Heading3"/>
        <w:bidi w:val="0"/>
        <w:jc w:val="start"/>
        <w:rPr/>
      </w:pPr>
      <w:r>
        <w:rPr>
          <w:rStyle w:val="Strong"/>
          <w:b/>
          <w:bCs/>
        </w:rPr>
        <w:t>Transition to Section 4</w:t>
      </w:r>
    </w:p>
    <w:p>
      <w:pPr>
        <w:pStyle w:val="BodyText"/>
        <w:bidi w:val="0"/>
        <w:jc w:val="start"/>
        <w:rPr/>
      </w:pPr>
      <w:r>
        <w:rPr/>
        <w:t xml:space="preserve">The next section describes </w:t>
      </w:r>
      <w:r>
        <w:rPr>
          <w:rStyle w:val="Strong"/>
        </w:rPr>
        <w:t>RKL’s framework for operationalizing secure reasoning</w:t>
      </w:r>
      <w:r>
        <w:rPr/>
        <w:t xml:space="preserve"> through technical and organizational layers.</w:t>
        <w:br/>
        <w:t>It explains how governance, reasoning, and access form a unified architecture that enables insight to move while data, information, and knowledge remain under local authority.</w:t>
      </w:r>
    </w:p>
    <w:p>
      <w:pPr>
        <w:pStyle w:val="BodyText"/>
        <w:bidi w:val="0"/>
        <w:jc w:val="start"/>
        <w:rPr>
          <w:rStyle w:val="Strong"/>
        </w:rPr>
      </w:pPr>
      <w:r>
        <w:rPr/>
      </w:r>
    </w:p>
    <w:p>
      <w:pPr>
        <w:pStyle w:val="Heading2"/>
        <w:bidi w:val="0"/>
        <w:jc w:val="start"/>
        <w:rPr>
          <w:rStyle w:val="Strong"/>
        </w:rPr>
      </w:pPr>
      <w:r>
        <w:rPr>
          <w:rStyle w:val="Strong"/>
          <w:b/>
          <w:bCs/>
        </w:rPr>
        <w:t>4. The RKL Framework</w:t>
      </w:r>
    </w:p>
    <w:p>
      <w:pPr>
        <w:pStyle w:val="BodyText"/>
        <w:rPr/>
      </w:pPr>
      <w:r>
        <w:rPr/>
        <w:t xml:space="preserve">The Resonant Knowledge Lab (RKL) develops the practical infrastructure that makes </w:t>
      </w:r>
      <w:r>
        <w:rPr>
          <w:rStyle w:val="Strong"/>
        </w:rPr>
        <w:t>secure reasoning</w:t>
      </w:r>
      <w:r>
        <w:rPr/>
        <w:t xml:space="preserve"> possible.</w:t>
        <w:br/>
        <w:t>Its framework turns governance principles into system architecture—ensuring that AI reasoning can occur responsibly, transparently, and under local authority.</w:t>
        <w:br/>
        <w:t xml:space="preserve">The framework consists of three interdependent layers that together form a </w:t>
      </w:r>
      <w:r>
        <w:rPr>
          <w:rStyle w:val="Strong"/>
        </w:rPr>
        <w:t>trust-through-protocol</w:t>
      </w:r>
      <w:r>
        <w:rPr/>
        <w:t xml:space="preserve"> architecture: </w:t>
      </w:r>
      <w:r>
        <w:rPr>
          <w:rStyle w:val="Strong"/>
        </w:rPr>
        <w:t>Governance</w:t>
      </w:r>
      <w:r>
        <w:rPr/>
        <w:t xml:space="preserve">, </w:t>
      </w:r>
      <w:r>
        <w:rPr>
          <w:rStyle w:val="Strong"/>
        </w:rPr>
        <w:t>Reasoning</w:t>
      </w:r>
      <w:r>
        <w:rPr/>
        <w:t xml:space="preserve">, and </w:t>
      </w:r>
      <w:r>
        <w:rPr>
          <w:rStyle w:val="Strong"/>
        </w:rPr>
        <w:t>Access.</w:t>
      </w:r>
    </w:p>
    <w:p>
      <w:pPr>
        <w:pStyle w:val="HorizontalLine"/>
        <w:rPr/>
      </w:pPr>
      <w:r>
        <w:rPr/>
      </w:r>
    </w:p>
    <w:p>
      <w:pPr>
        <w:pStyle w:val="Heading3"/>
        <w:rPr/>
      </w:pPr>
      <w:r>
        <w:rPr>
          <w:rStyle w:val="Strong"/>
          <w:b/>
          <w:bCs/>
        </w:rPr>
        <w:t>4.1 Governance Layer — Defining Authority and Context</w:t>
      </w:r>
    </w:p>
    <w:p>
      <w:pPr>
        <w:pStyle w:val="BodyText"/>
        <w:rPr/>
      </w:pPr>
      <w:r>
        <w:rPr/>
        <w:t>The governance layer establishes the rules under which reasoning occurs.</w:t>
        <w:br/>
        <w:t>It encodes who controls each asset, for what purpose reasoning may take place, and how outcomes may be used or shared.</w:t>
        <w:br/>
        <w:t>This layer functions as the contract between the custodial organization and any AI process operating within its environment.</w:t>
      </w:r>
    </w:p>
    <w:p>
      <w:pPr>
        <w:pStyle w:val="BodyText"/>
        <w:rPr/>
      </w:pPr>
      <w:r>
        <w:rPr>
          <w:rStyle w:val="Strong"/>
        </w:rPr>
        <w:t>Core functions</w:t>
      </w:r>
    </w:p>
    <w:p>
      <w:pPr>
        <w:pStyle w:val="BodyText"/>
        <w:numPr>
          <w:ilvl w:val="0"/>
          <w:numId w:val="33"/>
        </w:numPr>
        <w:tabs>
          <w:tab w:val="clear" w:pos="709"/>
          <w:tab w:val="left" w:pos="0" w:leader="none"/>
        </w:tabs>
        <w:ind w:hanging="283" w:start="709"/>
        <w:rPr/>
      </w:pPr>
      <w:r>
        <w:rPr>
          <w:rStyle w:val="Strong"/>
        </w:rPr>
        <w:t>Policy metadata.</w:t>
      </w:r>
      <w:r>
        <w:rPr/>
        <w:t xml:space="preserve"> Machine-readable descriptions of consent, purpose, and usage limits.</w:t>
      </w:r>
    </w:p>
    <w:p>
      <w:pPr>
        <w:pStyle w:val="BodyText"/>
        <w:numPr>
          <w:ilvl w:val="0"/>
          <w:numId w:val="33"/>
        </w:numPr>
        <w:tabs>
          <w:tab w:val="clear" w:pos="709"/>
          <w:tab w:val="left" w:pos="0" w:leader="none"/>
        </w:tabs>
        <w:ind w:hanging="283" w:start="709"/>
        <w:rPr/>
      </w:pPr>
      <w:r>
        <w:rPr>
          <w:rStyle w:val="Strong"/>
        </w:rPr>
        <w:t>Provenance tracking.</w:t>
      </w:r>
      <w:r>
        <w:rPr/>
        <w:t xml:space="preserve"> Persistent identifiers linking each reasoning event to authorized context.</w:t>
      </w:r>
    </w:p>
    <w:p>
      <w:pPr>
        <w:pStyle w:val="BodyText"/>
        <w:numPr>
          <w:ilvl w:val="0"/>
          <w:numId w:val="33"/>
        </w:numPr>
        <w:tabs>
          <w:tab w:val="clear" w:pos="709"/>
          <w:tab w:val="left" w:pos="0" w:leader="none"/>
        </w:tabs>
        <w:ind w:hanging="283" w:start="709"/>
        <w:rPr/>
      </w:pPr>
      <w:r>
        <w:rPr>
          <w:rStyle w:val="Strong"/>
        </w:rPr>
        <w:t>Consent verification.</w:t>
      </w:r>
      <w:r>
        <w:rPr/>
        <w:t xml:space="preserve"> Mechanisms to validate custodial or participant permission before reasoning begins.</w:t>
      </w:r>
    </w:p>
    <w:p>
      <w:pPr>
        <w:pStyle w:val="BodyText"/>
        <w:numPr>
          <w:ilvl w:val="0"/>
          <w:numId w:val="33"/>
        </w:numPr>
        <w:tabs>
          <w:tab w:val="clear" w:pos="709"/>
          <w:tab w:val="left" w:pos="0" w:leader="none"/>
        </w:tabs>
        <w:ind w:hanging="283" w:start="709"/>
        <w:rPr/>
      </w:pPr>
      <w:r>
        <w:rPr>
          <w:rStyle w:val="Strong"/>
        </w:rPr>
        <w:t>Governance manifests.</w:t>
      </w:r>
      <w:r>
        <w:rPr/>
        <w:t xml:space="preserve"> Summaries of applied policies stored for audit and review.</w:t>
      </w:r>
    </w:p>
    <w:p>
      <w:pPr>
        <w:pStyle w:val="BodyText"/>
        <w:rPr/>
      </w:pPr>
      <w:r>
        <w:rPr/>
        <w:t>The governance layer converts human agreements—legal, ethical, or institutional—into computationally enforceable parameters.</w:t>
        <w:br/>
        <w:t>It is the ethical boundary within which every reasoning event must occur.</w:t>
      </w:r>
    </w:p>
    <w:p>
      <w:pPr>
        <w:pStyle w:val="BodyText"/>
        <w:bidi w:val="0"/>
        <w:jc w:val="start"/>
        <w:rPr>
          <w:rStyle w:val="Strong"/>
        </w:rPr>
      </w:pPr>
      <w:r>
        <w:rPr/>
      </w:r>
    </w:p>
    <w:p>
      <w:pPr>
        <w:pStyle w:val="Heading3"/>
        <w:bidi w:val="0"/>
        <w:jc w:val="start"/>
        <w:rPr/>
      </w:pPr>
      <w:r>
        <w:rPr>
          <w:rStyle w:val="Strong"/>
          <w:b/>
          <w:bCs/>
        </w:rPr>
        <w:t>4.2 Reasoning Layer — Bounded Intelligence</w:t>
      </w:r>
    </w:p>
    <w:p>
      <w:pPr>
        <w:pStyle w:val="BodyText"/>
        <w:bidi w:val="0"/>
        <w:jc w:val="start"/>
        <w:rPr/>
      </w:pPr>
      <w:r>
        <w:rPr/>
        <w:t>The reasoning layer performs analysis and inference inside the constraints defined above.</w:t>
        <w:br/>
        <w:t xml:space="preserve">Here, models, agents, or composite systems execute reasoning tasks—querying, summarizing, classifying, forecasting—but always within a </w:t>
      </w:r>
      <w:r>
        <w:rPr>
          <w:rStyle w:val="Strong"/>
        </w:rPr>
        <w:t>governed sandbox</w:t>
      </w:r>
      <w:r>
        <w:rPr/>
        <w:t>.</w:t>
      </w:r>
    </w:p>
    <w:p>
      <w:pPr>
        <w:pStyle w:val="BodyText"/>
        <w:bidi w:val="0"/>
        <w:jc w:val="start"/>
        <w:rPr/>
      </w:pPr>
      <w:r>
        <w:rPr>
          <w:rStyle w:val="Strong"/>
        </w:rPr>
        <w:t>Key design properties</w:t>
      </w:r>
    </w:p>
    <w:p>
      <w:pPr>
        <w:pStyle w:val="BodyText"/>
        <w:numPr>
          <w:ilvl w:val="0"/>
          <w:numId w:val="1"/>
        </w:numPr>
        <w:tabs>
          <w:tab w:val="left" w:pos="709" w:leader="none"/>
        </w:tabs>
        <w:bidi w:val="0"/>
        <w:ind w:hanging="283" w:start="709"/>
        <w:jc w:val="start"/>
        <w:rPr/>
      </w:pPr>
      <w:r>
        <w:rPr>
          <w:rStyle w:val="Strong"/>
        </w:rPr>
        <w:t>Policy-aware retrieval.</w:t>
      </w:r>
      <w:r>
        <w:rPr/>
        <w:t xml:space="preserve"> Queries and searches respect access permissions and consent scope.</w:t>
      </w:r>
    </w:p>
    <w:p>
      <w:pPr>
        <w:pStyle w:val="BodyText"/>
        <w:numPr>
          <w:ilvl w:val="0"/>
          <w:numId w:val="1"/>
        </w:numPr>
        <w:tabs>
          <w:tab w:val="left" w:pos="709" w:leader="none"/>
        </w:tabs>
        <w:bidi w:val="0"/>
        <w:ind w:hanging="283" w:start="709"/>
        <w:jc w:val="start"/>
        <w:rPr/>
      </w:pPr>
      <w:r>
        <w:rPr>
          <w:rStyle w:val="Strong"/>
        </w:rPr>
        <w:t>Context-exchange protocols.</w:t>
      </w:r>
      <w:r>
        <w:rPr/>
        <w:t xml:space="preserve"> Secure interfaces pass information between reasoning components and governed data sources while maintaining provenance.</w:t>
      </w:r>
    </w:p>
    <w:p>
      <w:pPr>
        <w:pStyle w:val="BodyText"/>
        <w:numPr>
          <w:ilvl w:val="0"/>
          <w:numId w:val="1"/>
        </w:numPr>
        <w:tabs>
          <w:tab w:val="left" w:pos="709" w:leader="none"/>
        </w:tabs>
        <w:bidi w:val="0"/>
        <w:ind w:hanging="283" w:start="709"/>
        <w:jc w:val="start"/>
        <w:rPr/>
      </w:pPr>
      <w:r>
        <w:rPr>
          <w:rStyle w:val="Strong"/>
        </w:rPr>
        <w:t>Audit logging.</w:t>
      </w:r>
      <w:r>
        <w:rPr/>
        <w:t xml:space="preserve"> Every operation produces a verifiable trace of inputs, model versions, and outputs.</w:t>
      </w:r>
    </w:p>
    <w:p>
      <w:pPr>
        <w:pStyle w:val="BodyText"/>
        <w:numPr>
          <w:ilvl w:val="0"/>
          <w:numId w:val="1"/>
        </w:numPr>
        <w:tabs>
          <w:tab w:val="left" w:pos="709" w:leader="none"/>
        </w:tabs>
        <w:bidi w:val="0"/>
        <w:ind w:hanging="283" w:start="709"/>
        <w:jc w:val="start"/>
        <w:rPr/>
      </w:pPr>
      <w:r>
        <w:rPr>
          <w:rStyle w:val="Strong"/>
        </w:rPr>
        <w:t>Verifiable isolation.</w:t>
      </w:r>
      <w:r>
        <w:rPr/>
        <w:t xml:space="preserve"> Reasoning processes cannot access data or domains outside their authorized context.</w:t>
      </w:r>
    </w:p>
    <w:p>
      <w:pPr>
        <w:pStyle w:val="BodyText"/>
        <w:bidi w:val="0"/>
        <w:jc w:val="start"/>
        <w:rPr/>
      </w:pPr>
      <w:r>
        <w:rPr/>
        <w:t xml:space="preserve">RKL supports both </w:t>
      </w:r>
      <w:r>
        <w:rPr>
          <w:rStyle w:val="Strong"/>
        </w:rPr>
        <w:t>local deployments</w:t>
      </w:r>
      <w:r>
        <w:rPr/>
        <w:t xml:space="preserve">, where organizations host reasoning systems on-premises, and </w:t>
      </w:r>
      <w:r>
        <w:rPr>
          <w:rStyle w:val="Strong"/>
        </w:rPr>
        <w:t>shared compute environments</w:t>
      </w:r>
      <w:r>
        <w:rPr/>
        <w:t xml:space="preserve"> managed by RKL or trusted partners.</w:t>
        <w:br/>
        <w:t>In either case, governance remains local even if computation is distributed.</w:t>
      </w:r>
    </w:p>
    <w:p>
      <w:pPr>
        <w:pStyle w:val="HorizontalLine"/>
        <w:bidi w:val="0"/>
        <w:jc w:val="start"/>
        <w:rPr/>
      </w:pPr>
      <w:r>
        <w:rPr/>
      </w:r>
    </w:p>
    <w:p>
      <w:pPr>
        <w:pStyle w:val="Heading3"/>
        <w:bidi w:val="0"/>
        <w:jc w:val="start"/>
        <w:rPr/>
      </w:pPr>
      <w:r>
        <w:rPr>
          <w:rStyle w:val="Strong"/>
          <w:b/>
          <w:bCs/>
        </w:rPr>
        <w:t>4.3 Access Layer — Controlled Insight</w:t>
      </w:r>
    </w:p>
    <w:p>
      <w:pPr>
        <w:pStyle w:val="BodyText"/>
        <w:bidi w:val="0"/>
        <w:jc w:val="start"/>
        <w:rPr/>
      </w:pPr>
      <w:r>
        <w:rPr/>
        <w:t xml:space="preserve">The access layer determines what </w:t>
      </w:r>
      <w:r>
        <w:rPr>
          <w:rStyle w:val="Strong"/>
        </w:rPr>
        <w:t>insights</w:t>
      </w:r>
      <w:r>
        <w:rPr/>
        <w:t xml:space="preserve"> may leave the governed environment and under what conditions.</w:t>
        <w:br/>
        <w:t>It mediates communication between internal reasoning results and external consumers—staff, partners, or the public.</w:t>
      </w:r>
    </w:p>
    <w:p>
      <w:pPr>
        <w:pStyle w:val="BodyText"/>
        <w:bidi w:val="0"/>
        <w:jc w:val="start"/>
        <w:rPr/>
      </w:pPr>
      <w:r>
        <w:rPr>
          <w:rStyle w:val="Strong"/>
        </w:rPr>
        <w:t>Functions</w:t>
      </w:r>
    </w:p>
    <w:p>
      <w:pPr>
        <w:pStyle w:val="BodyText"/>
        <w:numPr>
          <w:ilvl w:val="0"/>
          <w:numId w:val="2"/>
        </w:numPr>
        <w:tabs>
          <w:tab w:val="left" w:pos="709" w:leader="none"/>
        </w:tabs>
        <w:bidi w:val="0"/>
        <w:ind w:hanging="283" w:start="709"/>
        <w:jc w:val="start"/>
        <w:rPr/>
      </w:pPr>
      <w:r>
        <w:rPr>
          <w:rStyle w:val="Strong"/>
        </w:rPr>
        <w:t>Attribution and licensing.</w:t>
      </w:r>
      <w:r>
        <w:rPr/>
        <w:t xml:space="preserve"> Embeds credit and usage rights into every output.</w:t>
      </w:r>
    </w:p>
    <w:p>
      <w:pPr>
        <w:pStyle w:val="BodyText"/>
        <w:numPr>
          <w:ilvl w:val="0"/>
          <w:numId w:val="2"/>
        </w:numPr>
        <w:tabs>
          <w:tab w:val="left" w:pos="709" w:leader="none"/>
        </w:tabs>
        <w:bidi w:val="0"/>
        <w:ind w:hanging="283" w:start="709"/>
        <w:jc w:val="start"/>
        <w:rPr/>
      </w:pPr>
      <w:r>
        <w:rPr>
          <w:rStyle w:val="Strong"/>
        </w:rPr>
        <w:t>Derived-insight validation.</w:t>
      </w:r>
      <w:r>
        <w:rPr/>
        <w:t xml:space="preserve"> Confirms that no restricted data elements are present in published results.</w:t>
      </w:r>
    </w:p>
    <w:p>
      <w:pPr>
        <w:pStyle w:val="BodyText"/>
        <w:numPr>
          <w:ilvl w:val="0"/>
          <w:numId w:val="2"/>
        </w:numPr>
        <w:tabs>
          <w:tab w:val="left" w:pos="709" w:leader="none"/>
        </w:tabs>
        <w:bidi w:val="0"/>
        <w:ind w:hanging="283" w:start="709"/>
        <w:jc w:val="start"/>
        <w:rPr/>
      </w:pPr>
      <w:r>
        <w:rPr>
          <w:rStyle w:val="Strong"/>
        </w:rPr>
        <w:t>Transparency interfaces.</w:t>
      </w:r>
      <w:r>
        <w:rPr/>
        <w:t xml:space="preserve"> Dashboards and APIs provide visibility into reasoning activity for auditors and stakeholders.</w:t>
      </w:r>
    </w:p>
    <w:p>
      <w:pPr>
        <w:pStyle w:val="BodyText"/>
        <w:numPr>
          <w:ilvl w:val="0"/>
          <w:numId w:val="2"/>
        </w:numPr>
        <w:tabs>
          <w:tab w:val="left" w:pos="709" w:leader="none"/>
        </w:tabs>
        <w:bidi w:val="0"/>
        <w:ind w:hanging="283" w:start="709"/>
        <w:jc w:val="start"/>
        <w:rPr/>
      </w:pPr>
      <w:r>
        <w:rPr>
          <w:rStyle w:val="Strong"/>
        </w:rPr>
        <w:t>Revocation and updates.</w:t>
      </w:r>
      <w:r>
        <w:rPr/>
        <w:t xml:space="preserve"> Allows custodians to withdraw or revise published insights if governance terms change.</w:t>
      </w:r>
    </w:p>
    <w:p>
      <w:pPr>
        <w:pStyle w:val="BodyText"/>
        <w:bidi w:val="0"/>
        <w:jc w:val="start"/>
        <w:rPr/>
      </w:pPr>
      <w:r>
        <w:rPr/>
        <w:t>By ensuring that only approved insights cross the boundary, the access layer completes the governance loop—keeping reasoning accountable from initiation to dissemination.</w:t>
      </w:r>
    </w:p>
    <w:p>
      <w:pPr>
        <w:pStyle w:val="HorizontalLine"/>
        <w:bidi w:val="0"/>
        <w:jc w:val="start"/>
        <w:rPr/>
      </w:pPr>
      <w:r>
        <w:rPr/>
      </w:r>
    </w:p>
    <w:p>
      <w:pPr>
        <w:pStyle w:val="Heading3"/>
        <w:bidi w:val="0"/>
        <w:jc w:val="start"/>
        <w:rPr/>
      </w:pPr>
      <w:r>
        <w:rPr>
          <w:rStyle w:val="Strong"/>
          <w:b/>
          <w:bCs/>
        </w:rPr>
        <w:t>4.4 Infrastructure and Tooling</w:t>
      </w:r>
    </w:p>
    <w:p>
      <w:pPr>
        <w:pStyle w:val="BodyText"/>
        <w:bidi w:val="0"/>
        <w:jc w:val="start"/>
        <w:rPr/>
      </w:pPr>
      <w:r>
        <w:rPr/>
        <w:t>To make this framework practical, RKL is developing an open suite of interoperable tools that embody these layers:</w:t>
      </w:r>
    </w:p>
    <w:p>
      <w:pPr>
        <w:pStyle w:val="BodyText"/>
        <w:numPr>
          <w:ilvl w:val="0"/>
          <w:numId w:val="3"/>
        </w:numPr>
        <w:tabs>
          <w:tab w:val="left" w:pos="709" w:leader="none"/>
        </w:tabs>
        <w:bidi w:val="0"/>
        <w:ind w:hanging="283" w:start="709"/>
        <w:jc w:val="start"/>
        <w:rPr/>
      </w:pPr>
      <w:r>
        <w:rPr>
          <w:rStyle w:val="Strong"/>
        </w:rPr>
        <w:t>Governance registries</w:t>
      </w:r>
      <w:r>
        <w:rPr/>
        <w:t xml:space="preserve"> to manage policy manifests and custodial metadata.</w:t>
      </w:r>
    </w:p>
    <w:p>
      <w:pPr>
        <w:pStyle w:val="BodyText"/>
        <w:numPr>
          <w:ilvl w:val="0"/>
          <w:numId w:val="3"/>
        </w:numPr>
        <w:tabs>
          <w:tab w:val="left" w:pos="709" w:leader="none"/>
        </w:tabs>
        <w:bidi w:val="0"/>
        <w:ind w:hanging="283" w:start="709"/>
        <w:jc w:val="start"/>
        <w:rPr/>
      </w:pPr>
      <w:r>
        <w:rPr>
          <w:rStyle w:val="Strong"/>
        </w:rPr>
        <w:t>Context-exchange protocols</w:t>
      </w:r>
      <w:r>
        <w:rPr/>
        <w:t xml:space="preserve"> for secure communication between models and knowledge domains.</w:t>
      </w:r>
    </w:p>
    <w:p>
      <w:pPr>
        <w:pStyle w:val="BodyText"/>
        <w:numPr>
          <w:ilvl w:val="0"/>
          <w:numId w:val="3"/>
        </w:numPr>
        <w:tabs>
          <w:tab w:val="left" w:pos="709" w:leader="none"/>
        </w:tabs>
        <w:bidi w:val="0"/>
        <w:ind w:hanging="283" w:start="709"/>
        <w:jc w:val="start"/>
        <w:rPr/>
      </w:pPr>
      <w:r>
        <w:rPr>
          <w:rStyle w:val="Strong"/>
        </w:rPr>
        <w:t>Audit and provenance services</w:t>
      </w:r>
      <w:r>
        <w:rPr/>
        <w:t xml:space="preserve"> for transparent trace reconstruction.</w:t>
      </w:r>
    </w:p>
    <w:p>
      <w:pPr>
        <w:pStyle w:val="BodyText"/>
        <w:numPr>
          <w:ilvl w:val="0"/>
          <w:numId w:val="3"/>
        </w:numPr>
        <w:tabs>
          <w:tab w:val="left" w:pos="709" w:leader="none"/>
        </w:tabs>
        <w:bidi w:val="0"/>
        <w:ind w:hanging="283" w:start="709"/>
        <w:jc w:val="start"/>
        <w:rPr/>
      </w:pPr>
      <w:r>
        <w:rPr>
          <w:rStyle w:val="Strong"/>
        </w:rPr>
        <w:t>Deployment templates</w:t>
      </w:r>
      <w:r>
        <w:rPr/>
        <w:t xml:space="preserve"> for both on-prem and hybrid reasoning environments.</w:t>
      </w:r>
    </w:p>
    <w:p>
      <w:pPr>
        <w:pStyle w:val="BodyText"/>
        <w:numPr>
          <w:ilvl w:val="0"/>
          <w:numId w:val="3"/>
        </w:numPr>
        <w:tabs>
          <w:tab w:val="left" w:pos="709" w:leader="none"/>
        </w:tabs>
        <w:bidi w:val="0"/>
        <w:ind w:hanging="283" w:start="709"/>
        <w:jc w:val="start"/>
        <w:rPr/>
      </w:pPr>
      <w:r>
        <w:rPr>
          <w:rStyle w:val="Strong"/>
        </w:rPr>
        <w:t>Governed APIs</w:t>
      </w:r>
      <w:r>
        <w:rPr/>
        <w:t xml:space="preserve"> that allow institutions to select external models while maintaining local policy control.</w:t>
      </w:r>
    </w:p>
    <w:p>
      <w:pPr>
        <w:pStyle w:val="BodyText"/>
        <w:bidi w:val="0"/>
        <w:jc w:val="start"/>
        <w:rPr/>
      </w:pPr>
      <w:r>
        <w:rPr/>
        <w:t xml:space="preserve">These tools are designed as </w:t>
      </w:r>
      <w:r>
        <w:rPr>
          <w:rStyle w:val="Strong"/>
        </w:rPr>
        <w:t>public-interest infrastructure</w:t>
      </w:r>
      <w:r>
        <w:rPr/>
        <w:t>—openly documented, auditable, and adaptable across sectors.</w:t>
        <w:br/>
        <w:t>They provide the foundation on which partners can build domain-specific reasoning systems while adhering to common standards of accountability.</w:t>
      </w:r>
    </w:p>
    <w:p>
      <w:pPr>
        <w:pStyle w:val="HorizontalLine"/>
        <w:bidi w:val="0"/>
        <w:jc w:val="start"/>
        <w:rPr/>
      </w:pPr>
      <w:r>
        <w:rPr/>
      </w:r>
    </w:p>
    <w:p>
      <w:pPr>
        <w:pStyle w:val="Heading3"/>
        <w:bidi w:val="0"/>
        <w:jc w:val="start"/>
        <w:rPr/>
      </w:pPr>
      <w:r>
        <w:rPr>
          <w:rStyle w:val="Strong"/>
          <w:b/>
          <w:bCs/>
        </w:rPr>
        <w:t>4.5 RKL’s Role</w:t>
      </w:r>
    </w:p>
    <w:p>
      <w:pPr>
        <w:pStyle w:val="BodyText"/>
        <w:bidi w:val="0"/>
        <w:jc w:val="start"/>
        <w:rPr/>
      </w:pPr>
      <w:r>
        <w:rPr/>
        <w:t>RKL’s role extends beyond software development.</w:t>
        <w:br/>
        <w:t xml:space="preserve">It acts as a </w:t>
      </w:r>
      <w:r>
        <w:rPr>
          <w:rStyle w:val="Strong"/>
        </w:rPr>
        <w:t>neutral convener</w:t>
      </w:r>
      <w:r>
        <w:rPr/>
        <w:t xml:space="preserve"> linking technical experts, policymakers, and data custodians to co-design governance protocols that reflect real-world constraints.</w:t>
        <w:br/>
        <w:t>The lab maintains reference implementations, coordinates pilot projects, and supports partner organizations in deploying secure-reasoning environments aligned with their missions and capacities.</w:t>
      </w:r>
    </w:p>
    <w:p>
      <w:pPr>
        <w:pStyle w:val="BodyText"/>
        <w:bidi w:val="0"/>
        <w:jc w:val="start"/>
        <w:rPr/>
      </w:pPr>
      <w:r>
        <w:rPr/>
        <w:t xml:space="preserve">Through these activities, RKL aims to establish an ecosystem where </w:t>
      </w:r>
      <w:r>
        <w:rPr>
          <w:rStyle w:val="Strong"/>
        </w:rPr>
        <w:t>secure reasoning becomes a shared standard</w:t>
      </w:r>
      <w:r>
        <w:rPr/>
        <w:t>—a baseline expectation for any AI system interacting with sensitive or valuable knowledge domains.</w:t>
      </w:r>
    </w:p>
    <w:p>
      <w:pPr>
        <w:pStyle w:val="HorizontalLine"/>
        <w:bidi w:val="0"/>
        <w:jc w:val="start"/>
        <w:rPr/>
      </w:pPr>
      <w:r>
        <w:rPr/>
      </w:r>
    </w:p>
    <w:p>
      <w:pPr>
        <w:pStyle w:val="Heading3"/>
        <w:bidi w:val="0"/>
        <w:jc w:val="start"/>
        <w:rPr/>
      </w:pPr>
      <w:r>
        <w:rPr>
          <w:rStyle w:val="Strong"/>
          <w:b/>
          <w:bCs/>
        </w:rPr>
        <w:t>Transition to Section 5</w:t>
      </w:r>
    </w:p>
    <w:p>
      <w:pPr>
        <w:pStyle w:val="BodyText"/>
        <w:bidi w:val="0"/>
        <w:jc w:val="start"/>
        <w:rPr/>
      </w:pPr>
      <w:r>
        <w:rPr/>
        <w:t>The next section outlines how RKL applies this framework across different modes of practice—ranging from fully internal reasoning environments to open collaborations that share derived insights while keeping data, information, and knowledge under local authority.</w:t>
      </w:r>
    </w:p>
    <w:p>
      <w:pPr>
        <w:pStyle w:val="BodyText"/>
        <w:bidi w:val="0"/>
        <w:jc w:val="start"/>
        <w:rPr/>
      </w:pPr>
      <w:r>
        <w:rPr/>
      </w:r>
    </w:p>
    <w:p>
      <w:pPr>
        <w:pStyle w:val="Heading2"/>
        <w:bidi w:val="0"/>
        <w:jc w:val="start"/>
        <w:rPr/>
      </w:pPr>
      <w:r>
        <w:rPr>
          <w:rStyle w:val="Strong"/>
          <w:b/>
          <w:bCs/>
        </w:rPr>
        <w:t>5. Modes of Practice</w:t>
      </w:r>
    </w:p>
    <w:p>
      <w:pPr>
        <w:pStyle w:val="BodyText"/>
        <w:bidi w:val="0"/>
        <w:jc w:val="start"/>
        <w:rPr/>
      </w:pPr>
      <w:r>
        <w:rPr/>
        <w:t>Secure reasoning is not a single deployment model but a continuum of practice that balances governance, openness, and collaboration.</w:t>
        <w:br/>
        <w:t>Different organizations, missions, and risk profiles require different ways of applying RKL’s framework.</w:t>
        <w:br/>
        <w:t xml:space="preserve">To make these distinctions operational, RKL defines </w:t>
      </w:r>
      <w:r>
        <w:rPr>
          <w:rStyle w:val="Strong"/>
        </w:rPr>
        <w:t>three complementary modes of practice</w:t>
      </w:r>
      <w:r>
        <w:rPr/>
        <w:t xml:space="preserve">: </w:t>
      </w:r>
      <w:r>
        <w:rPr>
          <w:rStyle w:val="Strong"/>
        </w:rPr>
        <w:t>Type I (CARE-Focused), Type II (Open Knowledge Sharing), and Type III (CARE-Enabled Insight Exchange).</w:t>
      </w:r>
    </w:p>
    <w:p>
      <w:pPr>
        <w:pStyle w:val="BodyText"/>
        <w:bidi w:val="0"/>
        <w:jc w:val="start"/>
        <w:rPr/>
      </w:pPr>
      <w:r>
        <w:rPr/>
        <w:t xml:space="preserve">Each mode expresses the </w:t>
      </w:r>
      <w:r>
        <w:rPr>
          <w:rStyle w:val="Strong"/>
        </w:rPr>
        <w:t>CARE principles—Collective Benefit, Authority to Control, Responsibility, and Ethics—in action.</w:t>
      </w:r>
      <w:r>
        <w:rPr/>
        <w:br/>
        <w:t>CARE serves as the ethical architecture for secure reasoning: authority and responsibility remain local, decisions are transparent, and collective benefit guides how insights are shared.</w:t>
      </w:r>
    </w:p>
    <w:p>
      <w:pPr>
        <w:pStyle w:val="HorizontalLine"/>
        <w:bidi w:val="0"/>
        <w:jc w:val="start"/>
        <w:rPr/>
      </w:pPr>
      <w:r>
        <w:rPr/>
      </w:r>
    </w:p>
    <w:p>
      <w:pPr>
        <w:pStyle w:val="Heading3"/>
        <w:bidi w:val="0"/>
        <w:jc w:val="start"/>
        <w:rPr/>
      </w:pPr>
      <w:r>
        <w:rPr>
          <w:rStyle w:val="Strong"/>
          <w:b/>
          <w:bCs/>
        </w:rPr>
        <w:t>5.1 Type I – CARE-Focused / Private Reasoning</w:t>
      </w:r>
    </w:p>
    <w:p>
      <w:pPr>
        <w:pStyle w:val="BodyText"/>
        <w:bidi w:val="0"/>
        <w:jc w:val="start"/>
        <w:rPr/>
      </w:pPr>
      <w:r>
        <w:rPr>
          <w:rStyle w:val="Strong"/>
        </w:rPr>
        <w:t>Purpose:</w:t>
      </w:r>
      <w:r>
        <w:rPr/>
        <w:t xml:space="preserve"> Enable AI reasoning entirely within an organization’s own environment while maintaining full custody of all data, information, and knowledge assets.</w:t>
      </w:r>
    </w:p>
    <w:p>
      <w:pPr>
        <w:pStyle w:val="BodyText"/>
        <w:bidi w:val="0"/>
        <w:jc w:val="start"/>
        <w:rPr/>
      </w:pPr>
      <w:r>
        <w:rPr>
          <w:rStyle w:val="Strong"/>
        </w:rPr>
        <w:t>Description</w:t>
      </w:r>
      <w:r>
        <w:rPr/>
        <w:br/>
        <w:t>In this mode, reasoning systems operate on-premises or in secure virtual enclaves under institutional control.</w:t>
        <w:br/>
        <w:t>No raw content leaves the environment.</w:t>
        <w:br/>
        <w:t>This configuration supports legal, fiduciary, and ethical obligations—including those protecting personal, health, financial, or proprietary information.</w:t>
      </w:r>
    </w:p>
    <w:p>
      <w:pPr>
        <w:pStyle w:val="BodyText"/>
        <w:bidi w:val="0"/>
        <w:jc w:val="start"/>
        <w:rPr/>
      </w:pPr>
      <w:r>
        <w:rPr>
          <w:rStyle w:val="Strong"/>
        </w:rPr>
        <w:t>Characteristics</w:t>
      </w:r>
    </w:p>
    <w:p>
      <w:pPr>
        <w:pStyle w:val="BodyText"/>
        <w:numPr>
          <w:ilvl w:val="0"/>
          <w:numId w:val="9"/>
        </w:numPr>
        <w:tabs>
          <w:tab w:val="left" w:pos="709" w:leader="none"/>
        </w:tabs>
        <w:bidi w:val="0"/>
        <w:ind w:hanging="283" w:start="709"/>
        <w:jc w:val="start"/>
        <w:rPr/>
      </w:pPr>
      <w:r>
        <w:rPr/>
        <w:t>Strongest governance and confidentiality requirements.</w:t>
      </w:r>
    </w:p>
    <w:p>
      <w:pPr>
        <w:pStyle w:val="BodyText"/>
        <w:numPr>
          <w:ilvl w:val="0"/>
          <w:numId w:val="9"/>
        </w:numPr>
        <w:tabs>
          <w:tab w:val="left" w:pos="709" w:leader="none"/>
        </w:tabs>
        <w:bidi w:val="0"/>
        <w:ind w:hanging="283" w:start="709"/>
        <w:jc w:val="start"/>
        <w:rPr/>
      </w:pPr>
      <w:r>
        <w:rPr/>
        <w:t>High assurance of consent, provenance, and auditability.</w:t>
      </w:r>
    </w:p>
    <w:p>
      <w:pPr>
        <w:pStyle w:val="BodyText"/>
        <w:numPr>
          <w:ilvl w:val="0"/>
          <w:numId w:val="9"/>
        </w:numPr>
        <w:tabs>
          <w:tab w:val="left" w:pos="709" w:leader="none"/>
        </w:tabs>
        <w:bidi w:val="0"/>
        <w:ind w:hanging="283" w:start="709"/>
        <w:jc w:val="start"/>
        <w:rPr/>
      </w:pPr>
      <w:r>
        <w:rPr/>
        <w:t>Reasoning occurs over internal knowledge domains to support policy, research, or operational decisions.</w:t>
      </w:r>
    </w:p>
    <w:p>
      <w:pPr>
        <w:pStyle w:val="BodyText"/>
        <w:bidi w:val="0"/>
        <w:jc w:val="start"/>
        <w:rPr/>
      </w:pPr>
      <w:r>
        <w:rPr>
          <w:rStyle w:val="Strong"/>
        </w:rPr>
        <w:t>Example</w:t>
      </w:r>
      <w:r>
        <w:rPr/>
        <w:br/>
        <w:t>A regional health authority uses secure reasoning to analyze aggregated patient outcomes.</w:t>
        <w:br/>
        <w:t>All data remain local; only approved statistical insights inform policy design.</w:t>
      </w:r>
    </w:p>
    <w:p>
      <w:pPr>
        <w:pStyle w:val="HorizontalLine"/>
        <w:bidi w:val="0"/>
        <w:jc w:val="start"/>
        <w:rPr/>
      </w:pPr>
      <w:r>
        <w:rPr/>
      </w:r>
    </w:p>
    <w:p>
      <w:pPr>
        <w:pStyle w:val="Heading3"/>
        <w:bidi w:val="0"/>
        <w:jc w:val="start"/>
        <w:rPr/>
      </w:pPr>
      <w:r>
        <w:rPr>
          <w:rStyle w:val="Strong"/>
          <w:b/>
          <w:bCs/>
        </w:rPr>
        <w:t>5.2 Type II – Open Knowledge Sharing</w:t>
      </w:r>
    </w:p>
    <w:p>
      <w:pPr>
        <w:pStyle w:val="BodyText"/>
        <w:bidi w:val="0"/>
        <w:jc w:val="start"/>
        <w:rPr/>
      </w:pPr>
      <w:r>
        <w:rPr>
          <w:rStyle w:val="Strong"/>
        </w:rPr>
        <w:t>Purpose:</w:t>
      </w:r>
      <w:r>
        <w:rPr/>
        <w:t xml:space="preserve"> Support responsible, transparent reasoning with intentionally public or collaborative knowledge domains.</w:t>
      </w:r>
    </w:p>
    <w:p>
      <w:pPr>
        <w:pStyle w:val="BodyText"/>
        <w:bidi w:val="0"/>
        <w:jc w:val="start"/>
        <w:rPr/>
      </w:pPr>
      <w:r>
        <w:rPr>
          <w:rStyle w:val="Strong"/>
        </w:rPr>
        <w:t>Description</w:t>
      </w:r>
      <w:r>
        <w:rPr/>
        <w:br/>
        <w:t>Organizations using this mode make selected information resources openly accessible for education, research, or public engagement.</w:t>
        <w:br/>
        <w:t>Governance ensures attribution, accuracy, and reciprocity while AI reasoning enhances interpretability and reach.</w:t>
        <w:br/>
        <w:t xml:space="preserve">Here, </w:t>
      </w:r>
      <w:r>
        <w:rPr>
          <w:rStyle w:val="Strong"/>
        </w:rPr>
        <w:t>CARE’s “Responsibility” and “Ethics”</w:t>
      </w:r>
      <w:r>
        <w:rPr/>
        <w:t xml:space="preserve"> balance openness with respect for custodial context.</w:t>
      </w:r>
    </w:p>
    <w:p>
      <w:pPr>
        <w:pStyle w:val="BodyText"/>
        <w:bidi w:val="0"/>
        <w:jc w:val="start"/>
        <w:rPr/>
      </w:pPr>
      <w:r>
        <w:rPr>
          <w:rStyle w:val="Strong"/>
        </w:rPr>
        <w:t>Characteristics</w:t>
      </w:r>
    </w:p>
    <w:p>
      <w:pPr>
        <w:pStyle w:val="BodyText"/>
        <w:numPr>
          <w:ilvl w:val="0"/>
          <w:numId w:val="10"/>
        </w:numPr>
        <w:tabs>
          <w:tab w:val="left" w:pos="709" w:leader="none"/>
        </w:tabs>
        <w:bidi w:val="0"/>
        <w:ind w:hanging="283" w:start="709"/>
        <w:jc w:val="start"/>
        <w:rPr/>
      </w:pPr>
      <w:r>
        <w:rPr/>
        <w:t>Reasoning occurs on open or shared information under explicit governance.</w:t>
      </w:r>
    </w:p>
    <w:p>
      <w:pPr>
        <w:pStyle w:val="BodyText"/>
        <w:numPr>
          <w:ilvl w:val="0"/>
          <w:numId w:val="10"/>
        </w:numPr>
        <w:tabs>
          <w:tab w:val="left" w:pos="709" w:leader="none"/>
        </w:tabs>
        <w:bidi w:val="0"/>
        <w:ind w:hanging="283" w:start="709"/>
        <w:jc w:val="start"/>
        <w:rPr/>
      </w:pPr>
      <w:r>
        <w:rPr/>
        <w:t>Emphasis on interpretability, provenance, and community benefit.</w:t>
      </w:r>
    </w:p>
    <w:p>
      <w:pPr>
        <w:pStyle w:val="BodyText"/>
        <w:numPr>
          <w:ilvl w:val="0"/>
          <w:numId w:val="10"/>
        </w:numPr>
        <w:tabs>
          <w:tab w:val="left" w:pos="709" w:leader="none"/>
        </w:tabs>
        <w:bidi w:val="0"/>
        <w:ind w:hanging="283" w:start="709"/>
        <w:jc w:val="start"/>
        <w:rPr/>
      </w:pPr>
      <w:r>
        <w:rPr/>
        <w:t>Useful for research, citizen science, or educational applications.</w:t>
      </w:r>
    </w:p>
    <w:p>
      <w:pPr>
        <w:pStyle w:val="BodyText"/>
        <w:bidi w:val="0"/>
        <w:jc w:val="start"/>
        <w:rPr/>
      </w:pPr>
      <w:r>
        <w:rPr>
          <w:rStyle w:val="Strong"/>
        </w:rPr>
        <w:t>Example</w:t>
      </w:r>
      <w:r>
        <w:rPr/>
        <w:br/>
        <w:t xml:space="preserve">The </w:t>
      </w:r>
      <w:r>
        <w:rPr>
          <w:rStyle w:val="Emphasis"/>
        </w:rPr>
        <w:t>Open Ocean Research Project</w:t>
      </w:r>
      <w:r>
        <w:rPr/>
        <w:t xml:space="preserve"> demonstrates this mode.</w:t>
        <w:br/>
        <w:t>RKL’s framework enables transparent reasoning on open marine-plastics data, producing verified summaries for educators and policymakers without altering source datasets.</w:t>
      </w:r>
    </w:p>
    <w:p>
      <w:pPr>
        <w:pStyle w:val="HorizontalLine"/>
        <w:bidi w:val="0"/>
        <w:jc w:val="start"/>
        <w:rPr/>
      </w:pPr>
      <w:r>
        <w:rPr/>
      </w:r>
    </w:p>
    <w:p>
      <w:pPr>
        <w:pStyle w:val="Heading3"/>
        <w:bidi w:val="0"/>
        <w:jc w:val="start"/>
        <w:rPr/>
      </w:pPr>
      <w:r>
        <w:rPr>
          <w:rStyle w:val="Strong"/>
          <w:b/>
          <w:bCs/>
        </w:rPr>
        <w:t>5.3 Type III – CARE-Enabled Insight Exchange</w:t>
      </w:r>
    </w:p>
    <w:p>
      <w:pPr>
        <w:pStyle w:val="BodyText"/>
        <w:bidi w:val="0"/>
        <w:jc w:val="start"/>
        <w:rPr/>
      </w:pPr>
      <w:r>
        <w:rPr>
          <w:rStyle w:val="Strong"/>
        </w:rPr>
        <w:t>Purpose:</w:t>
      </w:r>
      <w:r>
        <w:rPr/>
        <w:t xml:space="preserve"> Share </w:t>
      </w:r>
      <w:r>
        <w:rPr>
          <w:rStyle w:val="Strong"/>
        </w:rPr>
        <w:t>derived insights</w:t>
      </w:r>
      <w:r>
        <w:rPr/>
        <w:t xml:space="preserve"> across boundaries while keeping original data, information, and knowledge under local authority.</w:t>
      </w:r>
    </w:p>
    <w:p>
      <w:pPr>
        <w:pStyle w:val="BodyText"/>
        <w:bidi w:val="0"/>
        <w:jc w:val="start"/>
        <w:rPr/>
      </w:pPr>
      <w:r>
        <w:rPr>
          <w:rStyle w:val="Strong"/>
        </w:rPr>
        <w:t>Description</w:t>
      </w:r>
      <w:r>
        <w:rPr/>
        <w:br/>
        <w:t>Type III is the transformative expression of CARE.</w:t>
        <w:br/>
        <w:t>It links local control (Authority to Control + Responsibility) with collective benefit by enabling governed exchange of results rather than raw data.</w:t>
        <w:br/>
        <w:t>AI systems generate aggregated or anonymized insights that contribute to shared understanding without revealing protected inputs.</w:t>
      </w:r>
    </w:p>
    <w:p>
      <w:pPr>
        <w:pStyle w:val="BodyText"/>
        <w:bidi w:val="0"/>
        <w:jc w:val="start"/>
        <w:rPr/>
      </w:pPr>
      <w:r>
        <w:rPr>
          <w:rStyle w:val="Strong"/>
        </w:rPr>
        <w:t>Characteristics</w:t>
      </w:r>
    </w:p>
    <w:p>
      <w:pPr>
        <w:pStyle w:val="BodyText"/>
        <w:numPr>
          <w:ilvl w:val="0"/>
          <w:numId w:val="11"/>
        </w:numPr>
        <w:tabs>
          <w:tab w:val="left" w:pos="709" w:leader="none"/>
        </w:tabs>
        <w:bidi w:val="0"/>
        <w:ind w:hanging="283" w:start="709"/>
        <w:jc w:val="start"/>
        <w:rPr/>
      </w:pPr>
      <w:r>
        <w:rPr/>
        <w:t>Combines local custody with federated reasoning.</w:t>
      </w:r>
    </w:p>
    <w:p>
      <w:pPr>
        <w:pStyle w:val="BodyText"/>
        <w:numPr>
          <w:ilvl w:val="0"/>
          <w:numId w:val="11"/>
        </w:numPr>
        <w:tabs>
          <w:tab w:val="left" w:pos="709" w:leader="none"/>
        </w:tabs>
        <w:bidi w:val="0"/>
        <w:ind w:hanging="283" w:start="709"/>
        <w:jc w:val="start"/>
        <w:rPr/>
      </w:pPr>
      <w:r>
        <w:rPr/>
        <w:t>Derived outputs include provenance, attribution, and usage conditions.</w:t>
      </w:r>
    </w:p>
    <w:p>
      <w:pPr>
        <w:pStyle w:val="BodyText"/>
        <w:numPr>
          <w:ilvl w:val="0"/>
          <w:numId w:val="11"/>
        </w:numPr>
        <w:tabs>
          <w:tab w:val="left" w:pos="709" w:leader="none"/>
        </w:tabs>
        <w:bidi w:val="0"/>
        <w:ind w:hanging="283" w:start="709"/>
        <w:jc w:val="start"/>
        <w:rPr/>
      </w:pPr>
      <w:r>
        <w:rPr/>
        <w:t>Supports distributed decision-making, cross-sector research, and multi-party planning.</w:t>
      </w:r>
    </w:p>
    <w:p>
      <w:pPr>
        <w:pStyle w:val="BodyText"/>
        <w:bidi w:val="0"/>
        <w:jc w:val="start"/>
        <w:rPr/>
      </w:pPr>
      <w:r>
        <w:rPr>
          <w:rStyle w:val="Strong"/>
        </w:rPr>
        <w:t>Example</w:t>
      </w:r>
      <w:r>
        <w:rPr/>
        <w:br/>
        <w:t>A coastal community hosts environmental sensors and oral-history archives locally.</w:t>
        <w:br/>
        <w:t>Through secure reasoning, it generates climate-impact summaries shared with regional and national partners for adaptation planning—insights move, stewardship stays local.</w:t>
      </w:r>
    </w:p>
    <w:p>
      <w:pPr>
        <w:pStyle w:val="HorizontalLine"/>
        <w:bidi w:val="0"/>
        <w:jc w:val="start"/>
        <w:rPr/>
      </w:pPr>
      <w:r>
        <w:rPr/>
      </w:r>
    </w:p>
    <w:p>
      <w:pPr>
        <w:pStyle w:val="Heading3"/>
        <w:bidi w:val="0"/>
        <w:jc w:val="start"/>
        <w:rPr/>
      </w:pPr>
      <w:r>
        <w:rPr>
          <w:rStyle w:val="Strong"/>
          <w:b/>
          <w:bCs/>
        </w:rPr>
        <w:t>5.4 Blended Modes in Practice</w:t>
      </w:r>
    </w:p>
    <w:p>
      <w:pPr>
        <w:pStyle w:val="BodyText"/>
        <w:bidi w:val="0"/>
        <w:jc w:val="start"/>
        <w:rPr/>
      </w:pPr>
      <w:r>
        <w:rPr/>
        <w:t>Few organizations operate in only one mode.</w:t>
        <w:br/>
        <w:t xml:space="preserve">Most maintain </w:t>
      </w:r>
      <w:r>
        <w:rPr>
          <w:rStyle w:val="Strong"/>
        </w:rPr>
        <w:t>a portfolio of knowledge domains</w:t>
      </w:r>
      <w:r>
        <w:rPr/>
        <w:t>—some requiring strict confidentiality (Type I), others intentionally open (Type II), and still others suited to derived-insight exchange (Type III).</w:t>
        <w:br/>
        <w:t>RKL’s framework allows these modes to coexist under common governance metadata and audit standards.</w:t>
        <w:br/>
        <w:t>This flexibility is essential for institutions whose activities span research, policy, and public engagement.</w:t>
      </w:r>
    </w:p>
    <w:p>
      <w:pPr>
        <w:pStyle w:val="HorizontalLine"/>
        <w:bidi w:val="0"/>
        <w:jc w:val="start"/>
        <w:rPr/>
      </w:pPr>
      <w:r>
        <w:rPr/>
      </w:r>
    </w:p>
    <w:p>
      <w:pPr>
        <w:pStyle w:val="Heading3"/>
        <w:bidi w:val="0"/>
        <w:jc w:val="start"/>
        <w:rPr/>
      </w:pPr>
      <w:r>
        <w:rPr>
          <w:rStyle w:val="Strong"/>
          <w:b/>
          <w:bCs/>
        </w:rPr>
        <w:t>5.5 Strategic Implications</w:t>
      </w:r>
    </w:p>
    <w:p>
      <w:pPr>
        <w:pStyle w:val="BodyText"/>
        <w:bidi w:val="0"/>
        <w:jc w:val="start"/>
        <w:rPr/>
      </w:pPr>
      <w:r>
        <w:rPr/>
        <w:t>Understanding these modes helps organizations plan digital-governance strategies that align ethical, legal, and operational priorities:</w:t>
      </w:r>
    </w:p>
    <w:p>
      <w:pPr>
        <w:pStyle w:val="BodyText"/>
        <w:numPr>
          <w:ilvl w:val="0"/>
          <w:numId w:val="12"/>
        </w:numPr>
        <w:tabs>
          <w:tab w:val="left" w:pos="709" w:leader="none"/>
        </w:tabs>
        <w:bidi w:val="0"/>
        <w:ind w:hanging="283" w:start="709"/>
        <w:jc w:val="start"/>
        <w:rPr/>
      </w:pPr>
      <w:r>
        <w:rPr>
          <w:rStyle w:val="Strong"/>
        </w:rPr>
        <w:t>Assess Governance Capacity</w:t>
      </w:r>
      <w:r>
        <w:rPr/>
        <w:t xml:space="preserve"> – Identify which domains can support which modes.</w:t>
      </w:r>
    </w:p>
    <w:p>
      <w:pPr>
        <w:pStyle w:val="BodyText"/>
        <w:numPr>
          <w:ilvl w:val="0"/>
          <w:numId w:val="12"/>
        </w:numPr>
        <w:tabs>
          <w:tab w:val="left" w:pos="709" w:leader="none"/>
        </w:tabs>
        <w:bidi w:val="0"/>
        <w:ind w:hanging="283" w:start="709"/>
        <w:jc w:val="start"/>
        <w:rPr/>
      </w:pPr>
      <w:r>
        <w:rPr>
          <w:rStyle w:val="Strong"/>
        </w:rPr>
        <w:t>Invest in Secure Infrastructure</w:t>
      </w:r>
      <w:r>
        <w:rPr/>
        <w:t xml:space="preserve"> – Adopt context-exchange protocols and audit tools appropriate to each mode.</w:t>
      </w:r>
    </w:p>
    <w:p>
      <w:pPr>
        <w:pStyle w:val="BodyText"/>
        <w:numPr>
          <w:ilvl w:val="0"/>
          <w:numId w:val="12"/>
        </w:numPr>
        <w:tabs>
          <w:tab w:val="left" w:pos="709" w:leader="none"/>
        </w:tabs>
        <w:bidi w:val="0"/>
        <w:ind w:hanging="283" w:start="709"/>
        <w:jc w:val="start"/>
        <w:rPr/>
      </w:pPr>
      <w:r>
        <w:rPr>
          <w:rStyle w:val="Strong"/>
        </w:rPr>
        <w:t>Plan for Transition</w:t>
      </w:r>
      <w:r>
        <w:rPr/>
        <w:t xml:space="preserve"> – Organizations may begin in Type I and evolve toward Type III as trust and technical maturity grow.</w:t>
      </w:r>
    </w:p>
    <w:p>
      <w:pPr>
        <w:pStyle w:val="BodyText"/>
        <w:numPr>
          <w:ilvl w:val="0"/>
          <w:numId w:val="12"/>
        </w:numPr>
        <w:tabs>
          <w:tab w:val="left" w:pos="709" w:leader="none"/>
        </w:tabs>
        <w:bidi w:val="0"/>
        <w:ind w:hanging="283" w:start="709"/>
        <w:jc w:val="start"/>
        <w:rPr/>
      </w:pPr>
      <w:r>
        <w:rPr>
          <w:rStyle w:val="Strong"/>
        </w:rPr>
        <w:t>Measure Value</w:t>
      </w:r>
      <w:r>
        <w:rPr/>
        <w:t xml:space="preserve"> – Track how secure reasoning improves access to, and reuse of, knowledge assets under CARE-aligned governance.</w:t>
      </w:r>
    </w:p>
    <w:p>
      <w:pPr>
        <w:pStyle w:val="BodyText"/>
        <w:bidi w:val="0"/>
        <w:jc w:val="start"/>
        <w:rPr/>
      </w:pPr>
      <w:r>
        <w:rPr/>
        <w:t>RKL assists partners through this progression—helping each organization apply CARE’s principles to its unique mix of knowledge domains and objectives.</w:t>
        <w:br/>
        <w:t xml:space="preserve">By clarifying these pathways, secure reasoning becomes a </w:t>
      </w:r>
      <w:r>
        <w:rPr>
          <w:rStyle w:val="Strong"/>
        </w:rPr>
        <w:t>practical roadmap</w:t>
      </w:r>
      <w:r>
        <w:rPr/>
        <w:t xml:space="preserve"> rather than an abstract ideal.</w:t>
      </w:r>
    </w:p>
    <w:p>
      <w:pPr>
        <w:pStyle w:val="HorizontalLine"/>
        <w:bidi w:val="0"/>
        <w:jc w:val="start"/>
        <w:rPr/>
      </w:pPr>
      <w:r>
        <w:rPr/>
      </w:r>
    </w:p>
    <w:p>
      <w:pPr>
        <w:pStyle w:val="Heading3"/>
        <w:bidi w:val="0"/>
        <w:jc w:val="start"/>
        <w:rPr/>
      </w:pPr>
      <w:r>
        <w:rPr>
          <w:rStyle w:val="Strong"/>
          <w:b/>
          <w:bCs/>
        </w:rPr>
        <w:t>Transition to Section 6</w:t>
      </w:r>
    </w:p>
    <w:p>
      <w:pPr>
        <w:pStyle w:val="BodyText"/>
        <w:bidi w:val="0"/>
        <w:jc w:val="start"/>
        <w:rPr/>
      </w:pPr>
      <w:r>
        <w:rPr/>
        <w:t xml:space="preserve">The next section outlines the </w:t>
      </w:r>
      <w:r>
        <w:rPr>
          <w:rStyle w:val="Strong"/>
        </w:rPr>
        <w:t>technical foundations</w:t>
      </w:r>
      <w:r>
        <w:rPr/>
        <w:t xml:space="preserve"> that support all three modes—showing how RKL’s architecture employs context-exchange protocols, audit logging, and deployment options to make secure reasoning verifiable and scalable across domains.</w:t>
      </w:r>
    </w:p>
    <w:p>
      <w:pPr>
        <w:pStyle w:val="BodyText"/>
        <w:bidi w:val="0"/>
        <w:jc w:val="start"/>
        <w:rPr/>
      </w:pPr>
      <w:r>
        <w:rPr/>
      </w:r>
    </w:p>
    <w:p>
      <w:pPr>
        <w:pStyle w:val="Heading2"/>
        <w:bidi w:val="0"/>
        <w:jc w:val="start"/>
        <w:rPr/>
      </w:pPr>
      <w:r>
        <w:rPr>
          <w:rStyle w:val="Strong"/>
          <w:b/>
          <w:bCs/>
        </w:rPr>
        <w:t>6. Technical Foundations — Full Draft (v1.11)</w:t>
      </w:r>
    </w:p>
    <w:p>
      <w:pPr>
        <w:pStyle w:val="BodyText"/>
        <w:bidi w:val="0"/>
        <w:jc w:val="start"/>
        <w:rPr/>
      </w:pPr>
      <w:r>
        <w:rPr/>
        <w:t xml:space="preserve">Secure reasoning rests on a combination of </w:t>
      </w:r>
      <w:r>
        <w:rPr>
          <w:rStyle w:val="Strong"/>
        </w:rPr>
        <w:t>technical protocols, infrastructure components, and governance mechanisms</w:t>
      </w:r>
      <w:r>
        <w:rPr/>
        <w:t xml:space="preserve"> that together make accountability verifiable.</w:t>
        <w:br/>
        <w:t>These foundations ensure that every reasoning event—no matter where it runs—respects custodial authority and can be traced, audited, and reproduced.</w:t>
      </w:r>
    </w:p>
    <w:p>
      <w:pPr>
        <w:pStyle w:val="HorizontalLine"/>
        <w:bidi w:val="0"/>
        <w:jc w:val="start"/>
        <w:rPr/>
      </w:pPr>
      <w:r>
        <w:rPr/>
      </w:r>
    </w:p>
    <w:p>
      <w:pPr>
        <w:pStyle w:val="Heading3"/>
        <w:bidi w:val="0"/>
        <w:jc w:val="start"/>
        <w:rPr/>
      </w:pPr>
      <w:r>
        <w:rPr>
          <w:rStyle w:val="Strong"/>
          <w:b/>
          <w:bCs/>
        </w:rPr>
        <w:t>6.1 Core Principles</w:t>
      </w:r>
    </w:p>
    <w:p>
      <w:pPr>
        <w:pStyle w:val="BodyText"/>
        <w:bidi w:val="0"/>
        <w:jc w:val="start"/>
        <w:rPr/>
      </w:pPr>
      <w:r>
        <w:rPr/>
        <w:t>RKL’s technical design follows five guiding principles:</w:t>
      </w:r>
    </w:p>
    <w:p>
      <w:pPr>
        <w:pStyle w:val="BodyText"/>
        <w:numPr>
          <w:ilvl w:val="0"/>
          <w:numId w:val="13"/>
        </w:numPr>
        <w:tabs>
          <w:tab w:val="left" w:pos="709" w:leader="none"/>
        </w:tabs>
        <w:bidi w:val="0"/>
        <w:ind w:hanging="283" w:start="709"/>
        <w:jc w:val="start"/>
        <w:rPr/>
      </w:pPr>
      <w:r>
        <w:rPr>
          <w:rStyle w:val="Strong"/>
        </w:rPr>
        <w:t>Governance by Design</w:t>
      </w:r>
      <w:r>
        <w:rPr/>
        <w:t xml:space="preserve"> — Ethical and policy rules are expressed as executable metadata.</w:t>
      </w:r>
    </w:p>
    <w:p>
      <w:pPr>
        <w:pStyle w:val="BodyText"/>
        <w:numPr>
          <w:ilvl w:val="0"/>
          <w:numId w:val="13"/>
        </w:numPr>
        <w:tabs>
          <w:tab w:val="left" w:pos="709" w:leader="none"/>
        </w:tabs>
        <w:bidi w:val="0"/>
        <w:ind w:hanging="283" w:start="709"/>
        <w:jc w:val="start"/>
        <w:rPr/>
      </w:pPr>
      <w:r>
        <w:rPr>
          <w:rStyle w:val="Strong"/>
        </w:rPr>
        <w:t>Local Authority, Distributed Compute</w:t>
      </w:r>
      <w:r>
        <w:rPr/>
        <w:t xml:space="preserve"> — Governance stays local even when computation occurs elsewhere.</w:t>
      </w:r>
    </w:p>
    <w:p>
      <w:pPr>
        <w:pStyle w:val="BodyText"/>
        <w:numPr>
          <w:ilvl w:val="0"/>
          <w:numId w:val="13"/>
        </w:numPr>
        <w:tabs>
          <w:tab w:val="left" w:pos="709" w:leader="none"/>
        </w:tabs>
        <w:bidi w:val="0"/>
        <w:ind w:hanging="283" w:start="709"/>
        <w:jc w:val="start"/>
        <w:rPr/>
      </w:pPr>
      <w:r>
        <w:rPr>
          <w:rStyle w:val="Strong"/>
        </w:rPr>
        <w:t>Transparency and Traceability</w:t>
      </w:r>
      <w:r>
        <w:rPr/>
        <w:t xml:space="preserve"> — All reasoning operations produce verifiable logs.</w:t>
      </w:r>
    </w:p>
    <w:p>
      <w:pPr>
        <w:pStyle w:val="BodyText"/>
        <w:numPr>
          <w:ilvl w:val="0"/>
          <w:numId w:val="13"/>
        </w:numPr>
        <w:tabs>
          <w:tab w:val="left" w:pos="709" w:leader="none"/>
        </w:tabs>
        <w:bidi w:val="0"/>
        <w:ind w:hanging="283" w:start="709"/>
        <w:jc w:val="start"/>
        <w:rPr/>
      </w:pPr>
      <w:r>
        <w:rPr>
          <w:rStyle w:val="Strong"/>
        </w:rPr>
        <w:t>Interoperability through Open Protocols</w:t>
      </w:r>
      <w:r>
        <w:rPr/>
        <w:t xml:space="preserve"> — Interfaces and metadata formats are openly specified and extensible.</w:t>
      </w:r>
    </w:p>
    <w:p>
      <w:pPr>
        <w:pStyle w:val="BodyText"/>
        <w:numPr>
          <w:ilvl w:val="0"/>
          <w:numId w:val="13"/>
        </w:numPr>
        <w:tabs>
          <w:tab w:val="left" w:pos="709" w:leader="none"/>
        </w:tabs>
        <w:bidi w:val="0"/>
        <w:ind w:hanging="283" w:start="709"/>
        <w:jc w:val="start"/>
        <w:rPr/>
      </w:pPr>
      <w:r>
        <w:rPr>
          <w:rStyle w:val="Strong"/>
        </w:rPr>
        <w:t>Security through Context, not Isolation</w:t>
      </w:r>
      <w:r>
        <w:rPr/>
        <w:t xml:space="preserve"> — Protection derives from governed context exchange rather than physical separation alone.</w:t>
      </w:r>
    </w:p>
    <w:p>
      <w:pPr>
        <w:pStyle w:val="BodyText"/>
        <w:bidi w:val="0"/>
        <w:jc w:val="start"/>
        <w:rPr/>
      </w:pPr>
      <w:r>
        <w:rPr/>
        <w:t xml:space="preserve">These principles operationalize the </w:t>
      </w:r>
      <w:r>
        <w:rPr>
          <w:rStyle w:val="Strong"/>
        </w:rPr>
        <w:t>CARE</w:t>
      </w:r>
      <w:r>
        <w:rPr/>
        <w:t xml:space="preserve"> commitments of authority, responsibility, and collective benefit in technical form.</w:t>
      </w:r>
    </w:p>
    <w:p>
      <w:pPr>
        <w:pStyle w:val="HorizontalLine"/>
        <w:bidi w:val="0"/>
        <w:jc w:val="start"/>
        <w:rPr/>
      </w:pPr>
      <w:r>
        <w:rPr/>
      </w:r>
    </w:p>
    <w:p>
      <w:pPr>
        <w:pStyle w:val="Heading3"/>
        <w:bidi w:val="0"/>
        <w:jc w:val="start"/>
        <w:rPr/>
      </w:pPr>
      <w:r>
        <w:rPr>
          <w:rStyle w:val="Strong"/>
          <w:b/>
          <w:bCs/>
        </w:rPr>
        <w:t>6.2 Key Components</w:t>
      </w:r>
    </w:p>
    <w:p>
      <w:pPr>
        <w:pStyle w:val="BodyText"/>
        <w:numPr>
          <w:ilvl w:val="0"/>
          <w:numId w:val="14"/>
        </w:numPr>
        <w:tabs>
          <w:tab w:val="left" w:pos="709" w:leader="none"/>
        </w:tabs>
        <w:bidi w:val="0"/>
        <w:ind w:hanging="283" w:start="709"/>
        <w:jc w:val="start"/>
        <w:rPr/>
      </w:pPr>
      <w:r>
        <w:rPr>
          <w:rStyle w:val="Strong"/>
        </w:rPr>
        <w:t>Context-Exchange Protocols</w:t>
      </w:r>
      <w:r>
        <w:rPr/>
        <w:br/>
        <w:t>Frameworks that allow models or agents to request and receive information under explicit governance metadata.</w:t>
        <w:br/>
        <w:t>Each transaction includes identifiers for custodian, consent, purpose, and scope.</w:t>
      </w:r>
    </w:p>
    <w:p>
      <w:pPr>
        <w:pStyle w:val="BodyText"/>
        <w:numPr>
          <w:ilvl w:val="0"/>
          <w:numId w:val="14"/>
        </w:numPr>
        <w:tabs>
          <w:tab w:val="left" w:pos="709" w:leader="none"/>
        </w:tabs>
        <w:bidi w:val="0"/>
        <w:ind w:hanging="283" w:start="709"/>
        <w:jc w:val="start"/>
        <w:rPr/>
      </w:pPr>
      <w:r>
        <w:rPr>
          <w:rStyle w:val="Strong"/>
        </w:rPr>
        <w:t>Policy-Aware Retrieval</w:t>
      </w:r>
      <w:r>
        <w:rPr/>
        <w:br/>
        <w:t>Retrieval mechanisms that enforce access rules during reasoning.</w:t>
        <w:br/>
        <w:t>Queries are filtered or rewritten automatically to comply with consent and policy constraints.</w:t>
      </w:r>
    </w:p>
    <w:p>
      <w:pPr>
        <w:pStyle w:val="BodyText"/>
        <w:numPr>
          <w:ilvl w:val="0"/>
          <w:numId w:val="14"/>
        </w:numPr>
        <w:tabs>
          <w:tab w:val="left" w:pos="709" w:leader="none"/>
        </w:tabs>
        <w:bidi w:val="0"/>
        <w:ind w:hanging="283" w:start="709"/>
        <w:jc w:val="start"/>
        <w:rPr/>
      </w:pPr>
      <w:r>
        <w:rPr>
          <w:rStyle w:val="Strong"/>
        </w:rPr>
        <w:t>Governance-Linked Vector Indexes</w:t>
      </w:r>
      <w:r>
        <w:rPr/>
        <w:br/>
        <w:t>Semantic search structures that restrict similarity lookups to authorized domains.</w:t>
        <w:br/>
        <w:t>Governance metadata determine which embeddings or records can be compared.</w:t>
      </w:r>
    </w:p>
    <w:p>
      <w:pPr>
        <w:pStyle w:val="BodyText"/>
        <w:numPr>
          <w:ilvl w:val="0"/>
          <w:numId w:val="14"/>
        </w:numPr>
        <w:tabs>
          <w:tab w:val="left" w:pos="709" w:leader="none"/>
        </w:tabs>
        <w:bidi w:val="0"/>
        <w:ind w:hanging="283" w:start="709"/>
        <w:jc w:val="start"/>
        <w:rPr/>
      </w:pPr>
      <w:r>
        <w:rPr>
          <w:rStyle w:val="Strong"/>
        </w:rPr>
        <w:t>Audit and Provenance Services</w:t>
      </w:r>
      <w:r>
        <w:rPr/>
        <w:br/>
        <w:t>Continuous logging of inputs, model versions, and outputs.</w:t>
        <w:br/>
        <w:t>These records enable verification, reproducibility, and attribution.</w:t>
      </w:r>
    </w:p>
    <w:p>
      <w:pPr>
        <w:pStyle w:val="BodyText"/>
        <w:numPr>
          <w:ilvl w:val="0"/>
          <w:numId w:val="14"/>
        </w:numPr>
        <w:tabs>
          <w:tab w:val="left" w:pos="709" w:leader="none"/>
        </w:tabs>
        <w:bidi w:val="0"/>
        <w:ind w:hanging="283" w:start="709"/>
        <w:jc w:val="start"/>
        <w:rPr/>
      </w:pPr>
      <w:r>
        <w:rPr>
          <w:rStyle w:val="Strong"/>
        </w:rPr>
        <w:t>Secure Deployment Options</w:t>
      </w:r>
    </w:p>
    <w:p>
      <w:pPr>
        <w:pStyle w:val="BodyText"/>
        <w:numPr>
          <w:ilvl w:val="1"/>
          <w:numId w:val="14"/>
        </w:numPr>
        <w:tabs>
          <w:tab w:val="clear" w:pos="709"/>
          <w:tab w:val="left" w:pos="1418" w:leader="none"/>
        </w:tabs>
        <w:bidi w:val="0"/>
        <w:ind w:hanging="283" w:start="1418"/>
        <w:jc w:val="start"/>
        <w:rPr/>
      </w:pPr>
      <w:r>
        <w:rPr>
          <w:rStyle w:val="Strong"/>
        </w:rPr>
        <w:t>Local Reasoning Nodes</w:t>
      </w:r>
      <w:r>
        <w:rPr/>
        <w:t xml:space="preserve"> — on-prem or virtual private deployments for high-sensitivity domains.</w:t>
      </w:r>
    </w:p>
    <w:p>
      <w:pPr>
        <w:pStyle w:val="BodyText"/>
        <w:numPr>
          <w:ilvl w:val="1"/>
          <w:numId w:val="14"/>
        </w:numPr>
        <w:tabs>
          <w:tab w:val="clear" w:pos="709"/>
          <w:tab w:val="left" w:pos="1418" w:leader="none"/>
        </w:tabs>
        <w:bidi w:val="0"/>
        <w:ind w:hanging="283" w:start="1418"/>
        <w:jc w:val="start"/>
        <w:rPr/>
      </w:pPr>
      <w:r>
        <w:rPr>
          <w:rStyle w:val="Strong"/>
        </w:rPr>
        <w:t>Shared Compute Clusters</w:t>
      </w:r>
      <w:r>
        <w:rPr/>
        <w:t xml:space="preserve"> — managed by RKL or trusted partners, maintaining local governance keys.</w:t>
      </w:r>
    </w:p>
    <w:p>
      <w:pPr>
        <w:pStyle w:val="BodyText"/>
        <w:numPr>
          <w:ilvl w:val="1"/>
          <w:numId w:val="14"/>
        </w:numPr>
        <w:tabs>
          <w:tab w:val="clear" w:pos="709"/>
          <w:tab w:val="left" w:pos="1418" w:leader="none"/>
        </w:tabs>
        <w:bidi w:val="0"/>
        <w:ind w:hanging="283" w:start="1418"/>
        <w:jc w:val="start"/>
        <w:rPr/>
      </w:pPr>
      <w:r>
        <w:rPr>
          <w:rStyle w:val="Strong"/>
        </w:rPr>
        <w:t>Federated Reasoning Networks</w:t>
      </w:r>
      <w:r>
        <w:rPr/>
        <w:t xml:space="preserve"> — allow multiple institutions to collaborate through governed interfaces without centralizing data.</w:t>
      </w:r>
    </w:p>
    <w:p>
      <w:pPr>
        <w:pStyle w:val="BodyText"/>
        <w:numPr>
          <w:ilvl w:val="0"/>
          <w:numId w:val="14"/>
        </w:numPr>
        <w:tabs>
          <w:tab w:val="left" w:pos="709" w:leader="none"/>
        </w:tabs>
        <w:bidi w:val="0"/>
        <w:ind w:hanging="283" w:start="709"/>
        <w:jc w:val="start"/>
        <w:rPr/>
      </w:pPr>
      <w:r>
        <w:rPr>
          <w:rStyle w:val="Strong"/>
        </w:rPr>
        <w:t>Governed APIs and Adapters</w:t>
      </w:r>
      <w:r>
        <w:rPr/>
        <w:br/>
        <w:t>Application interfaces that let institutions use external large-language models or reasoning engines while embedding local policy metadata into every request.</w:t>
      </w:r>
    </w:p>
    <w:p>
      <w:pPr>
        <w:pStyle w:val="BodyText"/>
        <w:bidi w:val="0"/>
        <w:jc w:val="start"/>
        <w:rPr/>
      </w:pPr>
      <w:r>
        <w:rPr/>
        <w:t xml:space="preserve">Together these elements form the </w:t>
      </w:r>
      <w:r>
        <w:rPr>
          <w:rStyle w:val="Strong"/>
        </w:rPr>
        <w:t>technical substrate of secure reasoning</w:t>
      </w:r>
      <w:r>
        <w:rPr/>
        <w:t>—where governance is computationally enforceable and transparency is intrinsic.</w:t>
      </w:r>
    </w:p>
    <w:p>
      <w:pPr>
        <w:pStyle w:val="HorizontalLine"/>
        <w:bidi w:val="0"/>
        <w:jc w:val="start"/>
        <w:rPr/>
      </w:pPr>
      <w:r>
        <w:rPr/>
      </w:r>
    </w:p>
    <w:p>
      <w:pPr>
        <w:pStyle w:val="Heading3"/>
        <w:bidi w:val="0"/>
        <w:jc w:val="start"/>
        <w:rPr/>
      </w:pPr>
      <w:r>
        <w:rPr>
          <w:rStyle w:val="Strong"/>
          <w:b/>
          <w:bCs/>
        </w:rPr>
        <w:t>6.3 Reference Implementations</w:t>
      </w:r>
    </w:p>
    <w:p>
      <w:pPr>
        <w:pStyle w:val="BodyText"/>
        <w:bidi w:val="0"/>
        <w:jc w:val="start"/>
        <w:rPr/>
      </w:pPr>
      <w:r>
        <w:rPr/>
        <w:t>RKL is developing open-source reference stacks that demonstrate these capabilities:</w:t>
      </w:r>
    </w:p>
    <w:p>
      <w:pPr>
        <w:pStyle w:val="BodyText"/>
        <w:numPr>
          <w:ilvl w:val="0"/>
          <w:numId w:val="15"/>
        </w:numPr>
        <w:tabs>
          <w:tab w:val="left" w:pos="709" w:leader="none"/>
        </w:tabs>
        <w:bidi w:val="0"/>
        <w:ind w:hanging="283" w:start="709"/>
        <w:jc w:val="start"/>
        <w:rPr/>
      </w:pPr>
      <w:r>
        <w:rPr>
          <w:rStyle w:val="Strong"/>
        </w:rPr>
        <w:t>Secure Reasoning Sandbox</w:t>
      </w:r>
      <w:r>
        <w:rPr/>
        <w:t xml:space="preserve"> — a test environment showing how governance manifests and audit logs interact.</w:t>
      </w:r>
    </w:p>
    <w:p>
      <w:pPr>
        <w:pStyle w:val="BodyText"/>
        <w:numPr>
          <w:ilvl w:val="0"/>
          <w:numId w:val="15"/>
        </w:numPr>
        <w:tabs>
          <w:tab w:val="left" w:pos="709" w:leader="none"/>
        </w:tabs>
        <w:bidi w:val="0"/>
        <w:ind w:hanging="283" w:start="709"/>
        <w:jc w:val="start"/>
        <w:rPr/>
      </w:pPr>
      <w:r>
        <w:rPr>
          <w:rStyle w:val="Strong"/>
        </w:rPr>
        <w:t>Governance Registry Service</w:t>
      </w:r>
      <w:r>
        <w:rPr/>
        <w:t xml:space="preserve"> — stores and validates policy manifests.</w:t>
      </w:r>
    </w:p>
    <w:p>
      <w:pPr>
        <w:pStyle w:val="BodyText"/>
        <w:numPr>
          <w:ilvl w:val="0"/>
          <w:numId w:val="15"/>
        </w:numPr>
        <w:tabs>
          <w:tab w:val="left" w:pos="709" w:leader="none"/>
        </w:tabs>
        <w:bidi w:val="0"/>
        <w:ind w:hanging="283" w:start="709"/>
        <w:jc w:val="start"/>
        <w:rPr/>
      </w:pPr>
      <w:r>
        <w:rPr>
          <w:rStyle w:val="Strong"/>
        </w:rPr>
        <w:t>MCP Demonstrator</w:t>
      </w:r>
      <w:r>
        <w:rPr/>
        <w:t xml:space="preserve"> — illustrates secure context exchange between reasoning agents and governed knowledge domains.</w:t>
      </w:r>
    </w:p>
    <w:p>
      <w:pPr>
        <w:pStyle w:val="BodyText"/>
        <w:numPr>
          <w:ilvl w:val="0"/>
          <w:numId w:val="15"/>
        </w:numPr>
        <w:tabs>
          <w:tab w:val="left" w:pos="709" w:leader="none"/>
        </w:tabs>
        <w:bidi w:val="0"/>
        <w:ind w:hanging="283" w:start="709"/>
        <w:jc w:val="start"/>
        <w:rPr/>
      </w:pPr>
      <w:r>
        <w:rPr>
          <w:rStyle w:val="Strong"/>
        </w:rPr>
        <w:t>Closed RAG Stack</w:t>
      </w:r>
      <w:r>
        <w:rPr/>
        <w:t xml:space="preserve"> — retrieval-augmented generation restricted by policy metadata for repeatable, auditable reasoning.</w:t>
      </w:r>
    </w:p>
    <w:p>
      <w:pPr>
        <w:pStyle w:val="BodyText"/>
        <w:bidi w:val="0"/>
        <w:jc w:val="start"/>
        <w:rPr/>
      </w:pPr>
      <w:r>
        <w:rPr/>
        <w:t>These prototypes will be documented for adaptation by partner institutions.</w:t>
      </w:r>
    </w:p>
    <w:p>
      <w:pPr>
        <w:pStyle w:val="HorizontalLine"/>
        <w:bidi w:val="0"/>
        <w:jc w:val="start"/>
        <w:rPr/>
      </w:pPr>
      <w:r>
        <w:rPr/>
      </w:r>
    </w:p>
    <w:p>
      <w:pPr>
        <w:pStyle w:val="Heading3"/>
        <w:bidi w:val="0"/>
        <w:jc w:val="start"/>
        <w:rPr/>
      </w:pPr>
      <w:r>
        <w:rPr>
          <w:rStyle w:val="Strong"/>
          <w:b/>
          <w:bCs/>
        </w:rPr>
        <w:t>6.4 Scalability and Performance</w:t>
      </w:r>
    </w:p>
    <w:p>
      <w:pPr>
        <w:pStyle w:val="BodyText"/>
        <w:bidi w:val="0"/>
        <w:jc w:val="start"/>
        <w:rPr/>
      </w:pPr>
      <w:r>
        <w:rPr/>
        <w:t xml:space="preserve">Secure reasoning emphasizes </w:t>
      </w:r>
      <w:r>
        <w:rPr>
          <w:rStyle w:val="Strong"/>
        </w:rPr>
        <w:t>governance integrity over raw throughput</w:t>
      </w:r>
      <w:r>
        <w:rPr/>
        <w:t>, yet the architecture scales efficiently through:</w:t>
      </w:r>
    </w:p>
    <w:p>
      <w:pPr>
        <w:pStyle w:val="BodyText"/>
        <w:numPr>
          <w:ilvl w:val="0"/>
          <w:numId w:val="16"/>
        </w:numPr>
        <w:tabs>
          <w:tab w:val="left" w:pos="709" w:leader="none"/>
        </w:tabs>
        <w:bidi w:val="0"/>
        <w:ind w:hanging="283" w:start="709"/>
        <w:jc w:val="start"/>
        <w:rPr/>
      </w:pPr>
      <w:r>
        <w:rPr>
          <w:rStyle w:val="Strong"/>
        </w:rPr>
        <w:t>Asynchronous Policy Validation</w:t>
      </w:r>
      <w:r>
        <w:rPr/>
        <w:t xml:space="preserve"> — verifies consent without blocking reasoning flow.</w:t>
      </w:r>
    </w:p>
    <w:p>
      <w:pPr>
        <w:pStyle w:val="BodyText"/>
        <w:numPr>
          <w:ilvl w:val="0"/>
          <w:numId w:val="16"/>
        </w:numPr>
        <w:tabs>
          <w:tab w:val="left" w:pos="709" w:leader="none"/>
        </w:tabs>
        <w:bidi w:val="0"/>
        <w:ind w:hanging="283" w:start="709"/>
        <w:jc w:val="start"/>
        <w:rPr/>
      </w:pPr>
      <w:r>
        <w:rPr>
          <w:rStyle w:val="Strong"/>
        </w:rPr>
        <w:t>Caching of Approved Contexts</w:t>
      </w:r>
      <w:r>
        <w:rPr/>
        <w:t xml:space="preserve"> — reduces overhead for recurring authorized queries.</w:t>
      </w:r>
    </w:p>
    <w:p>
      <w:pPr>
        <w:pStyle w:val="BodyText"/>
        <w:numPr>
          <w:ilvl w:val="0"/>
          <w:numId w:val="16"/>
        </w:numPr>
        <w:tabs>
          <w:tab w:val="left" w:pos="709" w:leader="none"/>
        </w:tabs>
        <w:bidi w:val="0"/>
        <w:ind w:hanging="283" w:start="709"/>
        <w:jc w:val="start"/>
        <w:rPr/>
      </w:pPr>
      <w:r>
        <w:rPr>
          <w:rStyle w:val="Strong"/>
        </w:rPr>
        <w:t>Parallel Audit Pipelines</w:t>
      </w:r>
      <w:r>
        <w:rPr/>
        <w:t xml:space="preserve"> — record provenance in near real time.</w:t>
      </w:r>
    </w:p>
    <w:p>
      <w:pPr>
        <w:pStyle w:val="BodyText"/>
        <w:bidi w:val="0"/>
        <w:jc w:val="start"/>
        <w:rPr/>
      </w:pPr>
      <w:r>
        <w:rPr/>
        <w:t>This balance ensures that accountability does not come at the cost of capability.</w:t>
      </w:r>
    </w:p>
    <w:p>
      <w:pPr>
        <w:pStyle w:val="HorizontalLine"/>
        <w:bidi w:val="0"/>
        <w:jc w:val="start"/>
        <w:rPr/>
      </w:pPr>
      <w:r>
        <w:rPr/>
      </w:r>
    </w:p>
    <w:p>
      <w:pPr>
        <w:pStyle w:val="Heading3"/>
        <w:bidi w:val="0"/>
        <w:jc w:val="start"/>
        <w:rPr/>
      </w:pPr>
      <w:r>
        <w:rPr>
          <w:rStyle w:val="Strong"/>
          <w:b/>
          <w:bCs/>
        </w:rPr>
        <w:t>6.5 Integration with Emerging Technologies</w:t>
      </w:r>
    </w:p>
    <w:p>
      <w:pPr>
        <w:pStyle w:val="BodyText"/>
        <w:bidi w:val="0"/>
        <w:jc w:val="start"/>
        <w:rPr/>
      </w:pPr>
      <w:r>
        <w:rPr/>
        <w:t>Secure reasoning is compatible with frontier developments in AI systems:</w:t>
      </w:r>
    </w:p>
    <w:p>
      <w:pPr>
        <w:pStyle w:val="BodyText"/>
        <w:numPr>
          <w:ilvl w:val="0"/>
          <w:numId w:val="17"/>
        </w:numPr>
        <w:tabs>
          <w:tab w:val="left" w:pos="709" w:leader="none"/>
        </w:tabs>
        <w:bidi w:val="0"/>
        <w:ind w:hanging="283" w:start="709"/>
        <w:jc w:val="start"/>
        <w:rPr/>
      </w:pPr>
      <w:r>
        <w:rPr>
          <w:rStyle w:val="Strong"/>
        </w:rPr>
        <w:t>Model Context Protocol (MCP)</w:t>
      </w:r>
      <w:r>
        <w:rPr/>
        <w:t xml:space="preserve"> and related standards for context exchange.</w:t>
      </w:r>
    </w:p>
    <w:p>
      <w:pPr>
        <w:pStyle w:val="BodyText"/>
        <w:numPr>
          <w:ilvl w:val="0"/>
          <w:numId w:val="17"/>
        </w:numPr>
        <w:tabs>
          <w:tab w:val="left" w:pos="709" w:leader="none"/>
        </w:tabs>
        <w:bidi w:val="0"/>
        <w:ind w:hanging="283" w:start="709"/>
        <w:jc w:val="start"/>
        <w:rPr/>
      </w:pPr>
      <w:r>
        <w:rPr>
          <w:rStyle w:val="Strong"/>
        </w:rPr>
        <w:t>AI-Agent Governance Frameworks</w:t>
      </w:r>
      <w:r>
        <w:rPr/>
        <w:t xml:space="preserve"> that define operational policies for autonomous agents.</w:t>
      </w:r>
    </w:p>
    <w:p>
      <w:pPr>
        <w:pStyle w:val="BodyText"/>
        <w:numPr>
          <w:ilvl w:val="0"/>
          <w:numId w:val="17"/>
        </w:numPr>
        <w:tabs>
          <w:tab w:val="left" w:pos="709" w:leader="none"/>
        </w:tabs>
        <w:bidi w:val="0"/>
        <w:ind w:hanging="283" w:start="709"/>
        <w:jc w:val="start"/>
        <w:rPr/>
      </w:pPr>
      <w:r>
        <w:rPr>
          <w:rStyle w:val="Strong"/>
        </w:rPr>
        <w:t>Confidential Computing and Zero-Trust Architectures</w:t>
      </w:r>
      <w:r>
        <w:rPr/>
        <w:t xml:space="preserve"> to protect execution environments.</w:t>
      </w:r>
    </w:p>
    <w:p>
      <w:pPr>
        <w:pStyle w:val="BodyText"/>
        <w:numPr>
          <w:ilvl w:val="0"/>
          <w:numId w:val="17"/>
        </w:numPr>
        <w:tabs>
          <w:tab w:val="left" w:pos="709" w:leader="none"/>
        </w:tabs>
        <w:bidi w:val="0"/>
        <w:ind w:hanging="283" w:start="709"/>
        <w:jc w:val="start"/>
        <w:rPr/>
      </w:pPr>
      <w:r>
        <w:rPr>
          <w:rStyle w:val="Strong"/>
        </w:rPr>
        <w:t>Differential Privacy and Synthetic Data Techniques</w:t>
      </w:r>
      <w:r>
        <w:rPr/>
        <w:t xml:space="preserve"> to expand safe reasoning over sensitive datasets.</w:t>
      </w:r>
    </w:p>
    <w:p>
      <w:pPr>
        <w:pStyle w:val="BodyText"/>
        <w:bidi w:val="0"/>
        <w:jc w:val="start"/>
        <w:rPr/>
      </w:pPr>
      <w:r>
        <w:rPr/>
        <w:t xml:space="preserve">RKL’s approach remains </w:t>
      </w:r>
      <w:r>
        <w:rPr>
          <w:rStyle w:val="Strong"/>
        </w:rPr>
        <w:t>model-agnostic</w:t>
      </w:r>
      <w:r>
        <w:rPr/>
        <w:t>: institutions can use any reasoning engine provided it operates under verifiable governance metadata.</w:t>
      </w:r>
    </w:p>
    <w:p>
      <w:pPr>
        <w:pStyle w:val="HorizontalLine"/>
        <w:bidi w:val="0"/>
        <w:jc w:val="start"/>
        <w:rPr/>
      </w:pPr>
      <w:r>
        <w:rPr/>
      </w:r>
    </w:p>
    <w:p>
      <w:pPr>
        <w:pStyle w:val="Heading3"/>
        <w:bidi w:val="0"/>
        <w:jc w:val="start"/>
        <w:rPr/>
      </w:pPr>
      <w:r>
        <w:rPr>
          <w:rStyle w:val="Strong"/>
          <w:b/>
          <w:bCs/>
        </w:rPr>
        <w:t>6.6 Outcomes and Benefits</w:t>
      </w:r>
    </w:p>
    <w:p>
      <w:pPr>
        <w:pStyle w:val="BodyText"/>
        <w:bidi w:val="0"/>
        <w:jc w:val="start"/>
        <w:rPr/>
      </w:pPr>
      <w:r>
        <w:rPr/>
        <w:t>Implementing these foundations allows organizations to:</w:t>
      </w:r>
    </w:p>
    <w:p>
      <w:pPr>
        <w:pStyle w:val="BodyText"/>
        <w:numPr>
          <w:ilvl w:val="0"/>
          <w:numId w:val="18"/>
        </w:numPr>
        <w:tabs>
          <w:tab w:val="left" w:pos="709" w:leader="none"/>
        </w:tabs>
        <w:bidi w:val="0"/>
        <w:ind w:hanging="283" w:start="709"/>
        <w:jc w:val="start"/>
        <w:rPr/>
      </w:pPr>
      <w:r>
        <w:rPr/>
        <w:t>Deploy AI reasoning safely within or across institutions.</w:t>
      </w:r>
    </w:p>
    <w:p>
      <w:pPr>
        <w:pStyle w:val="BodyText"/>
        <w:numPr>
          <w:ilvl w:val="0"/>
          <w:numId w:val="18"/>
        </w:numPr>
        <w:tabs>
          <w:tab w:val="left" w:pos="709" w:leader="none"/>
        </w:tabs>
        <w:bidi w:val="0"/>
        <w:ind w:hanging="283" w:start="709"/>
        <w:jc w:val="start"/>
        <w:rPr/>
      </w:pPr>
      <w:r>
        <w:rPr/>
        <w:t>Demonstrate compliance with ethical and regulatory standards.</w:t>
      </w:r>
    </w:p>
    <w:p>
      <w:pPr>
        <w:pStyle w:val="BodyText"/>
        <w:numPr>
          <w:ilvl w:val="0"/>
          <w:numId w:val="18"/>
        </w:numPr>
        <w:tabs>
          <w:tab w:val="left" w:pos="709" w:leader="none"/>
        </w:tabs>
        <w:bidi w:val="0"/>
        <w:ind w:hanging="283" w:start="709"/>
        <w:jc w:val="start"/>
        <w:rPr/>
      </w:pPr>
      <w:r>
        <w:rPr/>
        <w:t>Retain verifiable custody of sensitive or proprietary assets.</w:t>
      </w:r>
    </w:p>
    <w:p>
      <w:pPr>
        <w:pStyle w:val="BodyText"/>
        <w:numPr>
          <w:ilvl w:val="0"/>
          <w:numId w:val="18"/>
        </w:numPr>
        <w:tabs>
          <w:tab w:val="left" w:pos="709" w:leader="none"/>
        </w:tabs>
        <w:bidi w:val="0"/>
        <w:ind w:hanging="283" w:start="709"/>
        <w:jc w:val="start"/>
        <w:rPr/>
      </w:pPr>
      <w:r>
        <w:rPr/>
        <w:t>Strengthen institutional memory through auditable insight generation.</w:t>
      </w:r>
    </w:p>
    <w:p>
      <w:pPr>
        <w:pStyle w:val="BodyText"/>
        <w:numPr>
          <w:ilvl w:val="0"/>
          <w:numId w:val="18"/>
        </w:numPr>
        <w:tabs>
          <w:tab w:val="left" w:pos="709" w:leader="none"/>
        </w:tabs>
        <w:bidi w:val="0"/>
        <w:ind w:hanging="283" w:start="709"/>
        <w:jc w:val="start"/>
        <w:rPr/>
      </w:pPr>
      <w:r>
        <w:rPr/>
        <w:t xml:space="preserve">Build public trust by showing </w:t>
      </w:r>
      <w:r>
        <w:rPr>
          <w:rStyle w:val="Emphasis"/>
        </w:rPr>
        <w:t>how</w:t>
      </w:r>
      <w:r>
        <w:rPr/>
        <w:t xml:space="preserve"> reasoning occurs, not just </w:t>
      </w:r>
      <w:r>
        <w:rPr>
          <w:rStyle w:val="Emphasis"/>
        </w:rPr>
        <w:t>what</w:t>
      </w:r>
      <w:r>
        <w:rPr/>
        <w:t xml:space="preserve"> results it produces.</w:t>
      </w:r>
    </w:p>
    <w:p>
      <w:pPr>
        <w:pStyle w:val="BodyText"/>
        <w:bidi w:val="0"/>
        <w:jc w:val="start"/>
        <w:rPr/>
      </w:pPr>
      <w:r>
        <w:rPr/>
        <w:t xml:space="preserve">These capabilities make secure reasoning a </w:t>
      </w:r>
      <w:r>
        <w:rPr>
          <w:rStyle w:val="Strong"/>
        </w:rPr>
        <w:t>practical bridge between governance and innovation</w:t>
      </w:r>
      <w:r>
        <w:rPr/>
        <w:t>—a foundation on which trustworthy, public-interest AI can operate.</w:t>
      </w:r>
    </w:p>
    <w:p>
      <w:pPr>
        <w:pStyle w:val="HorizontalLine"/>
        <w:bidi w:val="0"/>
        <w:jc w:val="start"/>
        <w:rPr/>
      </w:pPr>
      <w:r>
        <w:rPr/>
      </w:r>
    </w:p>
    <w:p>
      <w:pPr>
        <w:pStyle w:val="Heading3"/>
        <w:bidi w:val="0"/>
        <w:jc w:val="start"/>
        <w:rPr/>
      </w:pPr>
      <w:r>
        <w:rPr>
          <w:rStyle w:val="Strong"/>
          <w:b/>
          <w:bCs/>
        </w:rPr>
        <w:t>Transition to Section 7</w:t>
      </w:r>
    </w:p>
    <w:p>
      <w:pPr>
        <w:pStyle w:val="BodyText"/>
        <w:bidi w:val="0"/>
        <w:jc w:val="start"/>
        <w:rPr/>
      </w:pPr>
      <w:r>
        <w:rPr/>
        <w:t xml:space="preserve">The next section, </w:t>
      </w:r>
      <w:r>
        <w:rPr>
          <w:rStyle w:val="Strong"/>
        </w:rPr>
        <w:t>Ethical and Institutional Design</w:t>
      </w:r>
      <w:r>
        <w:rPr/>
        <w:t>, explores how technical accountability integrates with organizational culture—embedding CARE-aligned governance into everyday decision-making and institutional practice.</w:t>
      </w:r>
    </w:p>
    <w:p>
      <w:pPr>
        <w:pStyle w:val="Heading2"/>
        <w:bidi w:val="0"/>
        <w:jc w:val="start"/>
        <w:rPr/>
      </w:pPr>
      <w:r>
        <w:rPr>
          <w:rStyle w:val="Strong"/>
          <w:b/>
          <w:bCs/>
        </w:rPr>
        <w:t>7. Ethical and Institutional Design</w:t>
      </w:r>
    </w:p>
    <w:p>
      <w:pPr>
        <w:pStyle w:val="BodyText"/>
        <w:bidi w:val="0"/>
        <w:jc w:val="start"/>
        <w:rPr/>
      </w:pPr>
      <w:r>
        <w:rPr/>
        <w:t>Technology alone cannot guarantee trustworthy reasoning.</w:t>
        <w:br/>
        <w:t>For secure reasoning to work in practice, institutions must embed its principles into everyday governance, operations, and accountability structures.</w:t>
        <w:br/>
        <w:t>This integration of ethics and design ensures that **CARE—Collective Benefit, Authority to Control, Responsibility, and Ethics—**is not only encoded in systems but also enacted by the people who use and oversee them.</w:t>
      </w:r>
    </w:p>
    <w:p>
      <w:pPr>
        <w:pStyle w:val="HorizontalLine"/>
        <w:bidi w:val="0"/>
        <w:jc w:val="start"/>
        <w:rPr/>
      </w:pPr>
      <w:r>
        <w:rPr/>
      </w:r>
    </w:p>
    <w:p>
      <w:pPr>
        <w:pStyle w:val="Heading3"/>
        <w:bidi w:val="0"/>
        <w:jc w:val="start"/>
        <w:rPr/>
      </w:pPr>
      <w:r>
        <w:rPr>
          <w:rStyle w:val="Strong"/>
          <w:b/>
          <w:bCs/>
        </w:rPr>
        <w:t>7.1 Governance as Culture</w:t>
      </w:r>
    </w:p>
    <w:p>
      <w:pPr>
        <w:pStyle w:val="BodyText"/>
        <w:bidi w:val="0"/>
        <w:jc w:val="start"/>
        <w:rPr/>
      </w:pPr>
      <w:r>
        <w:rPr/>
        <w:t>Secure reasoning requires a shift in mindset: from viewing governance as a compliance requirement to understanding it as an institutional asset.</w:t>
        <w:br/>
        <w:t>Ethical governance must function as part of an organization’s culture—visible in how teams make decisions, design workflows, and evaluate outcomes.</w:t>
      </w:r>
    </w:p>
    <w:p>
      <w:pPr>
        <w:pStyle w:val="BodyText"/>
        <w:bidi w:val="0"/>
        <w:jc w:val="start"/>
        <w:rPr/>
      </w:pPr>
      <w:r>
        <w:rPr/>
        <w:t>Institutions that treat governance as culture:</w:t>
      </w:r>
    </w:p>
    <w:p>
      <w:pPr>
        <w:pStyle w:val="BodyText"/>
        <w:numPr>
          <w:ilvl w:val="0"/>
          <w:numId w:val="19"/>
        </w:numPr>
        <w:tabs>
          <w:tab w:val="left" w:pos="709" w:leader="none"/>
        </w:tabs>
        <w:bidi w:val="0"/>
        <w:ind w:hanging="283" w:start="709"/>
        <w:jc w:val="start"/>
        <w:rPr/>
      </w:pPr>
      <w:r>
        <w:rPr/>
        <w:t xml:space="preserve">Define </w:t>
      </w:r>
      <w:r>
        <w:rPr>
          <w:rStyle w:val="Strong"/>
        </w:rPr>
        <w:t>ethical authority</w:t>
      </w:r>
      <w:r>
        <w:rPr/>
        <w:t>—who decides when and how AI can be used.</w:t>
      </w:r>
    </w:p>
    <w:p>
      <w:pPr>
        <w:pStyle w:val="BodyText"/>
        <w:numPr>
          <w:ilvl w:val="0"/>
          <w:numId w:val="19"/>
        </w:numPr>
        <w:tabs>
          <w:tab w:val="left" w:pos="709" w:leader="none"/>
        </w:tabs>
        <w:bidi w:val="0"/>
        <w:ind w:hanging="283" w:start="709"/>
        <w:jc w:val="start"/>
        <w:rPr/>
      </w:pPr>
      <w:r>
        <w:rPr/>
        <w:t xml:space="preserve">Build </w:t>
      </w:r>
      <w:r>
        <w:rPr>
          <w:rStyle w:val="Strong"/>
        </w:rPr>
        <w:t>governance literacy</w:t>
      </w:r>
      <w:r>
        <w:rPr/>
        <w:t xml:space="preserve"> among staff through training and shared vocabulary.</w:t>
      </w:r>
    </w:p>
    <w:p>
      <w:pPr>
        <w:pStyle w:val="BodyText"/>
        <w:numPr>
          <w:ilvl w:val="0"/>
          <w:numId w:val="19"/>
        </w:numPr>
        <w:tabs>
          <w:tab w:val="left" w:pos="709" w:leader="none"/>
        </w:tabs>
        <w:bidi w:val="0"/>
        <w:ind w:hanging="283" w:start="709"/>
        <w:jc w:val="start"/>
        <w:rPr/>
      </w:pPr>
      <w:r>
        <w:rPr/>
        <w:t xml:space="preserve">Integrate </w:t>
      </w:r>
      <w:r>
        <w:rPr>
          <w:rStyle w:val="Strong"/>
        </w:rPr>
        <w:t>audit and consent reviews</w:t>
      </w:r>
      <w:r>
        <w:rPr/>
        <w:t xml:space="preserve"> into normal project cycles rather than external audits only.</w:t>
      </w:r>
    </w:p>
    <w:p>
      <w:pPr>
        <w:pStyle w:val="BodyText"/>
        <w:numPr>
          <w:ilvl w:val="0"/>
          <w:numId w:val="19"/>
        </w:numPr>
        <w:tabs>
          <w:tab w:val="left" w:pos="709" w:leader="none"/>
        </w:tabs>
        <w:bidi w:val="0"/>
        <w:ind w:hanging="283" w:start="709"/>
        <w:jc w:val="start"/>
        <w:rPr/>
      </w:pPr>
      <w:r>
        <w:rPr/>
        <w:t xml:space="preserve">Encourage </w:t>
      </w:r>
      <w:r>
        <w:rPr>
          <w:rStyle w:val="Strong"/>
        </w:rPr>
        <w:t>cross-functional stewardship</w:t>
      </w:r>
      <w:r>
        <w:rPr/>
        <w:t>—linking technical, legal, and ethical expertise.</w:t>
      </w:r>
    </w:p>
    <w:p>
      <w:pPr>
        <w:pStyle w:val="BodyText"/>
        <w:bidi w:val="0"/>
        <w:jc w:val="start"/>
        <w:rPr/>
      </w:pPr>
      <w:r>
        <w:rPr/>
        <w:t>These practices align institutional behavior with the same CARE values that shape the technology itself.</w:t>
      </w:r>
    </w:p>
    <w:p>
      <w:pPr>
        <w:pStyle w:val="HorizontalLine"/>
        <w:bidi w:val="0"/>
        <w:jc w:val="start"/>
        <w:rPr/>
      </w:pPr>
      <w:r>
        <w:rPr/>
      </w:r>
    </w:p>
    <w:p>
      <w:pPr>
        <w:pStyle w:val="Heading3"/>
        <w:bidi w:val="0"/>
        <w:jc w:val="start"/>
        <w:rPr/>
      </w:pPr>
      <w:r>
        <w:rPr>
          <w:rStyle w:val="Strong"/>
          <w:b/>
          <w:bCs/>
        </w:rPr>
        <w:t>7.2 Institutional Roles and Responsibilities</w:t>
      </w:r>
    </w:p>
    <w:p>
      <w:pPr>
        <w:pStyle w:val="BodyText"/>
        <w:bidi w:val="0"/>
        <w:jc w:val="start"/>
        <w:rPr/>
      </w:pPr>
      <w:r>
        <w:rPr/>
        <w:t>RKL’s framework supports clear role definition so that ethical accountability is distributed, not diffused:</w:t>
      </w:r>
    </w:p>
    <w:tbl>
      <w:tblPr>
        <w:tblW w:w="9972" w:type="dxa"/>
        <w:jc w:val="start"/>
        <w:tblInd w:w="0" w:type="dxa"/>
        <w:tblLayout w:type="fixed"/>
        <w:tblCellMar>
          <w:top w:w="28" w:type="dxa"/>
          <w:start w:w="28" w:type="dxa"/>
          <w:bottom w:w="28" w:type="dxa"/>
          <w:end w:w="28" w:type="dxa"/>
        </w:tblCellMar>
      </w:tblPr>
      <w:tblGrid>
        <w:gridCol w:w="2161"/>
        <w:gridCol w:w="4812"/>
        <w:gridCol w:w="2999"/>
      </w:tblGrid>
      <w:tr>
        <w:trPr>
          <w:tblHeader w:val="true"/>
        </w:trPr>
        <w:tc>
          <w:tcPr>
            <w:tcW w:w="2161" w:type="dxa"/>
            <w:tcBorders/>
            <w:vAlign w:val="center"/>
          </w:tcPr>
          <w:p>
            <w:pPr>
              <w:pStyle w:val="TableHeading"/>
              <w:suppressLineNumbers/>
              <w:bidi w:val="0"/>
              <w:jc w:val="center"/>
              <w:rPr/>
            </w:pPr>
            <w:r>
              <w:rPr/>
              <w:t>Role</w:t>
            </w:r>
          </w:p>
        </w:tc>
        <w:tc>
          <w:tcPr>
            <w:tcW w:w="4812" w:type="dxa"/>
            <w:tcBorders/>
            <w:vAlign w:val="center"/>
          </w:tcPr>
          <w:p>
            <w:pPr>
              <w:pStyle w:val="TableHeading"/>
              <w:suppressLineNumbers/>
              <w:bidi w:val="0"/>
              <w:jc w:val="center"/>
              <w:rPr/>
            </w:pPr>
            <w:r>
              <w:rPr/>
              <w:t>Primary Responsibility</w:t>
            </w:r>
          </w:p>
        </w:tc>
        <w:tc>
          <w:tcPr>
            <w:tcW w:w="2999" w:type="dxa"/>
            <w:tcBorders/>
            <w:vAlign w:val="center"/>
          </w:tcPr>
          <w:p>
            <w:pPr>
              <w:pStyle w:val="TableHeading"/>
              <w:suppressLineNumbers/>
              <w:bidi w:val="0"/>
              <w:jc w:val="center"/>
              <w:rPr/>
            </w:pPr>
            <w:r>
              <w:rPr/>
              <w:t>Example</w:t>
            </w:r>
          </w:p>
        </w:tc>
      </w:tr>
      <w:tr>
        <w:trPr/>
        <w:tc>
          <w:tcPr>
            <w:tcW w:w="2161" w:type="dxa"/>
            <w:tcBorders/>
            <w:vAlign w:val="center"/>
          </w:tcPr>
          <w:p>
            <w:pPr>
              <w:pStyle w:val="TableContents"/>
              <w:widowControl w:val="false"/>
              <w:suppressLineNumbers/>
              <w:bidi w:val="0"/>
              <w:jc w:val="start"/>
              <w:rPr/>
            </w:pPr>
            <w:r>
              <w:rPr>
                <w:rStyle w:val="Strong"/>
              </w:rPr>
              <w:t>Custodians</w:t>
            </w:r>
          </w:p>
        </w:tc>
        <w:tc>
          <w:tcPr>
            <w:tcW w:w="4812" w:type="dxa"/>
            <w:tcBorders/>
            <w:vAlign w:val="center"/>
          </w:tcPr>
          <w:p>
            <w:pPr>
              <w:pStyle w:val="TableContents"/>
              <w:widowControl w:val="false"/>
              <w:suppressLineNumbers/>
              <w:bidi w:val="0"/>
              <w:jc w:val="start"/>
              <w:rPr/>
            </w:pPr>
            <w:r>
              <w:rPr/>
              <w:t>Maintain authority over governed knowledge domains; approve reasoning access and outputs.</w:t>
            </w:r>
          </w:p>
        </w:tc>
        <w:tc>
          <w:tcPr>
            <w:tcW w:w="2999" w:type="dxa"/>
            <w:tcBorders/>
            <w:vAlign w:val="center"/>
          </w:tcPr>
          <w:p>
            <w:pPr>
              <w:pStyle w:val="TableContents"/>
              <w:widowControl w:val="false"/>
              <w:suppressLineNumbers/>
              <w:bidi w:val="0"/>
              <w:jc w:val="start"/>
              <w:rPr/>
            </w:pPr>
            <w:r>
              <w:rPr/>
              <w:t>Archivists, health-data managers, research directors</w:t>
            </w:r>
          </w:p>
        </w:tc>
      </w:tr>
      <w:tr>
        <w:trPr/>
        <w:tc>
          <w:tcPr>
            <w:tcW w:w="2161" w:type="dxa"/>
            <w:tcBorders/>
            <w:vAlign w:val="center"/>
          </w:tcPr>
          <w:p>
            <w:pPr>
              <w:pStyle w:val="TableContents"/>
              <w:widowControl w:val="false"/>
              <w:suppressLineNumbers/>
              <w:bidi w:val="0"/>
              <w:jc w:val="start"/>
              <w:rPr/>
            </w:pPr>
            <w:r>
              <w:rPr>
                <w:rStyle w:val="Strong"/>
              </w:rPr>
              <w:t>Operators</w:t>
            </w:r>
          </w:p>
        </w:tc>
        <w:tc>
          <w:tcPr>
            <w:tcW w:w="4812" w:type="dxa"/>
            <w:tcBorders/>
            <w:vAlign w:val="center"/>
          </w:tcPr>
          <w:p>
            <w:pPr>
              <w:pStyle w:val="TableContents"/>
              <w:widowControl w:val="false"/>
              <w:suppressLineNumbers/>
              <w:bidi w:val="0"/>
              <w:jc w:val="start"/>
              <w:rPr/>
            </w:pPr>
            <w:r>
              <w:rPr/>
              <w:t>Configure and maintain secure-reasoning environments; enforce governance metadata and audit systems.</w:t>
            </w:r>
          </w:p>
        </w:tc>
        <w:tc>
          <w:tcPr>
            <w:tcW w:w="2999" w:type="dxa"/>
            <w:tcBorders/>
            <w:vAlign w:val="center"/>
          </w:tcPr>
          <w:p>
            <w:pPr>
              <w:pStyle w:val="TableContents"/>
              <w:widowControl w:val="false"/>
              <w:suppressLineNumbers/>
              <w:bidi w:val="0"/>
              <w:jc w:val="start"/>
              <w:rPr/>
            </w:pPr>
            <w:r>
              <w:rPr/>
              <w:t>IT and data-engineering teams</w:t>
            </w:r>
          </w:p>
        </w:tc>
      </w:tr>
      <w:tr>
        <w:trPr/>
        <w:tc>
          <w:tcPr>
            <w:tcW w:w="2161" w:type="dxa"/>
            <w:tcBorders/>
            <w:vAlign w:val="center"/>
          </w:tcPr>
          <w:p>
            <w:pPr>
              <w:pStyle w:val="TableContents"/>
              <w:widowControl w:val="false"/>
              <w:suppressLineNumbers/>
              <w:bidi w:val="0"/>
              <w:jc w:val="start"/>
              <w:rPr/>
            </w:pPr>
            <w:r>
              <w:rPr>
                <w:rStyle w:val="Strong"/>
              </w:rPr>
              <w:t>Oversight Bodies</w:t>
            </w:r>
          </w:p>
        </w:tc>
        <w:tc>
          <w:tcPr>
            <w:tcW w:w="4812" w:type="dxa"/>
            <w:tcBorders/>
            <w:vAlign w:val="center"/>
          </w:tcPr>
          <w:p>
            <w:pPr>
              <w:pStyle w:val="TableContents"/>
              <w:widowControl w:val="false"/>
              <w:suppressLineNumbers/>
              <w:bidi w:val="0"/>
              <w:jc w:val="start"/>
              <w:rPr/>
            </w:pPr>
            <w:r>
              <w:rPr/>
              <w:t>Evaluate adherence to policy and ethical standards; review audit logs and reasoning outcomes.</w:t>
            </w:r>
          </w:p>
        </w:tc>
        <w:tc>
          <w:tcPr>
            <w:tcW w:w="2999" w:type="dxa"/>
            <w:tcBorders/>
            <w:vAlign w:val="center"/>
          </w:tcPr>
          <w:p>
            <w:pPr>
              <w:pStyle w:val="TableContents"/>
              <w:widowControl w:val="false"/>
              <w:suppressLineNumbers/>
              <w:bidi w:val="0"/>
              <w:jc w:val="start"/>
              <w:rPr/>
            </w:pPr>
            <w:r>
              <w:rPr/>
              <w:t>Ethics boards, compliance offices, external auditors</w:t>
            </w:r>
          </w:p>
        </w:tc>
      </w:tr>
      <w:tr>
        <w:trPr/>
        <w:tc>
          <w:tcPr>
            <w:tcW w:w="2161" w:type="dxa"/>
            <w:tcBorders/>
            <w:vAlign w:val="center"/>
          </w:tcPr>
          <w:p>
            <w:pPr>
              <w:pStyle w:val="TableContents"/>
              <w:widowControl w:val="false"/>
              <w:suppressLineNumbers/>
              <w:bidi w:val="0"/>
              <w:jc w:val="start"/>
              <w:rPr/>
            </w:pPr>
            <w:r>
              <w:rPr>
                <w:rStyle w:val="Strong"/>
              </w:rPr>
              <w:t>Stakeholders and Communities</w:t>
            </w:r>
          </w:p>
        </w:tc>
        <w:tc>
          <w:tcPr>
            <w:tcW w:w="4812" w:type="dxa"/>
            <w:tcBorders/>
            <w:vAlign w:val="center"/>
          </w:tcPr>
          <w:p>
            <w:pPr>
              <w:pStyle w:val="TableContents"/>
              <w:widowControl w:val="false"/>
              <w:suppressLineNumbers/>
              <w:bidi w:val="0"/>
              <w:jc w:val="start"/>
              <w:rPr/>
            </w:pPr>
            <w:r>
              <w:rPr/>
              <w:t>Benefit from and contribute to responsible use; provide input on how collective benefit is defined.</w:t>
            </w:r>
          </w:p>
        </w:tc>
        <w:tc>
          <w:tcPr>
            <w:tcW w:w="2999" w:type="dxa"/>
            <w:tcBorders/>
            <w:vAlign w:val="center"/>
          </w:tcPr>
          <w:p>
            <w:pPr>
              <w:pStyle w:val="TableContents"/>
              <w:widowControl w:val="false"/>
              <w:suppressLineNumbers/>
              <w:bidi w:val="0"/>
              <w:jc w:val="start"/>
              <w:rPr/>
            </w:pPr>
            <w:r>
              <w:rPr/>
              <w:t>Employees, research partners, affected communities</w:t>
            </w:r>
          </w:p>
        </w:tc>
      </w:tr>
    </w:tbl>
    <w:p>
      <w:pPr>
        <w:pStyle w:val="BodyText"/>
        <w:bidi w:val="0"/>
        <w:jc w:val="start"/>
        <w:rPr/>
      </w:pPr>
      <w:r>
        <w:rPr/>
        <w:t>Clear role boundaries transform governance from an abstract principle into a functioning accountability system.</w:t>
      </w:r>
    </w:p>
    <w:p>
      <w:pPr>
        <w:pStyle w:val="HorizontalLine"/>
        <w:bidi w:val="0"/>
        <w:jc w:val="start"/>
        <w:rPr/>
      </w:pPr>
      <w:r>
        <w:rPr/>
      </w:r>
    </w:p>
    <w:p>
      <w:pPr>
        <w:pStyle w:val="Heading3"/>
        <w:bidi w:val="0"/>
        <w:jc w:val="start"/>
        <w:rPr/>
      </w:pPr>
      <w:r>
        <w:rPr>
          <w:rStyle w:val="Strong"/>
          <w:b/>
          <w:bCs/>
        </w:rPr>
        <w:t>7.3 Embedding CARE in Institutional Practice</w:t>
      </w:r>
    </w:p>
    <w:p>
      <w:pPr>
        <w:pStyle w:val="BodyText"/>
        <w:bidi w:val="0"/>
        <w:jc w:val="start"/>
        <w:rPr/>
      </w:pPr>
      <w:r>
        <w:rPr/>
        <w:t>CARE provides a roadmap for operationalizing ethical reasoning:</w:t>
      </w:r>
    </w:p>
    <w:p>
      <w:pPr>
        <w:pStyle w:val="BodyText"/>
        <w:numPr>
          <w:ilvl w:val="0"/>
          <w:numId w:val="20"/>
        </w:numPr>
        <w:tabs>
          <w:tab w:val="left" w:pos="709" w:leader="none"/>
        </w:tabs>
        <w:bidi w:val="0"/>
        <w:ind w:hanging="283" w:start="709"/>
        <w:jc w:val="start"/>
        <w:rPr/>
      </w:pPr>
      <w:r>
        <w:rPr>
          <w:rStyle w:val="Strong"/>
        </w:rPr>
        <w:t>Collective Benefit</w:t>
      </w:r>
      <w:r>
        <w:rPr/>
        <w:t xml:space="preserve"> — Secure reasoning must advance the organization’s mission </w:t>
      </w:r>
      <w:r>
        <w:rPr>
          <w:rStyle w:val="Emphasis"/>
        </w:rPr>
        <w:t>and</w:t>
      </w:r>
      <w:r>
        <w:rPr/>
        <w:t xml:space="preserve"> contribute to shared public good. Institutions define and measure this benefit explicitly.</w:t>
      </w:r>
    </w:p>
    <w:p>
      <w:pPr>
        <w:pStyle w:val="BodyText"/>
        <w:numPr>
          <w:ilvl w:val="0"/>
          <w:numId w:val="20"/>
        </w:numPr>
        <w:tabs>
          <w:tab w:val="left" w:pos="709" w:leader="none"/>
        </w:tabs>
        <w:bidi w:val="0"/>
        <w:ind w:hanging="283" w:start="709"/>
        <w:jc w:val="start"/>
        <w:rPr/>
      </w:pPr>
      <w:r>
        <w:rPr>
          <w:rStyle w:val="Strong"/>
        </w:rPr>
        <w:t>Authority to Control</w:t>
      </w:r>
      <w:r>
        <w:rPr/>
        <w:t xml:space="preserve"> — Custodians maintain final say over how their knowledge assets are used, including the right to revoke consent or modify conditions.</w:t>
      </w:r>
    </w:p>
    <w:p>
      <w:pPr>
        <w:pStyle w:val="BodyText"/>
        <w:numPr>
          <w:ilvl w:val="0"/>
          <w:numId w:val="20"/>
        </w:numPr>
        <w:tabs>
          <w:tab w:val="left" w:pos="709" w:leader="none"/>
        </w:tabs>
        <w:bidi w:val="0"/>
        <w:ind w:hanging="283" w:start="709"/>
        <w:jc w:val="start"/>
        <w:rPr/>
      </w:pPr>
      <w:r>
        <w:rPr>
          <w:rStyle w:val="Strong"/>
        </w:rPr>
        <w:t>Responsibility</w:t>
      </w:r>
      <w:r>
        <w:rPr/>
        <w:t xml:space="preserve"> — Every reasoning event has an accountable owner; logs and manifests identify who initiated and approved it.</w:t>
      </w:r>
    </w:p>
    <w:p>
      <w:pPr>
        <w:pStyle w:val="BodyText"/>
        <w:numPr>
          <w:ilvl w:val="0"/>
          <w:numId w:val="20"/>
        </w:numPr>
        <w:tabs>
          <w:tab w:val="left" w:pos="709" w:leader="none"/>
        </w:tabs>
        <w:bidi w:val="0"/>
        <w:ind w:hanging="283" w:start="709"/>
        <w:jc w:val="start"/>
        <w:rPr/>
      </w:pPr>
      <w:r>
        <w:rPr>
          <w:rStyle w:val="Strong"/>
        </w:rPr>
        <w:t>Ethics</w:t>
      </w:r>
      <w:r>
        <w:rPr/>
        <w:t xml:space="preserve"> — Decisions about model choice, data scope, and dissemination incorporate ethical review alongside technical validation.</w:t>
      </w:r>
    </w:p>
    <w:p>
      <w:pPr>
        <w:pStyle w:val="BodyText"/>
        <w:bidi w:val="0"/>
        <w:jc w:val="start"/>
        <w:rPr/>
      </w:pPr>
      <w:r>
        <w:rPr/>
        <w:t>By aligning institutional roles with these principles, organizations can ensure that governance remains human-centered even as reasoning becomes more automated.</w:t>
      </w:r>
    </w:p>
    <w:p>
      <w:pPr>
        <w:pStyle w:val="HorizontalLine"/>
        <w:bidi w:val="0"/>
        <w:jc w:val="start"/>
        <w:rPr/>
      </w:pPr>
      <w:r>
        <w:rPr/>
      </w:r>
    </w:p>
    <w:p>
      <w:pPr>
        <w:pStyle w:val="Heading3"/>
        <w:bidi w:val="0"/>
        <w:jc w:val="start"/>
        <w:rPr/>
      </w:pPr>
      <w:r>
        <w:rPr>
          <w:rStyle w:val="Strong"/>
          <w:b/>
          <w:bCs/>
        </w:rPr>
        <w:t>7.4 The Human-in-Governance Loop</w:t>
      </w:r>
    </w:p>
    <w:p>
      <w:pPr>
        <w:pStyle w:val="BodyText"/>
        <w:bidi w:val="0"/>
        <w:jc w:val="start"/>
        <w:rPr/>
      </w:pPr>
      <w:r>
        <w:rPr/>
        <w:t>Automation can enforce rules, but only humans can interpret values.</w:t>
        <w:br/>
        <w:t xml:space="preserve">Secure reasoning therefore maintains a </w:t>
      </w:r>
      <w:r>
        <w:rPr>
          <w:rStyle w:val="Emphasis"/>
        </w:rPr>
        <w:t>human-in-governance loop</w:t>
      </w:r>
      <w:r>
        <w:rPr/>
        <w:t>—a structure that keeps oversight, deliberation, and ethical judgment active.</w:t>
      </w:r>
    </w:p>
    <w:p>
      <w:pPr>
        <w:pStyle w:val="BodyText"/>
        <w:bidi w:val="0"/>
        <w:jc w:val="start"/>
        <w:rPr/>
      </w:pPr>
      <w:r>
        <w:rPr/>
        <w:t>Key mechanisms include:</w:t>
      </w:r>
    </w:p>
    <w:p>
      <w:pPr>
        <w:pStyle w:val="BodyText"/>
        <w:numPr>
          <w:ilvl w:val="0"/>
          <w:numId w:val="21"/>
        </w:numPr>
        <w:tabs>
          <w:tab w:val="left" w:pos="709" w:leader="none"/>
        </w:tabs>
        <w:bidi w:val="0"/>
        <w:ind w:hanging="283" w:start="709"/>
        <w:jc w:val="start"/>
        <w:rPr/>
      </w:pPr>
      <w:r>
        <w:rPr>
          <w:rStyle w:val="Strong"/>
        </w:rPr>
        <w:t>Governance checkpoints</w:t>
      </w:r>
      <w:r>
        <w:rPr/>
        <w:t xml:space="preserve"> before deployment and release of results.</w:t>
      </w:r>
    </w:p>
    <w:p>
      <w:pPr>
        <w:pStyle w:val="BodyText"/>
        <w:numPr>
          <w:ilvl w:val="0"/>
          <w:numId w:val="21"/>
        </w:numPr>
        <w:tabs>
          <w:tab w:val="left" w:pos="709" w:leader="none"/>
        </w:tabs>
        <w:bidi w:val="0"/>
        <w:ind w:hanging="283" w:start="709"/>
        <w:jc w:val="start"/>
        <w:rPr/>
      </w:pPr>
      <w:r>
        <w:rPr>
          <w:rStyle w:val="Strong"/>
        </w:rPr>
        <w:t>Continuous audit review</w:t>
      </w:r>
      <w:r>
        <w:rPr/>
        <w:t xml:space="preserve"> combining automated logging with human verification.</w:t>
      </w:r>
    </w:p>
    <w:p>
      <w:pPr>
        <w:pStyle w:val="BodyText"/>
        <w:numPr>
          <w:ilvl w:val="0"/>
          <w:numId w:val="21"/>
        </w:numPr>
        <w:tabs>
          <w:tab w:val="left" w:pos="709" w:leader="none"/>
        </w:tabs>
        <w:bidi w:val="0"/>
        <w:ind w:hanging="283" w:start="709"/>
        <w:jc w:val="start"/>
        <w:rPr/>
      </w:pPr>
      <w:r>
        <w:rPr>
          <w:rStyle w:val="Strong"/>
        </w:rPr>
        <w:t>Ethical escalation protocols</w:t>
      </w:r>
      <w:r>
        <w:rPr/>
        <w:t xml:space="preserve"> when reasoning results raise concerns about fairness, bias, or unintended consequences.</w:t>
      </w:r>
    </w:p>
    <w:p>
      <w:pPr>
        <w:pStyle w:val="BodyText"/>
        <w:numPr>
          <w:ilvl w:val="0"/>
          <w:numId w:val="21"/>
        </w:numPr>
        <w:tabs>
          <w:tab w:val="left" w:pos="709" w:leader="none"/>
        </w:tabs>
        <w:bidi w:val="0"/>
        <w:ind w:hanging="283" w:start="709"/>
        <w:jc w:val="start"/>
        <w:rPr/>
      </w:pPr>
      <w:r>
        <w:rPr>
          <w:rStyle w:val="Strong"/>
        </w:rPr>
        <w:t>Participatory feedback loops</w:t>
      </w:r>
      <w:r>
        <w:rPr/>
        <w:t xml:space="preserve"> allowing affected stakeholders to contest or refine reasoning outputs.</w:t>
      </w:r>
    </w:p>
    <w:p>
      <w:pPr>
        <w:pStyle w:val="BodyText"/>
        <w:bidi w:val="0"/>
        <w:jc w:val="start"/>
        <w:rPr/>
      </w:pPr>
      <w:r>
        <w:rPr/>
        <w:t>These ensure that accountability evolves with the complexity of the systems themselves.</w:t>
      </w:r>
    </w:p>
    <w:p>
      <w:pPr>
        <w:pStyle w:val="HorizontalLine"/>
        <w:bidi w:val="0"/>
        <w:jc w:val="start"/>
        <w:rPr/>
      </w:pPr>
      <w:r>
        <w:rPr/>
      </w:r>
    </w:p>
    <w:p>
      <w:pPr>
        <w:pStyle w:val="Heading3"/>
        <w:bidi w:val="0"/>
        <w:jc w:val="start"/>
        <w:rPr/>
      </w:pPr>
      <w:r>
        <w:rPr>
          <w:rStyle w:val="Strong"/>
          <w:b/>
          <w:bCs/>
        </w:rPr>
        <w:t>7.5 Institutional Adoption Pathways</w:t>
      </w:r>
    </w:p>
    <w:p>
      <w:pPr>
        <w:pStyle w:val="BodyText"/>
        <w:bidi w:val="0"/>
        <w:jc w:val="start"/>
        <w:rPr/>
      </w:pPr>
      <w:r>
        <w:rPr/>
        <w:t>Introducing secure reasoning involves both cultural and procedural transformation.</w:t>
        <w:br/>
        <w:t>RKL helps partner organizations progress through four stages of adoption:</w:t>
      </w:r>
    </w:p>
    <w:p>
      <w:pPr>
        <w:pStyle w:val="BodyText"/>
        <w:numPr>
          <w:ilvl w:val="0"/>
          <w:numId w:val="22"/>
        </w:numPr>
        <w:tabs>
          <w:tab w:val="left" w:pos="709" w:leader="none"/>
        </w:tabs>
        <w:bidi w:val="0"/>
        <w:ind w:hanging="283" w:start="709"/>
        <w:jc w:val="start"/>
        <w:rPr/>
      </w:pPr>
      <w:r>
        <w:rPr>
          <w:rStyle w:val="Strong"/>
        </w:rPr>
        <w:t>Awareness</w:t>
      </w:r>
      <w:r>
        <w:rPr/>
        <w:t xml:space="preserve"> — recognizing governance and ethical challenges in current AI use.</w:t>
      </w:r>
    </w:p>
    <w:p>
      <w:pPr>
        <w:pStyle w:val="BodyText"/>
        <w:numPr>
          <w:ilvl w:val="0"/>
          <w:numId w:val="22"/>
        </w:numPr>
        <w:tabs>
          <w:tab w:val="left" w:pos="709" w:leader="none"/>
        </w:tabs>
        <w:bidi w:val="0"/>
        <w:ind w:hanging="283" w:start="709"/>
        <w:jc w:val="start"/>
        <w:rPr/>
      </w:pPr>
      <w:r>
        <w:rPr>
          <w:rStyle w:val="Strong"/>
        </w:rPr>
        <w:t>Assessment</w:t>
      </w:r>
      <w:r>
        <w:rPr/>
        <w:t xml:space="preserve"> — mapping data, information, and knowledge assets and identifying risks.</w:t>
      </w:r>
    </w:p>
    <w:p>
      <w:pPr>
        <w:pStyle w:val="BodyText"/>
        <w:numPr>
          <w:ilvl w:val="0"/>
          <w:numId w:val="22"/>
        </w:numPr>
        <w:tabs>
          <w:tab w:val="left" w:pos="709" w:leader="none"/>
        </w:tabs>
        <w:bidi w:val="0"/>
        <w:ind w:hanging="283" w:start="709"/>
        <w:jc w:val="start"/>
        <w:rPr/>
      </w:pPr>
      <w:r>
        <w:rPr>
          <w:rStyle w:val="Strong"/>
        </w:rPr>
        <w:t>Implementation</w:t>
      </w:r>
      <w:r>
        <w:rPr/>
        <w:t xml:space="preserve"> — deploying secure-reasoning tools and aligning them with institutional policy.</w:t>
      </w:r>
    </w:p>
    <w:p>
      <w:pPr>
        <w:pStyle w:val="BodyText"/>
        <w:numPr>
          <w:ilvl w:val="0"/>
          <w:numId w:val="22"/>
        </w:numPr>
        <w:tabs>
          <w:tab w:val="left" w:pos="709" w:leader="none"/>
        </w:tabs>
        <w:bidi w:val="0"/>
        <w:ind w:hanging="283" w:start="709"/>
        <w:jc w:val="start"/>
        <w:rPr/>
      </w:pPr>
      <w:r>
        <w:rPr>
          <w:rStyle w:val="Strong"/>
        </w:rPr>
        <w:t>Maturity</w:t>
      </w:r>
      <w:r>
        <w:rPr/>
        <w:t xml:space="preserve"> — integrating governance reviews, audits, and community engagement as continuous processes.</w:t>
      </w:r>
    </w:p>
    <w:p>
      <w:pPr>
        <w:pStyle w:val="BodyText"/>
        <w:bidi w:val="0"/>
        <w:jc w:val="start"/>
        <w:rPr/>
      </w:pPr>
      <w:r>
        <w:rPr/>
        <w:t>Each stage reinforces the idea that governance and ethics are not overhead—they are the infrastructure of trust.</w:t>
      </w:r>
    </w:p>
    <w:p>
      <w:pPr>
        <w:pStyle w:val="HorizontalLine"/>
        <w:bidi w:val="0"/>
        <w:jc w:val="start"/>
        <w:rPr/>
      </w:pPr>
      <w:r>
        <w:rPr/>
      </w:r>
    </w:p>
    <w:p>
      <w:pPr>
        <w:pStyle w:val="Heading3"/>
        <w:bidi w:val="0"/>
        <w:jc w:val="start"/>
        <w:rPr/>
      </w:pPr>
      <w:r>
        <w:rPr>
          <w:rStyle w:val="Strong"/>
          <w:b/>
          <w:bCs/>
        </w:rPr>
        <w:t>7.6 Benefits of Ethical Integration</w:t>
      </w:r>
    </w:p>
    <w:p>
      <w:pPr>
        <w:pStyle w:val="BodyText"/>
        <w:bidi w:val="0"/>
        <w:jc w:val="start"/>
        <w:rPr/>
      </w:pPr>
      <w:r>
        <w:rPr/>
        <w:t>Embedding secure reasoning into institutional design produces tangible outcomes:</w:t>
      </w:r>
    </w:p>
    <w:p>
      <w:pPr>
        <w:pStyle w:val="BodyText"/>
        <w:numPr>
          <w:ilvl w:val="0"/>
          <w:numId w:val="23"/>
        </w:numPr>
        <w:tabs>
          <w:tab w:val="left" w:pos="709" w:leader="none"/>
        </w:tabs>
        <w:bidi w:val="0"/>
        <w:ind w:hanging="283" w:start="709"/>
        <w:jc w:val="start"/>
        <w:rPr/>
      </w:pPr>
      <w:r>
        <w:rPr>
          <w:rStyle w:val="Strong"/>
        </w:rPr>
        <w:t>Sustained Trust</w:t>
      </w:r>
      <w:r>
        <w:rPr/>
        <w:t xml:space="preserve"> — Stakeholders understand and verify how reasoning operates.</w:t>
      </w:r>
    </w:p>
    <w:p>
      <w:pPr>
        <w:pStyle w:val="BodyText"/>
        <w:numPr>
          <w:ilvl w:val="0"/>
          <w:numId w:val="23"/>
        </w:numPr>
        <w:tabs>
          <w:tab w:val="left" w:pos="709" w:leader="none"/>
        </w:tabs>
        <w:bidi w:val="0"/>
        <w:ind w:hanging="283" w:start="709"/>
        <w:jc w:val="start"/>
        <w:rPr/>
      </w:pPr>
      <w:r>
        <w:rPr>
          <w:rStyle w:val="Strong"/>
        </w:rPr>
        <w:t>Reduced Risk</w:t>
      </w:r>
      <w:r>
        <w:rPr/>
        <w:t xml:space="preserve"> — Ethical and legal compliance become systemic rather than episodic.</w:t>
      </w:r>
    </w:p>
    <w:p>
      <w:pPr>
        <w:pStyle w:val="BodyText"/>
        <w:numPr>
          <w:ilvl w:val="0"/>
          <w:numId w:val="23"/>
        </w:numPr>
        <w:tabs>
          <w:tab w:val="left" w:pos="709" w:leader="none"/>
        </w:tabs>
        <w:bidi w:val="0"/>
        <w:ind w:hanging="283" w:start="709"/>
        <w:jc w:val="start"/>
        <w:rPr/>
      </w:pPr>
      <w:r>
        <w:rPr>
          <w:rStyle w:val="Strong"/>
        </w:rPr>
        <w:t>Operational Efficiency</w:t>
      </w:r>
      <w:r>
        <w:rPr/>
        <w:t xml:space="preserve"> — Governance structures streamline decision-making and documentation.</w:t>
      </w:r>
    </w:p>
    <w:p>
      <w:pPr>
        <w:pStyle w:val="BodyText"/>
        <w:numPr>
          <w:ilvl w:val="0"/>
          <w:numId w:val="23"/>
        </w:numPr>
        <w:tabs>
          <w:tab w:val="left" w:pos="709" w:leader="none"/>
        </w:tabs>
        <w:bidi w:val="0"/>
        <w:ind w:hanging="283" w:start="709"/>
        <w:jc w:val="start"/>
        <w:rPr/>
      </w:pPr>
      <w:r>
        <w:rPr>
          <w:rStyle w:val="Strong"/>
        </w:rPr>
        <w:t>Resilience and Continuity</w:t>
      </w:r>
      <w:r>
        <w:rPr/>
        <w:t xml:space="preserve"> — Institutional memory is preserved through auditable reasoning trails.</w:t>
      </w:r>
    </w:p>
    <w:p>
      <w:pPr>
        <w:pStyle w:val="BodyText"/>
        <w:numPr>
          <w:ilvl w:val="0"/>
          <w:numId w:val="23"/>
        </w:numPr>
        <w:tabs>
          <w:tab w:val="left" w:pos="709" w:leader="none"/>
        </w:tabs>
        <w:bidi w:val="0"/>
        <w:ind w:hanging="283" w:start="709"/>
        <w:jc w:val="start"/>
        <w:rPr/>
      </w:pPr>
      <w:r>
        <w:rPr>
          <w:rStyle w:val="Strong"/>
        </w:rPr>
        <w:t>Public Confidence</w:t>
      </w:r>
      <w:r>
        <w:rPr/>
        <w:t xml:space="preserve"> — Transparent governance demonstrates accountability to society.</w:t>
      </w:r>
    </w:p>
    <w:p>
      <w:pPr>
        <w:pStyle w:val="BodyText"/>
        <w:bidi w:val="0"/>
        <w:jc w:val="start"/>
        <w:rPr/>
      </w:pPr>
      <w:r>
        <w:rPr/>
        <w:t>These benefits make ethical integration both a moral and strategic imperative.</w:t>
      </w:r>
    </w:p>
    <w:p>
      <w:pPr>
        <w:pStyle w:val="HorizontalLine"/>
        <w:bidi w:val="0"/>
        <w:jc w:val="start"/>
        <w:rPr/>
      </w:pPr>
      <w:r>
        <w:rPr/>
      </w:r>
    </w:p>
    <w:p>
      <w:pPr>
        <w:pStyle w:val="Heading3"/>
        <w:bidi w:val="0"/>
        <w:jc w:val="start"/>
        <w:rPr/>
      </w:pPr>
      <w:r>
        <w:rPr>
          <w:rStyle w:val="Strong"/>
          <w:b/>
          <w:bCs/>
        </w:rPr>
        <w:t>7.7 RKL’s Role in Ethical Stewardship</w:t>
      </w:r>
    </w:p>
    <w:p>
      <w:pPr>
        <w:pStyle w:val="BodyText"/>
        <w:bidi w:val="0"/>
        <w:jc w:val="start"/>
        <w:rPr/>
      </w:pPr>
      <w:r>
        <w:rPr/>
        <w:t>RKL’s contribution extends beyond technical frameworks.</w:t>
        <w:br/>
        <w:t>The lab convenes experts in governance, law, ethics, and community engagement to develop shared standards and training programs for institutional partners.</w:t>
        <w:br/>
        <w:t>It promotes research on the human dimensions of secure reasoning—how organizations interpret consent, balance openness and protection, and translate CARE into policy.</w:t>
      </w:r>
    </w:p>
    <w:p>
      <w:pPr>
        <w:pStyle w:val="BodyText"/>
        <w:bidi w:val="0"/>
        <w:jc w:val="start"/>
        <w:rPr/>
      </w:pPr>
      <w:r>
        <w:rPr/>
        <w:t xml:space="preserve">Through this collaborative stewardship, RKL aims to make </w:t>
      </w:r>
      <w:r>
        <w:rPr>
          <w:rStyle w:val="Strong"/>
        </w:rPr>
        <w:t>ethical governance a default capability of AI ecosystems</w:t>
      </w:r>
      <w:r>
        <w:rPr/>
        <w:t>.</w:t>
      </w:r>
    </w:p>
    <w:p>
      <w:pPr>
        <w:pStyle w:val="HorizontalLine"/>
        <w:bidi w:val="0"/>
        <w:jc w:val="start"/>
        <w:rPr/>
      </w:pPr>
      <w:r>
        <w:rPr/>
      </w:r>
    </w:p>
    <w:p>
      <w:pPr>
        <w:pStyle w:val="Heading3"/>
        <w:bidi w:val="0"/>
        <w:jc w:val="start"/>
        <w:rPr/>
      </w:pPr>
      <w:r>
        <w:rPr>
          <w:rStyle w:val="Strong"/>
          <w:b/>
          <w:bCs/>
        </w:rPr>
        <w:t>Transition to Section 8</w:t>
      </w:r>
    </w:p>
    <w:p>
      <w:pPr>
        <w:pStyle w:val="BodyText"/>
        <w:bidi w:val="0"/>
        <w:jc w:val="start"/>
        <w:rPr/>
      </w:pPr>
      <w:r>
        <w:rPr/>
        <w:t xml:space="preserve">The next section, </w:t>
      </w:r>
      <w:r>
        <w:rPr>
          <w:rStyle w:val="Strong"/>
        </w:rPr>
        <w:t>Demonstration Phase (2025–2026),</w:t>
      </w:r>
      <w:r>
        <w:rPr/>
        <w:t xml:space="preserve"> describes how RKL is implementing these principles in practice—through pilot projects, toolkits, and field demonstrations that validate both the technical and ethical dimensions of secure reasoning.</w:t>
      </w:r>
    </w:p>
    <w:p>
      <w:pPr>
        <w:pStyle w:val="Normal"/>
        <w:bidi w:val="0"/>
        <w:jc w:val="start"/>
        <w:rPr/>
      </w:pPr>
      <w:r>
        <w:rPr/>
      </w:r>
    </w:p>
    <w:p>
      <w:pPr>
        <w:pStyle w:val="Heading2"/>
        <w:bidi w:val="0"/>
        <w:jc w:val="start"/>
        <w:rPr/>
      </w:pPr>
      <w:r>
        <w:rPr>
          <w:rStyle w:val="Strong"/>
          <w:b/>
          <w:bCs/>
        </w:rPr>
        <w:t>8. Demonstration Phase</w:t>
      </w:r>
    </w:p>
    <w:p>
      <w:pPr>
        <w:pStyle w:val="BodyText"/>
        <w:bidi w:val="0"/>
        <w:jc w:val="start"/>
        <w:rPr/>
      </w:pPr>
      <w:r>
        <w:rPr/>
        <w:t xml:space="preserve">RKL is in its </w:t>
      </w:r>
      <w:r>
        <w:rPr>
          <w:rStyle w:val="Strong"/>
        </w:rPr>
        <w:t>initial demonstration phase</w:t>
      </w:r>
      <w:r>
        <w:rPr/>
        <w:t>, translating secure-reasoning theory into practical evidence through small, collaborative deployments.</w:t>
        <w:br/>
        <w:t>This work advances deliberately and sustainably—guided by a volunteer board and partner institutions who share RKL’s vision of governed, human-centered AI.</w:t>
        <w:br/>
        <w:t xml:space="preserve">The aim is not rapid scale-up but </w:t>
      </w:r>
      <w:r>
        <w:rPr>
          <w:rStyle w:val="Strong"/>
        </w:rPr>
        <w:t>credible proofs-of-concept</w:t>
      </w:r>
      <w:r>
        <w:rPr/>
        <w:t xml:space="preserve"> that demonstrate what secure reasoning can achieve under real institutional constraints.</w:t>
      </w:r>
    </w:p>
    <w:p>
      <w:pPr>
        <w:pStyle w:val="BodyText"/>
        <w:bidi w:val="0"/>
        <w:jc w:val="start"/>
        <w:rPr/>
      </w:pPr>
      <w:r>
        <w:rPr/>
        <w:t xml:space="preserve">The demonstration phase distinguishes between </w:t>
      </w:r>
      <w:r>
        <w:rPr>
          <w:rStyle w:val="Strong"/>
        </w:rPr>
        <w:t>active programs</w:t>
      </w:r>
      <w:r>
        <w:rPr/>
        <w:t xml:space="preserve"> that are already underway and </w:t>
      </w:r>
      <w:r>
        <w:rPr>
          <w:rStyle w:val="Strong"/>
        </w:rPr>
        <w:t>emerging areas</w:t>
      </w:r>
      <w:r>
        <w:rPr/>
        <w:t xml:space="preserve"> that chart the lab’s long-term direction.</w:t>
        <w:br/>
        <w:t>Each reinforces RKL’s central hypothesis: that verifiable, human-centered reasoning is both technically feasible and institutionally valuable.</w:t>
      </w:r>
    </w:p>
    <w:p>
      <w:pPr>
        <w:pStyle w:val="HorizontalLine"/>
        <w:bidi w:val="0"/>
        <w:jc w:val="start"/>
        <w:rPr/>
      </w:pPr>
      <w:r>
        <w:rPr/>
      </w:r>
    </w:p>
    <w:p>
      <w:pPr>
        <w:pStyle w:val="Heading3"/>
        <w:bidi w:val="0"/>
        <w:jc w:val="start"/>
        <w:rPr/>
      </w:pPr>
      <w:r>
        <w:rPr>
          <w:rStyle w:val="Strong"/>
          <w:b/>
          <w:bCs/>
        </w:rPr>
        <w:t>8.1 Objectives</w:t>
      </w:r>
    </w:p>
    <w:p>
      <w:pPr>
        <w:pStyle w:val="BodyText"/>
        <w:numPr>
          <w:ilvl w:val="0"/>
          <w:numId w:val="24"/>
        </w:numPr>
        <w:tabs>
          <w:tab w:val="left" w:pos="709" w:leader="none"/>
        </w:tabs>
        <w:bidi w:val="0"/>
        <w:ind w:hanging="283" w:start="709"/>
        <w:jc w:val="start"/>
        <w:rPr/>
      </w:pPr>
      <w:r>
        <w:rPr>
          <w:rStyle w:val="Strong"/>
        </w:rPr>
        <w:t>Build Reference Environments</w:t>
      </w:r>
      <w:r>
        <w:rPr/>
        <w:t xml:space="preserve"> – develop reproducible secure-reasoning stacks showing complete governance loops.</w:t>
      </w:r>
    </w:p>
    <w:p>
      <w:pPr>
        <w:pStyle w:val="BodyText"/>
        <w:numPr>
          <w:ilvl w:val="0"/>
          <w:numId w:val="24"/>
        </w:numPr>
        <w:tabs>
          <w:tab w:val="left" w:pos="709" w:leader="none"/>
        </w:tabs>
        <w:bidi w:val="0"/>
        <w:ind w:hanging="283" w:start="709"/>
        <w:jc w:val="start"/>
        <w:rPr/>
      </w:pPr>
      <w:r>
        <w:rPr>
          <w:rStyle w:val="Strong"/>
        </w:rPr>
        <w:t>Validate Ethical Governance</w:t>
      </w:r>
      <w:r>
        <w:rPr/>
        <w:t xml:space="preserve"> – evaluate how CARE-aligned protocols sustain consent, accountability, and transparency.</w:t>
      </w:r>
    </w:p>
    <w:p>
      <w:pPr>
        <w:pStyle w:val="BodyText"/>
        <w:numPr>
          <w:ilvl w:val="0"/>
          <w:numId w:val="24"/>
        </w:numPr>
        <w:tabs>
          <w:tab w:val="left" w:pos="709" w:leader="none"/>
        </w:tabs>
        <w:bidi w:val="0"/>
        <w:ind w:hanging="283" w:start="709"/>
        <w:jc w:val="start"/>
        <w:rPr/>
      </w:pPr>
      <w:r>
        <w:rPr>
          <w:rStyle w:val="Strong"/>
        </w:rPr>
        <w:t>Support Knowledge Readiness</w:t>
      </w:r>
      <w:r>
        <w:rPr/>
        <w:t xml:space="preserve"> – help partners curate and document data, information, and knowledge assets for AI interaction.</w:t>
      </w:r>
    </w:p>
    <w:p>
      <w:pPr>
        <w:pStyle w:val="BodyText"/>
        <w:numPr>
          <w:ilvl w:val="0"/>
          <w:numId w:val="24"/>
        </w:numPr>
        <w:tabs>
          <w:tab w:val="left" w:pos="709" w:leader="none"/>
        </w:tabs>
        <w:bidi w:val="0"/>
        <w:ind w:hanging="283" w:start="709"/>
        <w:jc w:val="start"/>
        <w:rPr/>
      </w:pPr>
      <w:r>
        <w:rPr>
          <w:rStyle w:val="Strong"/>
        </w:rPr>
        <w:t>Establish Training and Standards</w:t>
      </w:r>
      <w:r>
        <w:rPr/>
        <w:t xml:space="preserve"> – create practical guides for auditing, attribution, and ethical review.</w:t>
      </w:r>
    </w:p>
    <w:p>
      <w:pPr>
        <w:pStyle w:val="BodyText"/>
        <w:numPr>
          <w:ilvl w:val="0"/>
          <w:numId w:val="24"/>
        </w:numPr>
        <w:tabs>
          <w:tab w:val="left" w:pos="709" w:leader="none"/>
        </w:tabs>
        <w:bidi w:val="0"/>
        <w:ind w:hanging="283" w:start="709"/>
        <w:jc w:val="start"/>
        <w:rPr/>
      </w:pPr>
      <w:r>
        <w:rPr>
          <w:rStyle w:val="Strong"/>
        </w:rPr>
        <w:t>Publish Open Artifacts</w:t>
      </w:r>
      <w:r>
        <w:rPr/>
        <w:t xml:space="preserve"> – release software, documentation, and case studies under open licenses for reuse by others.</w:t>
      </w:r>
    </w:p>
    <w:p>
      <w:pPr>
        <w:pStyle w:val="BodyText"/>
        <w:bidi w:val="0"/>
        <w:jc w:val="start"/>
        <w:rPr/>
      </w:pPr>
      <w:r>
        <w:rPr/>
        <w:t>Together, these goals move secure reasoning from concept to practice.</w:t>
      </w:r>
    </w:p>
    <w:p>
      <w:pPr>
        <w:pStyle w:val="HorizontalLine"/>
        <w:bidi w:val="0"/>
        <w:jc w:val="start"/>
        <w:rPr/>
      </w:pPr>
      <w:r>
        <w:rPr/>
      </w:r>
    </w:p>
    <w:p>
      <w:pPr>
        <w:pStyle w:val="Heading3"/>
        <w:bidi w:val="0"/>
        <w:jc w:val="start"/>
        <w:rPr/>
      </w:pPr>
      <w:r>
        <w:rPr>
          <w:rStyle w:val="Strong"/>
          <w:b/>
          <w:bCs/>
        </w:rPr>
        <w:t>8.2 Active Programs</w:t>
      </w:r>
    </w:p>
    <w:p>
      <w:pPr>
        <w:pStyle w:val="Heading4"/>
        <w:bidi w:val="0"/>
        <w:jc w:val="start"/>
        <w:rPr/>
      </w:pPr>
      <w:r>
        <w:rPr>
          <w:rStyle w:val="Strong"/>
          <w:b/>
          <w:bCs/>
        </w:rPr>
        <w:t>Open Protocols</w:t>
      </w:r>
    </w:p>
    <w:p>
      <w:pPr>
        <w:pStyle w:val="BodyText"/>
        <w:bidi w:val="0"/>
        <w:jc w:val="start"/>
        <w:rPr/>
      </w:pPr>
      <w:r>
        <w:rPr/>
        <w:t>RKL contributes to the refinement of public-interest standards—such as context-exchange and policy-aware retrieval protocols—that define how reasoning systems interact securely with governed knowledge domains.</w:t>
      </w:r>
    </w:p>
    <w:p>
      <w:pPr>
        <w:pStyle w:val="Heading4"/>
        <w:bidi w:val="0"/>
        <w:jc w:val="start"/>
        <w:rPr/>
      </w:pPr>
      <w:r>
        <w:rPr>
          <w:rStyle w:val="Strong"/>
          <w:b/>
          <w:bCs/>
        </w:rPr>
        <w:t>Reference Toolkits</w:t>
      </w:r>
    </w:p>
    <w:p>
      <w:pPr>
        <w:pStyle w:val="BodyText"/>
        <w:bidi w:val="0"/>
        <w:jc w:val="start"/>
        <w:rPr/>
      </w:pPr>
      <w:r>
        <w:rPr/>
        <w:t>Open-source adapters, audit-logging systems, and reproducible stacks that organizations can adapt, deploy, and audit.</w:t>
        <w:br/>
        <w:t>These implementations demonstrate how secure reasoning functions under local control.</w:t>
      </w:r>
    </w:p>
    <w:p>
      <w:pPr>
        <w:pStyle w:val="Heading4"/>
        <w:bidi w:val="0"/>
        <w:jc w:val="start"/>
        <w:rPr/>
      </w:pPr>
      <w:r>
        <w:rPr>
          <w:rStyle w:val="Strong"/>
          <w:b/>
          <w:bCs/>
        </w:rPr>
        <w:t>Field Pilots</w:t>
      </w:r>
    </w:p>
    <w:p>
      <w:pPr>
        <w:pStyle w:val="BodyText"/>
        <w:bidi w:val="0"/>
        <w:jc w:val="start"/>
        <w:rPr/>
      </w:pPr>
      <w:r>
        <w:rPr/>
        <w:t>Collaborations with partner organizations to test secure reasoning in real-world contexts.</w:t>
        <w:br/>
        <w:t>Current pilots focus on bridging research and institutional knowledge, validating responsible reasoning in marine science, heritage management, and municipal planning.</w:t>
      </w:r>
    </w:p>
    <w:p>
      <w:pPr>
        <w:pStyle w:val="HorizontalLine"/>
        <w:bidi w:val="0"/>
        <w:jc w:val="start"/>
        <w:rPr/>
      </w:pPr>
      <w:r>
        <w:rPr/>
      </w:r>
    </w:p>
    <w:p>
      <w:pPr>
        <w:pStyle w:val="Heading3"/>
        <w:bidi w:val="0"/>
        <w:jc w:val="start"/>
        <w:rPr/>
      </w:pPr>
      <w:r>
        <w:rPr>
          <w:rStyle w:val="Strong"/>
          <w:b/>
          <w:bCs/>
        </w:rPr>
        <w:t>8.3 Emerging Areas</w:t>
      </w:r>
    </w:p>
    <w:p>
      <w:pPr>
        <w:pStyle w:val="Heading4"/>
        <w:bidi w:val="0"/>
        <w:jc w:val="start"/>
        <w:rPr/>
      </w:pPr>
      <w:r>
        <w:rPr>
          <w:rStyle w:val="Strong"/>
          <w:b/>
          <w:bCs/>
        </w:rPr>
        <w:t>Governance Frameworks</w:t>
      </w:r>
    </w:p>
    <w:p>
      <w:pPr>
        <w:pStyle w:val="BodyText"/>
        <w:bidi w:val="0"/>
        <w:jc w:val="start"/>
        <w:rPr/>
      </w:pPr>
      <w:r>
        <w:rPr/>
        <w:t>Templates for consent, licensing, and access-control policies grounded in CARE principles.</w:t>
        <w:br/>
        <w:t>These frameworks help organizations define who can access which knowledge, under what oversight.</w:t>
      </w:r>
    </w:p>
    <w:p>
      <w:pPr>
        <w:pStyle w:val="Heading4"/>
        <w:bidi w:val="0"/>
        <w:jc w:val="start"/>
        <w:rPr/>
      </w:pPr>
      <w:r>
        <w:rPr>
          <w:rStyle w:val="Strong"/>
          <w:b/>
          <w:bCs/>
        </w:rPr>
        <w:t>Applied Research</w:t>
      </w:r>
    </w:p>
    <w:p>
      <w:pPr>
        <w:pStyle w:val="BodyText"/>
        <w:bidi w:val="0"/>
        <w:jc w:val="start"/>
        <w:rPr/>
      </w:pPr>
      <w:r>
        <w:rPr/>
        <w:t>Studies exploring how human-machine reasoning contributes to knowledge creation and decision-making.</w:t>
        <w:br/>
        <w:t>Through partnerships, RKL examines how governed reasoning enhances learning, collaboration, and trust.</w:t>
      </w:r>
    </w:p>
    <w:p>
      <w:pPr>
        <w:pStyle w:val="Heading4"/>
        <w:bidi w:val="0"/>
        <w:jc w:val="start"/>
        <w:rPr/>
      </w:pPr>
      <w:r>
        <w:rPr>
          <w:rStyle w:val="Strong"/>
          <w:b/>
          <w:bCs/>
        </w:rPr>
        <w:t>Education &amp; Outreach</w:t>
      </w:r>
    </w:p>
    <w:p>
      <w:pPr>
        <w:pStyle w:val="BodyText"/>
        <w:bidi w:val="0"/>
        <w:jc w:val="start"/>
        <w:rPr/>
      </w:pPr>
      <w:r>
        <w:rPr/>
        <w:t>Workshops and training programs that build capacity for ethical AI and knowledge governance.</w:t>
        <w:br/>
        <w:t>From introductory sessions to technical “red/blue-team” exercises, RKL helps institutions implement responsible, verifiable AI practices.</w:t>
      </w:r>
    </w:p>
    <w:p>
      <w:pPr>
        <w:pStyle w:val="HorizontalLine"/>
        <w:bidi w:val="0"/>
        <w:jc w:val="start"/>
        <w:rPr/>
      </w:pPr>
      <w:r>
        <w:rPr/>
      </w:r>
    </w:p>
    <w:p>
      <w:pPr>
        <w:pStyle w:val="Heading3"/>
        <w:bidi w:val="0"/>
        <w:jc w:val="start"/>
        <w:rPr/>
      </w:pPr>
      <w:r>
        <w:rPr>
          <w:rStyle w:val="Strong"/>
          <w:b/>
          <w:bCs/>
        </w:rPr>
        <w:t>8.4 Knowledge Readiness Program</w:t>
      </w:r>
    </w:p>
    <w:p>
      <w:pPr>
        <w:pStyle w:val="BodyText"/>
        <w:bidi w:val="0"/>
        <w:jc w:val="start"/>
        <w:rPr/>
      </w:pPr>
      <w:r>
        <w:rPr/>
        <w:t>Experience shows that many organizations are not yet ready for AI interaction: their data, information, and knowledge assets are dispersed, outdated, or undocumented.</w:t>
        <w:br/>
        <w:t xml:space="preserve">RKL assists partners in </w:t>
      </w:r>
      <w:r>
        <w:rPr>
          <w:rStyle w:val="Strong"/>
        </w:rPr>
        <w:t>knowledge curation and preparation</w:t>
      </w:r>
      <w:r>
        <w:rPr/>
        <w:t>—inventorying, tagging, and structuring holdings so they can safely engage in secure reasoning.</w:t>
        <w:br/>
        <w:t>This often becomes the first tangible benefit of collaboration: governance begins with knowing what one holds.</w:t>
      </w:r>
    </w:p>
    <w:p>
      <w:pPr>
        <w:pStyle w:val="HorizontalLine"/>
        <w:bidi w:val="0"/>
        <w:jc w:val="start"/>
        <w:rPr/>
      </w:pPr>
      <w:r>
        <w:rPr/>
      </w:r>
    </w:p>
    <w:p>
      <w:pPr>
        <w:pStyle w:val="Heading3"/>
        <w:bidi w:val="0"/>
        <w:jc w:val="start"/>
        <w:rPr/>
      </w:pPr>
      <w:r>
        <w:rPr>
          <w:rStyle w:val="Strong"/>
          <w:b/>
          <w:bCs/>
        </w:rPr>
        <w:t>8.5 Evaluation and Learning</w:t>
      </w:r>
    </w:p>
    <w:p>
      <w:pPr>
        <w:pStyle w:val="BodyText"/>
        <w:bidi w:val="0"/>
        <w:jc w:val="start"/>
        <w:rPr/>
      </w:pPr>
      <w:r>
        <w:rPr/>
        <w:t>Each initiative is assessed through three complementary lenses:</w:t>
      </w:r>
    </w:p>
    <w:p>
      <w:pPr>
        <w:pStyle w:val="BodyText"/>
        <w:numPr>
          <w:ilvl w:val="0"/>
          <w:numId w:val="25"/>
        </w:numPr>
        <w:tabs>
          <w:tab w:val="left" w:pos="709" w:leader="none"/>
        </w:tabs>
        <w:bidi w:val="0"/>
        <w:ind w:hanging="283" w:start="709"/>
        <w:jc w:val="start"/>
        <w:rPr/>
      </w:pPr>
      <w:r>
        <w:rPr>
          <w:rStyle w:val="Strong"/>
        </w:rPr>
        <w:t>Technical Performance</w:t>
      </w:r>
      <w:r>
        <w:rPr/>
        <w:t xml:space="preserve"> – accuracy, reproducibility, and security.</w:t>
      </w:r>
    </w:p>
    <w:p>
      <w:pPr>
        <w:pStyle w:val="BodyText"/>
        <w:numPr>
          <w:ilvl w:val="0"/>
          <w:numId w:val="25"/>
        </w:numPr>
        <w:tabs>
          <w:tab w:val="left" w:pos="709" w:leader="none"/>
        </w:tabs>
        <w:bidi w:val="0"/>
        <w:ind w:hanging="283" w:start="709"/>
        <w:jc w:val="start"/>
        <w:rPr/>
      </w:pPr>
      <w:r>
        <w:rPr>
          <w:rStyle w:val="Strong"/>
        </w:rPr>
        <w:t>Governance Integrity</w:t>
      </w:r>
      <w:r>
        <w:rPr/>
        <w:t xml:space="preserve"> – quality of consent records, audit completeness, and policy adherence.</w:t>
      </w:r>
    </w:p>
    <w:p>
      <w:pPr>
        <w:pStyle w:val="BodyText"/>
        <w:numPr>
          <w:ilvl w:val="0"/>
          <w:numId w:val="25"/>
        </w:numPr>
        <w:tabs>
          <w:tab w:val="left" w:pos="709" w:leader="none"/>
        </w:tabs>
        <w:bidi w:val="0"/>
        <w:ind w:hanging="283" w:start="709"/>
        <w:jc w:val="start"/>
        <w:rPr/>
      </w:pPr>
      <w:r>
        <w:rPr>
          <w:rStyle w:val="Strong"/>
        </w:rPr>
        <w:t>Institutional Impact</w:t>
      </w:r>
      <w:r>
        <w:rPr/>
        <w:t xml:space="preserve"> – improvements in decision quality, collaboration, and stakeholder trust.</w:t>
      </w:r>
    </w:p>
    <w:p>
      <w:pPr>
        <w:pStyle w:val="BodyText"/>
        <w:bidi w:val="0"/>
        <w:jc w:val="start"/>
        <w:rPr/>
      </w:pPr>
      <w:r>
        <w:rPr/>
        <w:t>Results are shared publicly through open reports and knowledge-exchange forums, reinforcing RKL’s commitment to transparency and collective learning.</w:t>
      </w:r>
    </w:p>
    <w:p>
      <w:pPr>
        <w:pStyle w:val="HorizontalLine"/>
        <w:bidi w:val="0"/>
        <w:jc w:val="start"/>
        <w:rPr/>
      </w:pPr>
      <w:r>
        <w:rPr/>
      </w:r>
    </w:p>
    <w:p>
      <w:pPr>
        <w:pStyle w:val="Heading3"/>
        <w:bidi w:val="0"/>
        <w:jc w:val="start"/>
        <w:rPr/>
      </w:pPr>
      <w:r>
        <w:rPr>
          <w:rStyle w:val="Strong"/>
          <w:b/>
          <w:bCs/>
        </w:rPr>
        <w:t>8.6 Collaboration, Compute, and Stewardship</w:t>
      </w:r>
    </w:p>
    <w:p>
      <w:pPr>
        <w:pStyle w:val="BodyText"/>
        <w:bidi w:val="0"/>
        <w:jc w:val="start"/>
        <w:rPr/>
      </w:pPr>
      <w:r>
        <w:rPr/>
        <w:t>RKL’s demonstration phase depends on partnership and shared infrastructure.</w:t>
        <w:br/>
        <w:t>The lab works with universities, agencies, and nonprofits whose missions align with public benefit.</w:t>
        <w:br/>
        <w:t>Partners contribute domain expertise and governed knowledge; RKL provides infrastructure, technical guidance, and governance design.</w:t>
      </w:r>
    </w:p>
    <w:p>
      <w:pPr>
        <w:pStyle w:val="BodyText"/>
        <w:bidi w:val="0"/>
        <w:jc w:val="start"/>
        <w:rPr/>
      </w:pPr>
      <w:r>
        <w:rPr/>
        <w:t xml:space="preserve">A key early objective is to </w:t>
      </w:r>
      <w:r>
        <w:rPr>
          <w:rStyle w:val="Strong"/>
        </w:rPr>
        <w:t>establish internal and partner-accessible compute resources</w:t>
      </w:r>
      <w:r>
        <w:rPr/>
        <w:t xml:space="preserve"> that support research, prototyping, and collaboration under RKL’s governance framework.</w:t>
        <w:br/>
        <w:t xml:space="preserve">These resources—including local servers, cloud instances, and necessary subscriptions—will host secure-reasoning environments for projects such as the </w:t>
      </w:r>
      <w:r>
        <w:rPr>
          <w:rStyle w:val="Strong"/>
        </w:rPr>
        <w:t>Open Research Project (ORP)</w:t>
      </w:r>
      <w:r>
        <w:rPr/>
        <w:t>.</w:t>
        <w:br/>
        <w:t>Access to this governed compute will enable board members, researchers, and partner organizations to co-develop and test secure-reasoning methods directly within RKL’s ethical and technical protocols.</w:t>
      </w:r>
    </w:p>
    <w:p>
      <w:pPr>
        <w:pStyle w:val="BodyText"/>
        <w:bidi w:val="0"/>
        <w:jc w:val="start"/>
        <w:rPr/>
      </w:pPr>
      <w:r>
        <w:rPr/>
        <w:t>Through this mutual stewardship, each project strengthens the broader ecosystem for secure reasoning while building the capacity needed for long-term growth.</w:t>
      </w:r>
    </w:p>
    <w:p>
      <w:pPr>
        <w:pStyle w:val="HorizontalLine"/>
        <w:bidi w:val="0"/>
        <w:jc w:val="start"/>
        <w:rPr/>
      </w:pPr>
      <w:r>
        <w:rPr/>
      </w:r>
    </w:p>
    <w:p>
      <w:pPr>
        <w:pStyle w:val="Heading3"/>
        <w:bidi w:val="0"/>
        <w:jc w:val="start"/>
        <w:rPr/>
      </w:pPr>
      <w:r>
        <w:rPr>
          <w:rStyle w:val="Strong"/>
          <w:b/>
          <w:bCs/>
        </w:rPr>
        <w:t>8.7 Expected Outcomes</w:t>
      </w:r>
    </w:p>
    <w:p>
      <w:pPr>
        <w:pStyle w:val="BodyText"/>
        <w:bidi w:val="0"/>
        <w:jc w:val="start"/>
        <w:rPr/>
      </w:pPr>
      <w:r>
        <w:rPr/>
        <w:t>As RKL continues its demonstration work, it aims to:</w:t>
      </w:r>
    </w:p>
    <w:p>
      <w:pPr>
        <w:pStyle w:val="BodyText"/>
        <w:numPr>
          <w:ilvl w:val="0"/>
          <w:numId w:val="26"/>
        </w:numPr>
        <w:tabs>
          <w:tab w:val="left" w:pos="709" w:leader="none"/>
        </w:tabs>
        <w:bidi w:val="0"/>
        <w:ind w:hanging="283" w:start="709"/>
        <w:jc w:val="start"/>
        <w:rPr/>
      </w:pPr>
      <w:r>
        <w:rPr/>
        <w:t>Maintain a living reference implementation of secure reasoning across multiple domains.</w:t>
      </w:r>
    </w:p>
    <w:p>
      <w:pPr>
        <w:pStyle w:val="BodyText"/>
        <w:numPr>
          <w:ilvl w:val="0"/>
          <w:numId w:val="26"/>
        </w:numPr>
        <w:tabs>
          <w:tab w:val="left" w:pos="709" w:leader="none"/>
        </w:tabs>
        <w:bidi w:val="0"/>
        <w:ind w:hanging="283" w:start="709"/>
        <w:jc w:val="start"/>
        <w:rPr/>
      </w:pPr>
      <w:r>
        <w:rPr/>
        <w:t>Document verifiable CARE-aligned governance at both technical and institutional levels.</w:t>
      </w:r>
    </w:p>
    <w:p>
      <w:pPr>
        <w:pStyle w:val="BodyText"/>
        <w:numPr>
          <w:ilvl w:val="0"/>
          <w:numId w:val="26"/>
        </w:numPr>
        <w:tabs>
          <w:tab w:val="left" w:pos="709" w:leader="none"/>
        </w:tabs>
        <w:bidi w:val="0"/>
        <w:ind w:hanging="283" w:start="709"/>
        <w:jc w:val="start"/>
        <w:rPr/>
      </w:pPr>
      <w:r>
        <w:rPr/>
        <w:t>Publish open toolkits and knowledge-readiness materials.</w:t>
      </w:r>
    </w:p>
    <w:p>
      <w:pPr>
        <w:pStyle w:val="BodyText"/>
        <w:numPr>
          <w:ilvl w:val="0"/>
          <w:numId w:val="26"/>
        </w:numPr>
        <w:tabs>
          <w:tab w:val="left" w:pos="709" w:leader="none"/>
        </w:tabs>
        <w:bidi w:val="0"/>
        <w:ind w:hanging="283" w:start="709"/>
        <w:jc w:val="start"/>
        <w:rPr/>
      </w:pPr>
      <w:r>
        <w:rPr/>
        <w:t xml:space="preserve">Build the foundation for a </w:t>
      </w:r>
      <w:r>
        <w:rPr>
          <w:rStyle w:val="Strong"/>
        </w:rPr>
        <w:t>Public-Interest Compute Consortium</w:t>
      </w:r>
      <w:r>
        <w:rPr/>
        <w:t>—a federated network that extends these practices across sectors.</w:t>
      </w:r>
    </w:p>
    <w:p>
      <w:pPr>
        <w:pStyle w:val="BodyText"/>
        <w:bidi w:val="0"/>
        <w:jc w:val="start"/>
        <w:rPr/>
      </w:pPr>
      <w:r>
        <w:rPr/>
        <w:t>Progress will remain incremental, transparent, and community-driven, ensuring that RKL’s growth aligns with its values and capacity.</w:t>
      </w:r>
    </w:p>
    <w:p>
      <w:pPr>
        <w:pStyle w:val="HorizontalLine"/>
        <w:bidi w:val="0"/>
        <w:jc w:val="start"/>
        <w:rPr/>
      </w:pPr>
      <w:r>
        <w:rPr/>
      </w:r>
    </w:p>
    <w:p>
      <w:pPr>
        <w:pStyle w:val="Heading3"/>
        <w:bidi w:val="0"/>
        <w:jc w:val="start"/>
        <w:rPr/>
      </w:pPr>
      <w:r>
        <w:rPr>
          <w:rStyle w:val="Strong"/>
          <w:b/>
          <w:bCs/>
        </w:rPr>
        <w:t>Transition to Section 9</w:t>
      </w:r>
    </w:p>
    <w:p>
      <w:pPr>
        <w:pStyle w:val="BodyText"/>
        <w:bidi w:val="0"/>
        <w:jc w:val="start"/>
        <w:rPr/>
      </w:pPr>
      <w:r>
        <w:rPr/>
        <w:t xml:space="preserve">The next section, </w:t>
      </w:r>
      <w:r>
        <w:rPr>
          <w:rStyle w:val="Strong"/>
        </w:rPr>
        <w:t>Long-Term Vision</w:t>
      </w:r>
      <w:r>
        <w:rPr/>
        <w:t>, outlines how these demonstrations evolve into a lasting ecosystem—linking institutions through governed reasoning environments that extend trust, transparency, and collective benefit worldwide.</w:t>
      </w:r>
    </w:p>
    <w:p>
      <w:pPr>
        <w:pStyle w:val="Heading2"/>
        <w:bidi w:val="0"/>
        <w:jc w:val="start"/>
        <w:rPr/>
      </w:pPr>
      <w:r>
        <w:rPr>
          <w:rStyle w:val="Strong"/>
          <w:b/>
          <w:bCs/>
        </w:rPr>
        <w:t>9. Long-Term Vision</w:t>
      </w:r>
    </w:p>
    <w:p>
      <w:pPr>
        <w:pStyle w:val="BodyText"/>
        <w:bidi w:val="0"/>
        <w:jc w:val="start"/>
        <w:rPr/>
      </w:pPr>
      <w:r>
        <w:rPr/>
        <w:t xml:space="preserve">RKL’s long-term vision is to help build a </w:t>
      </w:r>
      <w:r>
        <w:rPr>
          <w:rStyle w:val="Strong"/>
        </w:rPr>
        <w:t>trusted, human-centered ecosystem for secure reasoning</w:t>
      </w:r>
      <w:r>
        <w:rPr/>
        <w:t>—a distributed public-interest infrastructure where institutions of every scale can use advanced AI responsibly, transparently, and under their own governance.</w:t>
        <w:br/>
        <w:t>Within this evolving ecosystem, RKL contributes through research, partnerships, and demonstration projects that model secure reasoning and CARE-aligned practice.</w:t>
      </w:r>
    </w:p>
    <w:p>
      <w:pPr>
        <w:pStyle w:val="HorizontalLine"/>
        <w:bidi w:val="0"/>
        <w:jc w:val="start"/>
        <w:rPr/>
      </w:pPr>
      <w:r>
        <w:rPr/>
      </w:r>
    </w:p>
    <w:p>
      <w:pPr>
        <w:pStyle w:val="Heading3"/>
        <w:bidi w:val="0"/>
        <w:jc w:val="start"/>
        <w:rPr/>
      </w:pPr>
      <w:r>
        <w:rPr>
          <w:rStyle w:val="Strong"/>
          <w:b/>
          <w:bCs/>
        </w:rPr>
        <w:t>9.1 Guiding Perspective</w:t>
      </w:r>
    </w:p>
    <w:p>
      <w:pPr>
        <w:pStyle w:val="BodyText"/>
        <w:bidi w:val="0"/>
        <w:jc w:val="start"/>
        <w:rPr/>
      </w:pPr>
      <w:r>
        <w:rPr/>
        <w:t xml:space="preserve">Secure reasoning is a </w:t>
      </w:r>
      <w:r>
        <w:rPr>
          <w:rStyle w:val="Strong"/>
        </w:rPr>
        <w:t>human-centered framework for collective intelligence.</w:t>
      </w:r>
      <w:r>
        <w:rPr/>
        <w:br/>
        <w:t>It treats AI as an amplifier of human insight and institutional knowledge, not a replacement for expertise.</w:t>
        <w:br/>
        <w:t>Grounded in the CARE principles—</w:t>
      </w:r>
      <w:r>
        <w:rPr>
          <w:rStyle w:val="Strong"/>
        </w:rPr>
        <w:t>Collective Benefit, Authority to Control, Responsibility, and Ethics</w:t>
      </w:r>
      <w:r>
        <w:rPr/>
        <w:t>—RKL envisions a future where AI strengthens human institutions and reinforces accountability, consent, and trust.</w:t>
      </w:r>
    </w:p>
    <w:p>
      <w:pPr>
        <w:pStyle w:val="HorizontalLine"/>
        <w:bidi w:val="0"/>
        <w:jc w:val="start"/>
        <w:rPr/>
      </w:pPr>
      <w:r>
        <w:rPr/>
      </w:r>
    </w:p>
    <w:p>
      <w:pPr>
        <w:pStyle w:val="Heading3"/>
        <w:bidi w:val="0"/>
        <w:jc w:val="start"/>
        <w:rPr/>
      </w:pPr>
      <w:r>
        <w:rPr>
          <w:rStyle w:val="Strong"/>
          <w:b/>
          <w:bCs/>
        </w:rPr>
        <w:t>9.2 Role within a Public-Interest Consortium</w:t>
      </w:r>
    </w:p>
    <w:p>
      <w:pPr>
        <w:pStyle w:val="BodyText"/>
        <w:bidi w:val="0"/>
        <w:jc w:val="start"/>
        <w:rPr/>
      </w:pPr>
      <w:r>
        <w:rPr/>
        <w:t xml:space="preserve">RKL’s vision aligns with broader efforts to create a </w:t>
      </w:r>
      <w:r>
        <w:rPr>
          <w:rStyle w:val="Strong"/>
        </w:rPr>
        <w:t>Public-Interest Compute Consortium (PICC)</w:t>
      </w:r>
      <w:r>
        <w:rPr/>
        <w:t>: a federated network of universities, public agencies, nonprofits, and communities maintaining governed reasoning environments linked by open protocols.</w:t>
      </w:r>
    </w:p>
    <w:p>
      <w:pPr>
        <w:pStyle w:val="BodyText"/>
        <w:bidi w:val="0"/>
        <w:jc w:val="start"/>
        <w:rPr/>
      </w:pPr>
      <w:r>
        <w:rPr/>
        <w:t>RKL contributes by:</w:t>
      </w:r>
    </w:p>
    <w:p>
      <w:pPr>
        <w:pStyle w:val="BodyText"/>
        <w:numPr>
          <w:ilvl w:val="0"/>
          <w:numId w:val="27"/>
        </w:numPr>
        <w:tabs>
          <w:tab w:val="left" w:pos="709" w:leader="none"/>
        </w:tabs>
        <w:bidi w:val="0"/>
        <w:ind w:hanging="283" w:start="709"/>
        <w:jc w:val="start"/>
        <w:rPr/>
      </w:pPr>
      <w:r>
        <w:rPr/>
        <w:t xml:space="preserve">Demonstrating </w:t>
      </w:r>
      <w:r>
        <w:rPr>
          <w:rStyle w:val="Strong"/>
        </w:rPr>
        <w:t>Type I (CARE-Focused), Type II (Open Knowledge Sharing), and Type III (CARE-Enabled Insight Exchange)</w:t>
      </w:r>
      <w:r>
        <w:rPr/>
        <w:t xml:space="preserve"> implementations;</w:t>
      </w:r>
    </w:p>
    <w:p>
      <w:pPr>
        <w:pStyle w:val="BodyText"/>
        <w:numPr>
          <w:ilvl w:val="0"/>
          <w:numId w:val="27"/>
        </w:numPr>
        <w:tabs>
          <w:tab w:val="left" w:pos="709" w:leader="none"/>
        </w:tabs>
        <w:bidi w:val="0"/>
        <w:ind w:hanging="283" w:start="709"/>
        <w:jc w:val="start"/>
        <w:rPr/>
      </w:pPr>
      <w:r>
        <w:rPr/>
        <w:t>Sharing open standards, audit methods, and governance templates;</w:t>
      </w:r>
    </w:p>
    <w:p>
      <w:pPr>
        <w:pStyle w:val="BodyText"/>
        <w:numPr>
          <w:ilvl w:val="0"/>
          <w:numId w:val="27"/>
        </w:numPr>
        <w:tabs>
          <w:tab w:val="left" w:pos="709" w:leader="none"/>
        </w:tabs>
        <w:bidi w:val="0"/>
        <w:ind w:hanging="283" w:start="709"/>
        <w:jc w:val="start"/>
        <w:rPr/>
      </w:pPr>
      <w:r>
        <w:rPr/>
        <w:t>Providing technical and ethical expertise to partners developing secure-reasoning capabilities;</w:t>
      </w:r>
    </w:p>
    <w:p>
      <w:pPr>
        <w:pStyle w:val="BodyText"/>
        <w:numPr>
          <w:ilvl w:val="0"/>
          <w:numId w:val="27"/>
        </w:numPr>
        <w:tabs>
          <w:tab w:val="left" w:pos="709" w:leader="none"/>
        </w:tabs>
        <w:bidi w:val="0"/>
        <w:ind w:hanging="283" w:start="709"/>
        <w:jc w:val="start"/>
        <w:rPr/>
      </w:pPr>
      <w:r>
        <w:rPr/>
        <w:t>Participating in research and policy dialogues that advance public-benefit AI.</w:t>
      </w:r>
    </w:p>
    <w:p>
      <w:pPr>
        <w:pStyle w:val="BodyText"/>
        <w:bidi w:val="0"/>
        <w:jc w:val="start"/>
        <w:rPr/>
      </w:pPr>
      <w:r>
        <w:rPr/>
        <w:t>Through collaboration with other actors in this space, RKL helps shape a broader ecosystem of trustworthy reasoning.</w:t>
      </w:r>
    </w:p>
    <w:p>
      <w:pPr>
        <w:pStyle w:val="HorizontalLine"/>
        <w:bidi w:val="0"/>
        <w:jc w:val="start"/>
        <w:rPr/>
      </w:pPr>
      <w:r>
        <w:rPr/>
      </w:r>
    </w:p>
    <w:p>
      <w:pPr>
        <w:pStyle w:val="Heading3"/>
        <w:bidi w:val="0"/>
        <w:jc w:val="start"/>
        <w:rPr/>
      </w:pPr>
      <w:r>
        <w:rPr>
          <w:rStyle w:val="Strong"/>
          <w:b/>
          <w:bCs/>
        </w:rPr>
        <w:t>9.3 Sustainable Governance and Growth</w:t>
      </w:r>
    </w:p>
    <w:p>
      <w:pPr>
        <w:pStyle w:val="BodyText"/>
        <w:bidi w:val="0"/>
        <w:jc w:val="start"/>
        <w:rPr/>
      </w:pPr>
      <w:r>
        <w:rPr/>
        <w:t>RKL’s development remains lean, incremental, and partnership-based.</w:t>
        <w:br/>
        <w:t>It prioritizes shared stewardship and sustainability over expansion.</w:t>
        <w:br/>
        <w:t>Core elements include:</w:t>
      </w:r>
    </w:p>
    <w:p>
      <w:pPr>
        <w:pStyle w:val="BodyText"/>
        <w:numPr>
          <w:ilvl w:val="0"/>
          <w:numId w:val="28"/>
        </w:numPr>
        <w:tabs>
          <w:tab w:val="left" w:pos="709" w:leader="none"/>
        </w:tabs>
        <w:bidi w:val="0"/>
        <w:ind w:hanging="283" w:start="709"/>
        <w:jc w:val="start"/>
        <w:rPr/>
      </w:pPr>
      <w:r>
        <w:rPr>
          <w:rStyle w:val="Strong"/>
        </w:rPr>
        <w:t>Federated Partnerships</w:t>
      </w:r>
      <w:r>
        <w:rPr/>
        <w:t xml:space="preserve"> — collaboration through open agreements and shared standards.</w:t>
      </w:r>
    </w:p>
    <w:p>
      <w:pPr>
        <w:pStyle w:val="BodyText"/>
        <w:numPr>
          <w:ilvl w:val="0"/>
          <w:numId w:val="28"/>
        </w:numPr>
        <w:tabs>
          <w:tab w:val="left" w:pos="709" w:leader="none"/>
        </w:tabs>
        <w:bidi w:val="0"/>
        <w:ind w:hanging="283" w:start="709"/>
        <w:jc w:val="start"/>
        <w:rPr/>
      </w:pPr>
      <w:r>
        <w:rPr>
          <w:rStyle w:val="Strong"/>
        </w:rPr>
        <w:t>Transparent Governance</w:t>
      </w:r>
      <w:r>
        <w:rPr/>
        <w:t xml:space="preserve"> — publicly available manifests and audits.</w:t>
      </w:r>
    </w:p>
    <w:p>
      <w:pPr>
        <w:pStyle w:val="BodyText"/>
        <w:numPr>
          <w:ilvl w:val="0"/>
          <w:numId w:val="28"/>
        </w:numPr>
        <w:tabs>
          <w:tab w:val="left" w:pos="709" w:leader="none"/>
        </w:tabs>
        <w:bidi w:val="0"/>
        <w:ind w:hanging="283" w:start="709"/>
        <w:jc w:val="start"/>
        <w:rPr/>
      </w:pPr>
      <w:r>
        <w:rPr>
          <w:rStyle w:val="Strong"/>
        </w:rPr>
        <w:t>Ethical Oversight</w:t>
      </w:r>
      <w:r>
        <w:rPr/>
        <w:t xml:space="preserve"> — rotating committees of domain and community representatives.</w:t>
      </w:r>
    </w:p>
    <w:p>
      <w:pPr>
        <w:pStyle w:val="BodyText"/>
        <w:numPr>
          <w:ilvl w:val="0"/>
          <w:numId w:val="28"/>
        </w:numPr>
        <w:tabs>
          <w:tab w:val="left" w:pos="709" w:leader="none"/>
        </w:tabs>
        <w:bidi w:val="0"/>
        <w:ind w:hanging="283" w:start="709"/>
        <w:jc w:val="start"/>
        <w:rPr/>
      </w:pPr>
      <w:r>
        <w:rPr>
          <w:rStyle w:val="Strong"/>
        </w:rPr>
        <w:t>Financial Sustainability</w:t>
      </w:r>
      <w:r>
        <w:rPr/>
        <w:t xml:space="preserve"> — grants, cost-sharing, and contributions aligned with mission.</w:t>
      </w:r>
    </w:p>
    <w:p>
      <w:pPr>
        <w:pStyle w:val="BodyText"/>
        <w:bidi w:val="0"/>
        <w:jc w:val="start"/>
        <w:rPr/>
      </w:pPr>
      <w:r>
        <w:rPr/>
        <w:t>This approach maintains ethical integrity while supporting steady progress.</w:t>
      </w:r>
    </w:p>
    <w:p>
      <w:pPr>
        <w:pStyle w:val="HorizontalLine"/>
        <w:bidi w:val="0"/>
        <w:jc w:val="start"/>
        <w:rPr/>
      </w:pPr>
      <w:r>
        <w:rPr/>
      </w:r>
    </w:p>
    <w:p>
      <w:pPr>
        <w:pStyle w:val="Heading3"/>
        <w:bidi w:val="0"/>
        <w:jc w:val="start"/>
        <w:rPr/>
      </w:pPr>
      <w:r>
        <w:rPr>
          <w:rStyle w:val="Strong"/>
          <w:b/>
          <w:bCs/>
        </w:rPr>
        <w:t>9.4 Expanding Impact Areas</w:t>
      </w:r>
    </w:p>
    <w:p>
      <w:pPr>
        <w:pStyle w:val="BodyText"/>
        <w:bidi w:val="0"/>
        <w:jc w:val="start"/>
        <w:rPr/>
      </w:pPr>
      <w:r>
        <w:rPr/>
        <w:t>As capacity grows, RKL seeks to extend secure reasoning to additional domains demonstrating social and public value:</w:t>
      </w:r>
    </w:p>
    <w:p>
      <w:pPr>
        <w:pStyle w:val="BodyText"/>
        <w:numPr>
          <w:ilvl w:val="0"/>
          <w:numId w:val="29"/>
        </w:numPr>
        <w:tabs>
          <w:tab w:val="left" w:pos="709" w:leader="none"/>
        </w:tabs>
        <w:bidi w:val="0"/>
        <w:ind w:hanging="283" w:start="709"/>
        <w:jc w:val="start"/>
        <w:rPr/>
      </w:pPr>
      <w:r>
        <w:rPr>
          <w:rStyle w:val="Strong"/>
        </w:rPr>
        <w:t>Environmental Monitoring and Climate Adaptation</w:t>
      </w:r>
      <w:r>
        <w:rPr/>
        <w:t xml:space="preserve"> — enabling collaboration across local and national levels while preserving data sovereignty.</w:t>
      </w:r>
    </w:p>
    <w:p>
      <w:pPr>
        <w:pStyle w:val="BodyText"/>
        <w:numPr>
          <w:ilvl w:val="0"/>
          <w:numId w:val="29"/>
        </w:numPr>
        <w:tabs>
          <w:tab w:val="left" w:pos="709" w:leader="none"/>
        </w:tabs>
        <w:bidi w:val="0"/>
        <w:ind w:hanging="283" w:start="709"/>
        <w:jc w:val="start"/>
        <w:rPr/>
      </w:pPr>
      <w:r>
        <w:rPr>
          <w:rStyle w:val="Strong"/>
        </w:rPr>
        <w:t>Public Health and Safety</w:t>
      </w:r>
      <w:r>
        <w:rPr/>
        <w:t xml:space="preserve"> — reasoning across distributed, protected information for policy without exposing personal records.</w:t>
      </w:r>
    </w:p>
    <w:p>
      <w:pPr>
        <w:pStyle w:val="BodyText"/>
        <w:numPr>
          <w:ilvl w:val="0"/>
          <w:numId w:val="29"/>
        </w:numPr>
        <w:tabs>
          <w:tab w:val="left" w:pos="709" w:leader="none"/>
        </w:tabs>
        <w:bidi w:val="0"/>
        <w:ind w:hanging="283" w:start="709"/>
        <w:jc w:val="start"/>
        <w:rPr/>
      </w:pPr>
      <w:r>
        <w:rPr>
          <w:rStyle w:val="Strong"/>
        </w:rPr>
        <w:t>Cultural Heritage and Knowledge Preservation</w:t>
      </w:r>
      <w:r>
        <w:rPr/>
        <w:t xml:space="preserve"> — empowering communities to manage and share heritage information under their own authority.</w:t>
      </w:r>
    </w:p>
    <w:p>
      <w:pPr>
        <w:pStyle w:val="BodyText"/>
        <w:numPr>
          <w:ilvl w:val="0"/>
          <w:numId w:val="29"/>
        </w:numPr>
        <w:tabs>
          <w:tab w:val="left" w:pos="709" w:leader="none"/>
        </w:tabs>
        <w:bidi w:val="0"/>
        <w:ind w:hanging="283" w:start="709"/>
        <w:jc w:val="start"/>
        <w:rPr/>
      </w:pPr>
      <w:r>
        <w:rPr>
          <w:rStyle w:val="Strong"/>
        </w:rPr>
        <w:t>Education and Research Infrastructure</w:t>
      </w:r>
      <w:r>
        <w:rPr/>
        <w:t xml:space="preserve"> — providing governed reasoning sandboxes for students and researchers.</w:t>
      </w:r>
    </w:p>
    <w:p>
      <w:pPr>
        <w:pStyle w:val="BodyText"/>
        <w:numPr>
          <w:ilvl w:val="0"/>
          <w:numId w:val="29"/>
        </w:numPr>
        <w:tabs>
          <w:tab w:val="left" w:pos="709" w:leader="none"/>
        </w:tabs>
        <w:bidi w:val="0"/>
        <w:ind w:hanging="283" w:start="709"/>
        <w:jc w:val="start"/>
        <w:rPr/>
      </w:pPr>
      <w:r>
        <w:rPr>
          <w:rStyle w:val="Strong"/>
        </w:rPr>
        <w:t>Civic Planning and Administration</w:t>
      </w:r>
      <w:r>
        <w:rPr/>
        <w:t xml:space="preserve"> — supporting evidence-based policy under transparent, auditable governance.</w:t>
      </w:r>
    </w:p>
    <w:p>
      <w:pPr>
        <w:pStyle w:val="BodyText"/>
        <w:bidi w:val="0"/>
        <w:jc w:val="start"/>
        <w:rPr/>
      </w:pPr>
      <w:r>
        <w:rPr/>
        <w:t>These areas demonstrate secure reasoning’s potential to generate measurable public benefit.</w:t>
      </w:r>
    </w:p>
    <w:p>
      <w:pPr>
        <w:pStyle w:val="HorizontalLine"/>
        <w:bidi w:val="0"/>
        <w:jc w:val="start"/>
        <w:rPr/>
      </w:pPr>
      <w:r>
        <w:rPr/>
      </w:r>
    </w:p>
    <w:p>
      <w:pPr>
        <w:pStyle w:val="Heading3"/>
        <w:bidi w:val="0"/>
        <w:jc w:val="start"/>
        <w:rPr/>
      </w:pPr>
      <w:r>
        <w:rPr>
          <w:rStyle w:val="Strong"/>
          <w:b/>
          <w:bCs/>
        </w:rPr>
        <w:t>9.5 Sustainability and Social Responsibility</w:t>
      </w:r>
    </w:p>
    <w:p>
      <w:pPr>
        <w:pStyle w:val="BodyText"/>
        <w:bidi w:val="0"/>
        <w:jc w:val="start"/>
        <w:rPr/>
      </w:pPr>
      <w:r>
        <w:rPr/>
        <w:t xml:space="preserve">Secure reasoning also encourages reflection on the </w:t>
      </w:r>
      <w:r>
        <w:rPr>
          <w:rStyle w:val="Strong"/>
        </w:rPr>
        <w:t>social and environmental footprint</w:t>
      </w:r>
      <w:r>
        <w:rPr/>
        <w:t xml:space="preserve"> of AI.</w:t>
        <w:br/>
        <w:t>Centralized data-center architectures consume vast energy and concentrate control, while local reasoning and organizational sovereignty can encourage more efficient, mission-aligned use of compute resources.</w:t>
        <w:br/>
      </w:r>
      <w:r>
        <w:rPr>
          <w:rStyle w:val="Strong"/>
        </w:rPr>
        <w:t>While still an open area of study, this sustainability perspective reinforces RKL’s commitment to collective benefit:</w:t>
      </w:r>
      <w:r>
        <w:rPr/>
        <w:t xml:space="preserve"> responsible AI must serve people today </w:t>
      </w:r>
      <w:r>
        <w:rPr>
          <w:rStyle w:val="Emphasis"/>
        </w:rPr>
        <w:t>without compromising the needs of future generations.</w:t>
      </w:r>
      <w:r>
        <w:rPr/>
        <w:br/>
        <w:t xml:space="preserve">If advanced reasoning helps organizations use data more effectively and reduce unnecessary centralization, it could become a technology that helps society balance the </w:t>
      </w:r>
      <w:r>
        <w:rPr>
          <w:rStyle w:val="Strong"/>
        </w:rPr>
        <w:t>sustainability trilemma</w:t>
      </w:r>
      <w:r>
        <w:rPr/>
        <w:t>—economic viability, social equity, and environmental protection.</w:t>
      </w:r>
    </w:p>
    <w:p>
      <w:pPr>
        <w:pStyle w:val="HorizontalLine"/>
        <w:bidi w:val="0"/>
        <w:jc w:val="start"/>
        <w:rPr/>
      </w:pPr>
      <w:r>
        <w:rPr/>
      </w:r>
    </w:p>
    <w:p>
      <w:pPr>
        <w:pStyle w:val="Heading3"/>
        <w:bidi w:val="0"/>
        <w:jc w:val="start"/>
        <w:rPr/>
      </w:pPr>
      <w:r>
        <w:rPr>
          <w:rStyle w:val="Strong"/>
          <w:b/>
          <w:bCs/>
        </w:rPr>
        <w:t>9.6 Measuring Progress</w:t>
      </w:r>
    </w:p>
    <w:p>
      <w:pPr>
        <w:pStyle w:val="BodyText"/>
        <w:bidi w:val="0"/>
        <w:jc w:val="start"/>
        <w:rPr/>
      </w:pPr>
      <w:r>
        <w:rPr/>
        <w:t>RKL considers progress in terms of contribution and learning rather than scale:</w:t>
      </w:r>
    </w:p>
    <w:p>
      <w:pPr>
        <w:pStyle w:val="BodyText"/>
        <w:numPr>
          <w:ilvl w:val="0"/>
          <w:numId w:val="30"/>
        </w:numPr>
        <w:tabs>
          <w:tab w:val="left" w:pos="709" w:leader="none"/>
        </w:tabs>
        <w:bidi w:val="0"/>
        <w:ind w:hanging="283" w:start="709"/>
        <w:jc w:val="start"/>
        <w:rPr/>
      </w:pPr>
      <w:r>
        <w:rPr>
          <w:rStyle w:val="Strong"/>
        </w:rPr>
        <w:t>Adoption and Diversity</w:t>
      </w:r>
      <w:r>
        <w:rPr/>
        <w:t xml:space="preserve"> — the range of institutions applying secure-reasoning principles.</w:t>
      </w:r>
    </w:p>
    <w:p>
      <w:pPr>
        <w:pStyle w:val="BodyText"/>
        <w:numPr>
          <w:ilvl w:val="0"/>
          <w:numId w:val="30"/>
        </w:numPr>
        <w:tabs>
          <w:tab w:val="left" w:pos="709" w:leader="none"/>
        </w:tabs>
        <w:bidi w:val="0"/>
        <w:ind w:hanging="283" w:start="709"/>
        <w:jc w:val="start"/>
        <w:rPr/>
      </w:pPr>
      <w:r>
        <w:rPr>
          <w:rStyle w:val="Strong"/>
        </w:rPr>
        <w:t>Governance Integrity</w:t>
      </w:r>
      <w:r>
        <w:rPr/>
        <w:t xml:space="preserve"> — evidence of CARE-aligned policy enforcement.</w:t>
      </w:r>
    </w:p>
    <w:p>
      <w:pPr>
        <w:pStyle w:val="BodyText"/>
        <w:numPr>
          <w:ilvl w:val="0"/>
          <w:numId w:val="30"/>
        </w:numPr>
        <w:tabs>
          <w:tab w:val="left" w:pos="709" w:leader="none"/>
        </w:tabs>
        <w:bidi w:val="0"/>
        <w:ind w:hanging="283" w:start="709"/>
        <w:jc w:val="start"/>
        <w:rPr/>
      </w:pPr>
      <w:r>
        <w:rPr>
          <w:rStyle w:val="Strong"/>
        </w:rPr>
        <w:t>Knowledge Readiness</w:t>
      </w:r>
      <w:r>
        <w:rPr/>
        <w:t xml:space="preserve"> — improvements in partners’ ability to curate and govern their assets.</w:t>
      </w:r>
    </w:p>
    <w:p>
      <w:pPr>
        <w:pStyle w:val="BodyText"/>
        <w:numPr>
          <w:ilvl w:val="0"/>
          <w:numId w:val="30"/>
        </w:numPr>
        <w:tabs>
          <w:tab w:val="left" w:pos="709" w:leader="none"/>
        </w:tabs>
        <w:bidi w:val="0"/>
        <w:ind w:hanging="283" w:start="709"/>
        <w:jc w:val="start"/>
        <w:rPr/>
      </w:pPr>
      <w:r>
        <w:rPr>
          <w:rStyle w:val="Strong"/>
        </w:rPr>
        <w:t>Human Engagement</w:t>
      </w:r>
      <w:r>
        <w:rPr/>
        <w:t xml:space="preserve"> — how reasoning augments, not replaces, human decision-making.</w:t>
      </w:r>
    </w:p>
    <w:p>
      <w:pPr>
        <w:pStyle w:val="BodyText"/>
        <w:numPr>
          <w:ilvl w:val="0"/>
          <w:numId w:val="30"/>
        </w:numPr>
        <w:tabs>
          <w:tab w:val="left" w:pos="709" w:leader="none"/>
        </w:tabs>
        <w:bidi w:val="0"/>
        <w:ind w:hanging="283" w:start="709"/>
        <w:jc w:val="start"/>
        <w:rPr/>
      </w:pPr>
      <w:r>
        <w:rPr>
          <w:rStyle w:val="Strong"/>
        </w:rPr>
        <w:t>Efficiency and Impact</w:t>
      </w:r>
      <w:r>
        <w:rPr/>
        <w:t xml:space="preserve"> — evidence that more efficient, locally governed reasoning helps mitigate social and environmental costs of large-scale AI infrastructure.</w:t>
      </w:r>
    </w:p>
    <w:p>
      <w:pPr>
        <w:pStyle w:val="BodyText"/>
        <w:bidi w:val="0"/>
        <w:jc w:val="start"/>
        <w:rPr/>
      </w:pPr>
      <w:r>
        <w:rPr/>
        <w:t>These measures link ethical, institutional, and sustainability outcomes into one continuum of accountability.</w:t>
      </w:r>
    </w:p>
    <w:p>
      <w:pPr>
        <w:pStyle w:val="HorizontalLine"/>
        <w:bidi w:val="0"/>
        <w:jc w:val="start"/>
        <w:rPr/>
      </w:pPr>
      <w:r>
        <w:rPr/>
      </w:r>
    </w:p>
    <w:p>
      <w:pPr>
        <w:pStyle w:val="Heading3"/>
        <w:bidi w:val="0"/>
        <w:jc w:val="start"/>
        <w:rPr/>
      </w:pPr>
      <w:r>
        <w:rPr>
          <w:rStyle w:val="Strong"/>
          <w:b/>
          <w:bCs/>
        </w:rPr>
        <w:t>9.7 Commitments Going Forward</w:t>
      </w:r>
    </w:p>
    <w:p>
      <w:pPr>
        <w:pStyle w:val="BodyText"/>
        <w:bidi w:val="0"/>
        <w:jc w:val="start"/>
        <w:rPr/>
      </w:pPr>
      <w:r>
        <w:rPr/>
        <w:t>RKL’s enduring commitments are to:</w:t>
      </w:r>
    </w:p>
    <w:p>
      <w:pPr>
        <w:pStyle w:val="BodyText"/>
        <w:numPr>
          <w:ilvl w:val="0"/>
          <w:numId w:val="31"/>
        </w:numPr>
        <w:tabs>
          <w:tab w:val="left" w:pos="709" w:leader="none"/>
        </w:tabs>
        <w:bidi w:val="0"/>
        <w:ind w:hanging="283" w:start="709"/>
        <w:jc w:val="start"/>
        <w:rPr/>
      </w:pPr>
      <w:r>
        <w:rPr>
          <w:rStyle w:val="Strong"/>
        </w:rPr>
        <w:t>Open Infrastructure</w:t>
      </w:r>
      <w:r>
        <w:rPr/>
        <w:t xml:space="preserve"> — keeping core protocols and reference tools openly documented.</w:t>
      </w:r>
    </w:p>
    <w:p>
      <w:pPr>
        <w:pStyle w:val="BodyText"/>
        <w:numPr>
          <w:ilvl w:val="0"/>
          <w:numId w:val="31"/>
        </w:numPr>
        <w:tabs>
          <w:tab w:val="left" w:pos="709" w:leader="none"/>
        </w:tabs>
        <w:bidi w:val="0"/>
        <w:ind w:hanging="283" w:start="709"/>
        <w:jc w:val="start"/>
        <w:rPr/>
      </w:pPr>
      <w:r>
        <w:rPr>
          <w:rStyle w:val="Strong"/>
        </w:rPr>
        <w:t>Ethical Leadership</w:t>
      </w:r>
      <w:r>
        <w:rPr/>
        <w:t xml:space="preserve"> — maintaining CARE principles as design and governance guides.</w:t>
      </w:r>
    </w:p>
    <w:p>
      <w:pPr>
        <w:pStyle w:val="BodyText"/>
        <w:numPr>
          <w:ilvl w:val="0"/>
          <w:numId w:val="31"/>
        </w:numPr>
        <w:tabs>
          <w:tab w:val="left" w:pos="709" w:leader="none"/>
        </w:tabs>
        <w:bidi w:val="0"/>
        <w:ind w:hanging="283" w:start="709"/>
        <w:jc w:val="start"/>
        <w:rPr/>
      </w:pPr>
      <w:r>
        <w:rPr>
          <w:rStyle w:val="Strong"/>
        </w:rPr>
        <w:t>Human-Centered Innovation</w:t>
      </w:r>
      <w:r>
        <w:rPr/>
        <w:t xml:space="preserve"> — ensuring AI enhances, not replaces, human insight.</w:t>
      </w:r>
    </w:p>
    <w:p>
      <w:pPr>
        <w:pStyle w:val="BodyText"/>
        <w:numPr>
          <w:ilvl w:val="0"/>
          <w:numId w:val="31"/>
        </w:numPr>
        <w:tabs>
          <w:tab w:val="left" w:pos="709" w:leader="none"/>
        </w:tabs>
        <w:bidi w:val="0"/>
        <w:ind w:hanging="283" w:start="709"/>
        <w:jc w:val="start"/>
        <w:rPr/>
      </w:pPr>
      <w:r>
        <w:rPr>
          <w:rStyle w:val="Strong"/>
        </w:rPr>
        <w:t>Community Stewardship</w:t>
      </w:r>
      <w:r>
        <w:rPr/>
        <w:t xml:space="preserve"> — growing through equitable partnership and shared benefit.</w:t>
      </w:r>
    </w:p>
    <w:p>
      <w:pPr>
        <w:pStyle w:val="BodyText"/>
        <w:numPr>
          <w:ilvl w:val="0"/>
          <w:numId w:val="31"/>
        </w:numPr>
        <w:tabs>
          <w:tab w:val="left" w:pos="709" w:leader="none"/>
        </w:tabs>
        <w:bidi w:val="0"/>
        <w:ind w:hanging="283" w:start="709"/>
        <w:jc w:val="start"/>
        <w:rPr/>
      </w:pPr>
      <w:r>
        <w:rPr>
          <w:rStyle w:val="Strong"/>
        </w:rPr>
        <w:t>Sustainability</w:t>
      </w:r>
      <w:r>
        <w:rPr/>
        <w:t xml:space="preserve"> — embedding resource efficiency and long-term responsibility into every initiative.</w:t>
      </w:r>
    </w:p>
    <w:p>
      <w:pPr>
        <w:pStyle w:val="HorizontalLine"/>
        <w:bidi w:val="0"/>
        <w:jc w:val="start"/>
        <w:rPr/>
      </w:pPr>
      <w:r>
        <w:rPr/>
      </w:r>
    </w:p>
    <w:p>
      <w:pPr>
        <w:pStyle w:val="Heading3"/>
        <w:bidi w:val="0"/>
        <w:jc w:val="start"/>
        <w:rPr/>
      </w:pPr>
      <w:r>
        <w:rPr>
          <w:rStyle w:val="Strong"/>
          <w:b/>
          <w:bCs/>
        </w:rPr>
        <w:t>9.8 The Vision Ahead</w:t>
      </w:r>
    </w:p>
    <w:p>
      <w:pPr>
        <w:pStyle w:val="BodyText"/>
        <w:bidi w:val="0"/>
        <w:jc w:val="start"/>
        <w:rPr/>
      </w:pPr>
      <w:r>
        <w:rPr/>
        <w:t>RKL envisions contributing to a federated network of governed reasoning environments that extend trust, transparency, and collective benefit across disciplines and communities.</w:t>
        <w:br/>
        <w:t xml:space="preserve">By advancing ethical frameworks, open protocols, and examples of CARE-aligned practice, RKL supports the emergence of an </w:t>
      </w:r>
      <w:r>
        <w:rPr>
          <w:rStyle w:val="Strong"/>
        </w:rPr>
        <w:t>AI ecosystem accountable to human values and planetary limits.</w:t>
      </w:r>
    </w:p>
    <w:p>
      <w:pPr>
        <w:pStyle w:val="BodyText"/>
        <w:bidi w:val="0"/>
        <w:jc w:val="start"/>
        <w:rPr/>
      </w:pPr>
      <w:r>
        <w:rPr/>
        <w:t xml:space="preserve">Secure reasoning, in this vision, becomes a </w:t>
      </w:r>
      <w:r>
        <w:rPr>
          <w:rStyle w:val="Strong"/>
        </w:rPr>
        <w:t>shared civic capability</w:t>
      </w:r>
      <w:r>
        <w:rPr/>
        <w:t>—a means for institutions and societies to use intelligence responsibly, sustainably, and under their own control.</w:t>
      </w:r>
    </w:p>
    <w:p>
      <w:pPr>
        <w:pStyle w:val="HorizontalLine"/>
        <w:bidi w:val="0"/>
        <w:jc w:val="start"/>
        <w:rPr/>
      </w:pPr>
      <w:r>
        <w:rPr/>
      </w:r>
    </w:p>
    <w:p>
      <w:pPr>
        <w:pStyle w:val="Heading3"/>
        <w:bidi w:val="0"/>
        <w:jc w:val="start"/>
        <w:rPr/>
      </w:pPr>
      <w:r>
        <w:rPr>
          <w:rStyle w:val="Strong"/>
          <w:b/>
          <w:bCs/>
        </w:rPr>
        <w:t>Transition to Section 10</w:t>
      </w:r>
    </w:p>
    <w:p>
      <w:pPr>
        <w:pStyle w:val="BodyText"/>
        <w:bidi w:val="0"/>
        <w:jc w:val="start"/>
        <w:rPr/>
      </w:pPr>
      <w:r>
        <w:rPr/>
        <w:t xml:space="preserve">The concluding section, </w:t>
      </w:r>
      <w:r>
        <w:rPr>
          <w:rStyle w:val="Strong"/>
        </w:rPr>
        <w:t>Conclusion</w:t>
      </w:r>
      <w:r>
        <w:rPr/>
        <w:t>, summarizes how secure reasoning unites governance, ethics, sustainability, and human purpose into a coherent framework for trustworthy AI.</w:t>
      </w:r>
    </w:p>
    <w:p>
      <w:pPr>
        <w:pStyle w:val="Heading2"/>
        <w:bidi w:val="0"/>
        <w:jc w:val="start"/>
        <w:rPr/>
      </w:pPr>
      <w:r>
        <w:rPr>
          <w:rStyle w:val="Strong"/>
          <w:b/>
          <w:bCs/>
        </w:rPr>
        <w:t>10. Conclusion</w:t>
      </w:r>
    </w:p>
    <w:p>
      <w:pPr>
        <w:pStyle w:val="BodyText"/>
        <w:bidi w:val="0"/>
        <w:jc w:val="start"/>
        <w:rPr/>
      </w:pPr>
      <w:r>
        <w:rPr/>
        <w:t>Secure reasoning represents a new foundation for how artificial intelligence interacts with the world’s knowledge.</w:t>
        <w:br/>
        <w:t>It brings governance to the reasoning process itself—ensuring that every analysis, retrieval, or inference occurs under explicit consent, transparent authority, and verifiable accountability.</w:t>
      </w:r>
    </w:p>
    <w:p>
      <w:pPr>
        <w:pStyle w:val="BodyText"/>
        <w:bidi w:val="0"/>
        <w:jc w:val="start"/>
        <w:rPr/>
      </w:pPr>
      <w:r>
        <w:rPr/>
        <w:t xml:space="preserve">RKL’s contribution is to demonstrate that </w:t>
      </w:r>
      <w:r>
        <w:rPr>
          <w:rStyle w:val="Strong"/>
        </w:rPr>
        <w:t>governance, ethics, and innovation can coexist</w:t>
      </w:r>
      <w:r>
        <w:rPr/>
        <w:t>.</w:t>
        <w:br/>
        <w:t>By embedding CARE—</w:t>
      </w:r>
      <w:r>
        <w:rPr>
          <w:rStyle w:val="Emphasis"/>
        </w:rPr>
        <w:t>Collective Benefit, Authority to Control, Responsibility, and Ethics</w:t>
      </w:r>
      <w:r>
        <w:rPr/>
        <w:t>—into both technology and institutional design, RKL helps organizations transform AI from an external service into an accountable partner.</w:t>
      </w:r>
    </w:p>
    <w:p>
      <w:pPr>
        <w:pStyle w:val="HorizontalLine"/>
        <w:bidi w:val="0"/>
        <w:jc w:val="start"/>
        <w:rPr/>
      </w:pPr>
      <w:r>
        <w:rPr/>
      </w:r>
    </w:p>
    <w:p>
      <w:pPr>
        <w:pStyle w:val="Heading3"/>
        <w:bidi w:val="0"/>
        <w:jc w:val="start"/>
        <w:rPr/>
      </w:pPr>
      <w:r>
        <w:rPr>
          <w:rStyle w:val="Strong"/>
          <w:b/>
          <w:bCs/>
        </w:rPr>
        <w:t>10.1 Reframing the Role of AI</w:t>
      </w:r>
    </w:p>
    <w:p>
      <w:pPr>
        <w:pStyle w:val="BodyText"/>
        <w:bidi w:val="0"/>
        <w:jc w:val="start"/>
        <w:rPr/>
      </w:pPr>
      <w:r>
        <w:rPr/>
        <w:t xml:space="preserve">For institutions, the challenge of AI is not simply access to capability but </w:t>
      </w:r>
      <w:r>
        <w:rPr>
          <w:rStyle w:val="Strong"/>
        </w:rPr>
        <w:t>alignment with purpose</w:t>
      </w:r>
      <w:r>
        <w:rPr/>
        <w:t>.</w:t>
        <w:br/>
        <w:t xml:space="preserve">Secure reasoning reframes AI as a system that </w:t>
      </w:r>
      <w:r>
        <w:rPr>
          <w:rStyle w:val="Emphasis"/>
        </w:rPr>
        <w:t>amplifies</w:t>
      </w:r>
      <w:r>
        <w:rPr/>
        <w:t xml:space="preserve"> human expertise rather than replacing it.</w:t>
        <w:br/>
        <w:t>When reasoning is governed, auditable, and human-interpreted, organizations regain confidence in how insights are produced and applied.</w:t>
        <w:br/>
        <w:t>The outcome is not automation for its own sake but a more resilient form of collective intelligence.</w:t>
      </w:r>
    </w:p>
    <w:p>
      <w:pPr>
        <w:pStyle w:val="HorizontalLine"/>
        <w:bidi w:val="0"/>
        <w:jc w:val="start"/>
        <w:rPr/>
      </w:pPr>
      <w:r>
        <w:rPr/>
      </w:r>
    </w:p>
    <w:p>
      <w:pPr>
        <w:pStyle w:val="Heading3"/>
        <w:bidi w:val="0"/>
        <w:jc w:val="start"/>
        <w:rPr/>
      </w:pPr>
      <w:r>
        <w:rPr>
          <w:rStyle w:val="Strong"/>
          <w:b/>
          <w:bCs/>
        </w:rPr>
        <w:t>10.2 Building a Culture of Trust</w:t>
      </w:r>
    </w:p>
    <w:p>
      <w:pPr>
        <w:pStyle w:val="BodyText"/>
        <w:bidi w:val="0"/>
        <w:jc w:val="start"/>
        <w:rPr/>
      </w:pPr>
      <w:r>
        <w:rPr/>
        <w:t xml:space="preserve">Trust in AI cannot be legislated or outsourced—it must be </w:t>
      </w:r>
      <w:r>
        <w:rPr>
          <w:rStyle w:val="Strong"/>
        </w:rPr>
        <w:t>designed and practiced</w:t>
      </w:r>
      <w:r>
        <w:rPr/>
        <w:t>.</w:t>
        <w:br/>
        <w:t>RKL’s framework converts abstract principles into daily operations:</w:t>
      </w:r>
    </w:p>
    <w:p>
      <w:pPr>
        <w:pStyle w:val="BodyText"/>
        <w:numPr>
          <w:ilvl w:val="0"/>
          <w:numId w:val="32"/>
        </w:numPr>
        <w:tabs>
          <w:tab w:val="left" w:pos="709" w:leader="none"/>
        </w:tabs>
        <w:bidi w:val="0"/>
        <w:ind w:hanging="283" w:start="709"/>
        <w:jc w:val="start"/>
        <w:rPr/>
      </w:pPr>
      <w:r>
        <w:rPr/>
        <w:t>Governance manifests instead of disclaimers.</w:t>
      </w:r>
    </w:p>
    <w:p>
      <w:pPr>
        <w:pStyle w:val="BodyText"/>
        <w:numPr>
          <w:ilvl w:val="0"/>
          <w:numId w:val="32"/>
        </w:numPr>
        <w:tabs>
          <w:tab w:val="left" w:pos="709" w:leader="none"/>
        </w:tabs>
        <w:bidi w:val="0"/>
        <w:ind w:hanging="283" w:start="709"/>
        <w:jc w:val="start"/>
        <w:rPr/>
      </w:pPr>
      <w:r>
        <w:rPr/>
        <w:t>Audit trails instead of assumptions.</w:t>
      </w:r>
    </w:p>
    <w:p>
      <w:pPr>
        <w:pStyle w:val="BodyText"/>
        <w:numPr>
          <w:ilvl w:val="0"/>
          <w:numId w:val="32"/>
        </w:numPr>
        <w:tabs>
          <w:tab w:val="left" w:pos="709" w:leader="none"/>
        </w:tabs>
        <w:bidi w:val="0"/>
        <w:ind w:hanging="283" w:start="709"/>
        <w:jc w:val="start"/>
        <w:rPr/>
      </w:pPr>
      <w:r>
        <w:rPr/>
        <w:t>Human oversight instead of blind automation.</w:t>
      </w:r>
    </w:p>
    <w:p>
      <w:pPr>
        <w:pStyle w:val="BodyText"/>
        <w:bidi w:val="0"/>
        <w:jc w:val="start"/>
        <w:rPr/>
      </w:pPr>
      <w:r>
        <w:rPr/>
        <w:t>Institutions adopting secure reasoning demonstrate to their communities that ethical stewardship and technical excellence are mutually reinforcing.</w:t>
      </w:r>
    </w:p>
    <w:p>
      <w:pPr>
        <w:pStyle w:val="HorizontalLine"/>
        <w:bidi w:val="0"/>
        <w:jc w:val="start"/>
        <w:rPr/>
      </w:pPr>
      <w:r>
        <w:rPr/>
      </w:r>
    </w:p>
    <w:p>
      <w:pPr>
        <w:pStyle w:val="Heading3"/>
        <w:bidi w:val="0"/>
        <w:jc w:val="start"/>
        <w:rPr/>
      </w:pPr>
      <w:r>
        <w:rPr>
          <w:rStyle w:val="Strong"/>
          <w:b/>
          <w:bCs/>
        </w:rPr>
        <w:t>10.3 From Infrastructure to Ecosystem</w:t>
      </w:r>
    </w:p>
    <w:p>
      <w:pPr>
        <w:pStyle w:val="BodyText"/>
        <w:bidi w:val="0"/>
        <w:jc w:val="start"/>
        <w:rPr/>
      </w:pPr>
      <w:r>
        <w:rPr/>
        <w:t>The demonstration phase is only a beginning.</w:t>
        <w:br/>
        <w:t>Each pilot, toolkit, and partnership contributes to a broader ecosystem of secure reasoning—an open, federated model in which many actors share methods, protocols, and values.</w:t>
        <w:br/>
        <w:t xml:space="preserve">RKL’s role within this ecosystem is to </w:t>
      </w:r>
      <w:r>
        <w:rPr>
          <w:rStyle w:val="Strong"/>
        </w:rPr>
        <w:t>model practical CARE-aligned implementations</w:t>
      </w:r>
      <w:r>
        <w:rPr/>
        <w:t xml:space="preserve"> and to expand responsible access to AI for organizations pursuing public benefit on their own terms.</w:t>
      </w:r>
    </w:p>
    <w:p>
      <w:pPr>
        <w:pStyle w:val="HorizontalLine"/>
        <w:bidi w:val="0"/>
        <w:jc w:val="start"/>
        <w:rPr/>
      </w:pPr>
      <w:r>
        <w:rPr/>
      </w:r>
    </w:p>
    <w:p>
      <w:pPr>
        <w:pStyle w:val="Heading3"/>
        <w:bidi w:val="0"/>
        <w:jc w:val="start"/>
        <w:rPr/>
      </w:pPr>
      <w:r>
        <w:rPr>
          <w:rStyle w:val="Strong"/>
          <w:b/>
          <w:bCs/>
        </w:rPr>
        <w:t>10.4 Human and Planetary Stewardship</w:t>
      </w:r>
    </w:p>
    <w:p>
      <w:pPr>
        <w:pStyle w:val="BodyText"/>
        <w:bidi w:val="0"/>
        <w:jc w:val="start"/>
        <w:rPr/>
      </w:pPr>
      <w:r>
        <w:rPr/>
        <w:t xml:space="preserve">Responsible AI must serve people today </w:t>
      </w:r>
      <w:r>
        <w:rPr>
          <w:rStyle w:val="Emphasis"/>
        </w:rPr>
        <w:t>without compromising the needs of future generations</w:t>
      </w:r>
      <w:r>
        <w:rPr/>
        <w:t xml:space="preserve">. </w:t>
      </w:r>
      <w:r>
        <w:rPr>
          <w:b/>
          <w:bCs/>
          <w:u w:val="single"/>
        </w:rPr>
        <w:t>[RKL believes that the recent expressions of AI, natural language interaction with intelligence machine reasoning, etc., will not only support sustainably, but it will be among the defining technologies of our times to allow future generations to not only sustain but to thrive]</w:t>
      </w:r>
      <w:r>
        <w:rPr/>
        <w:t xml:space="preserve"> </w:t>
      </w:r>
      <w:r>
        <w:rPr/>
        <w:t>By promoting locally governed, efficient reasoning, RKL and its partners explore how organizational sovereignty can reduce unnecessary centralization and its social and environmental costs.</w:t>
        <w:br/>
        <w:t xml:space="preserve">Secure reasoning thus </w:t>
      </w:r>
      <w:r>
        <w:rPr>
          <w:b/>
          <w:bCs/>
          <w:u w:val="single"/>
        </w:rPr>
        <w:t>[may]</w:t>
      </w:r>
      <w:r>
        <w:rPr/>
        <w:t xml:space="preserve"> </w:t>
      </w:r>
      <w:r>
        <w:rPr/>
        <w:t>contributes not only to ethical governance but also to the broader pursuit of sustainability—helping society balance technological progress with economic viability, social equity, and ecological responsibility.</w:t>
      </w:r>
    </w:p>
    <w:p>
      <w:pPr>
        <w:pStyle w:val="HorizontalLine"/>
        <w:bidi w:val="0"/>
        <w:jc w:val="start"/>
        <w:rPr/>
      </w:pPr>
      <w:r>
        <w:rPr/>
      </w:r>
    </w:p>
    <w:p>
      <w:pPr>
        <w:pStyle w:val="Heading3"/>
        <w:bidi w:val="0"/>
        <w:jc w:val="start"/>
        <w:rPr/>
      </w:pPr>
      <w:r>
        <w:rPr>
          <w:rStyle w:val="Strong"/>
          <w:b/>
          <w:bCs/>
        </w:rPr>
        <w:t>10.5 Looking Forward</w:t>
      </w:r>
    </w:p>
    <w:p>
      <w:pPr>
        <w:pStyle w:val="BodyText"/>
        <w:bidi w:val="0"/>
        <w:jc w:val="start"/>
        <w:rPr/>
      </w:pPr>
      <w:r>
        <w:rPr/>
        <w:t xml:space="preserve">RKL envisions a future in which </w:t>
      </w:r>
      <w:r>
        <w:rPr>
          <w:rStyle w:val="Strong"/>
        </w:rPr>
        <w:t>secure reasoning becomes a civic capability</w:t>
      </w:r>
      <w:r>
        <w:rPr/>
        <w:t>—available to any institution that values transparency, accountability, and human judgment.</w:t>
        <w:br/>
        <w:t>Through open infrastructure, ethical design, and cooperative learning, secure reasoning can anchor a generation of AI systems that are worthy of the trust they demand.</w:t>
      </w:r>
    </w:p>
    <w:p>
      <w:pPr>
        <w:pStyle w:val="BodyText"/>
        <w:bidi w:val="0"/>
        <w:jc w:val="start"/>
        <w:rPr/>
      </w:pPr>
      <w:r>
        <w:rPr/>
        <w:t>In that future, intelligence—human and artificial—works together under shared governance to advance knowledge responsibly, sustainably, and for the collective benefit of all.</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298</TotalTime>
  <Application>LibreOffice/24.2.7.2$Linux_X86_64 LibreOffice_project/420$Build-2</Application>
  <AppVersion>15.0000</AppVersion>
  <Pages>24</Pages>
  <Words>6400</Words>
  <Characters>42091</Characters>
  <CharactersWithSpaces>47970</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2025-10-30T09:25:03Z</dcterms:created>
  <dc:creator/>
  <dc:description/>
  <dc:language>en-US</dc:language>
  <cp:lastModifiedBy/>
  <dcterms:modified xsi:type="dcterms:W3CDTF">2025-10-30T14:38:40Z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