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The average total cost of a winning campaign in a competitive federal senate election has tripled since 2004 (citation here). During that year, one of the most expensive senate races took place in Pennsylvania. Arlen Specter’s Republican campaign spent $20.3 million dollars on his re-election effort while also enjoying $117 thousand dollars in assistance from 4 outside groups,  including a political action committee (PAC) called the NRA Political Victory Fund </w:t>
      </w:r>
      <w:hyperlink r:id="rId6">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By 2009, Specter felt like he no longer recognized his place in the Republican party and joined the Democratic caucus. He ran for re-election in 2010 as a Democrat but failed to emerge from the primary. Pat Toomey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26 outside groups spending in support of his candidacy and in opposition to his general election opponent Kathleen McGinty (</w:t>
      </w:r>
      <w:hyperlink r:id="rId7">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This represented at 4100% increase in outside spending.</w:t>
      </w:r>
    </w:p>
    <w:p w:rsidR="00000000" w:rsidDel="00000000" w:rsidP="00000000" w:rsidRDefault="00000000" w:rsidRPr="00000000" w14:paraId="0000000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This dramatic increase was made possible by a series of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Broadly, the two decisions served to erode a legislative framework built to limit the financial influence of megadonors, corporations and unions on campaign finance. This was not the first time the courts had engaged in unraveling federal legislation. There is an established pattern of the courts and congress undoing the work of the other body. </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The premise of corporate personhood was first established in the 1886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 citation will go here). The Federal Election Campaign Act (FECA) of 1971 and the FECA amendments of 1974 established the Federal Election Commission and a robust package of enforceable regulations.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campaign spending being protected under the premise of 1st Amendment free speech (Citation). The Bipartisan Campaign Reform Act (BCRA, also known as McCain Feingold) passed in 2002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This continuous pattern of change regarding an already nebulous and complicated regulatory structure has created understandable confusion within the American electorate. Most voters are unaware of the methods and moments of corporate and megadonor influence (Miller 2014 citation), but they overwhelmingly disapprove of the concept. 39% of respondents from a bipartisan 2015 New York Times poll said that our current campaign finance system should  undergo fundamental changes, and 46% said it should be completely rebuilt (citation will go here). </w:t>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 donors are exerting unchecked influence on politicians.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more difficult, as proven by the US Supreme Court case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court overturn the conviction of former Virginia Governor Bob McDonnell (insert </w:t>
      </w:r>
      <w:hyperlink r:id="rId8">
        <w:r w:rsidDel="00000000" w:rsidR="00000000" w:rsidRPr="00000000">
          <w:rPr>
            <w:color w:val="1155cc"/>
            <w:sz w:val="24"/>
            <w:szCs w:val="24"/>
            <w:u w:val="single"/>
            <w:rtl w:val="0"/>
          </w:rPr>
          <w:t xml:space="preserve">citations</w:t>
        </w:r>
      </w:hyperlink>
      <w:r w:rsidDel="00000000" w:rsidR="00000000" w:rsidRPr="00000000">
        <w:rPr>
          <w:sz w:val="24"/>
          <w:szCs w:val="24"/>
          <w:rtl w:val="0"/>
        </w:rPr>
        <w:t xml:space="preserve"> here).</w:t>
      </w:r>
    </w:p>
    <w:p w:rsidR="00000000" w:rsidDel="00000000" w:rsidP="00000000" w:rsidRDefault="00000000" w:rsidRPr="00000000" w14:paraId="0000000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campaign and outside funding), only to lose by 12% to a Democratic candidate who spent less than $20 million dollars. Another example is the case of traditionally democratic Massachusetts electing Republican Scott Brown to the senate in 2010 even though he was easily outspent by his opponent Martha Coakley.</w:t>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accompanied the </w:t>
      </w:r>
      <w:r w:rsidDel="00000000" w:rsidR="00000000" w:rsidRPr="00000000">
        <w:rPr>
          <w:i w:val="1"/>
          <w:sz w:val="24"/>
          <w:szCs w:val="24"/>
          <w:rtl w:val="0"/>
        </w:rPr>
        <w:t xml:space="preserve">Citizens United </w:t>
      </w:r>
      <w:r w:rsidDel="00000000" w:rsidR="00000000" w:rsidRPr="00000000">
        <w:rPr>
          <w:sz w:val="24"/>
          <w:szCs w:val="24"/>
          <w:rtl w:val="0"/>
        </w:rPr>
        <w:t xml:space="preserve">and </w:t>
      </w:r>
      <w:r w:rsidDel="00000000" w:rsidR="00000000" w:rsidRPr="00000000">
        <w:rPr>
          <w:i w:val="1"/>
          <w:sz w:val="24"/>
          <w:szCs w:val="24"/>
          <w:rtl w:val="0"/>
        </w:rPr>
        <w:t xml:space="preserve">SpeechNOW</w:t>
      </w:r>
      <w:r w:rsidDel="00000000" w:rsidR="00000000" w:rsidRPr="00000000">
        <w:rPr>
          <w:sz w:val="24"/>
          <w:szCs w:val="24"/>
          <w:rtl w:val="0"/>
        </w:rPr>
        <w:t xml:space="preserve"> decisions. First, the ability for corporations and mega 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 donors. </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sz w:val="24"/>
          <w:szCs w:val="24"/>
          <w:rtl w:val="0"/>
        </w:rPr>
        <w:t xml:space="preserve">Second, the nearly unlimited source of funding has given rise to negative opposition spending which has created a polarizing effect in the ideological distribution in the senate. In addition to there being fewer senators occupying the center of the ideological spectrum, there are also fewer states with split party delegations. Before the December 2017 special election of Democrat Doug Jones in Alabama, there were only 13 split state delegations in the senate out of 50. This represented the lowest count in over five decades (citation will go here).</w:t>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affluent donors. Senators are paid $174,000 per year to work on behalf of their constituencies, but many have admitted that the fundraising metrics they must maintain keeps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b w:val="1"/>
          <w:i w:val="1"/>
          <w:sz w:val="24"/>
          <w:szCs w:val="24"/>
        </w:rPr>
      </w:pPr>
      <w:r w:rsidDel="00000000" w:rsidR="00000000" w:rsidRPr="00000000">
        <w:rPr>
          <w:b w:val="1"/>
          <w:sz w:val="24"/>
          <w:szCs w:val="24"/>
          <w:u w:val="single"/>
          <w:rtl w:val="0"/>
        </w:rPr>
        <w:t xml:space="preserve">Background</w:t>
      </w:r>
      <w:r w:rsidDel="00000000" w:rsidR="00000000" w:rsidRPr="00000000">
        <w:rPr>
          <w:rtl w:val="0"/>
        </w:rPr>
      </w:r>
    </w:p>
    <w:p w:rsidR="00000000" w:rsidDel="00000000" w:rsidP="00000000" w:rsidRDefault="00000000" w:rsidRPr="00000000" w14:paraId="00000015">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and, in the process, accepted donations from railroad and insurance corporations. Despite this, Roosevelt recognized the increasingly lopsided distribution of wealth and the threat of unlimited corporate money in politics. He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(Toobin citation here?) However, loopholes still allowed for massive donations to occur from corporate interests (with corporations simply reimbursing individuals for their donations). By the 1940s, the proliferation of radio and television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6">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9">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goes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capped and they are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BCRA (which is often referred to as “McCain Feingold”). A version of the bill also passed in the House and President George W. Bush signed it into law. </w:t>
      </w:r>
    </w:p>
    <w:p w:rsidR="00000000" w:rsidDel="00000000" w:rsidP="00000000" w:rsidRDefault="00000000" w:rsidRPr="00000000" w14:paraId="0000001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and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1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so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(Citation should go here).</w:t>
      </w:r>
    </w:p>
    <w:p w:rsidR="00000000" w:rsidDel="00000000" w:rsidP="00000000" w:rsidRDefault="00000000" w:rsidRPr="00000000" w14:paraId="0000001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sz w:val="24"/>
          <w:szCs w:val="24"/>
        </w:rPr>
      </w:pPr>
      <w:r w:rsidDel="00000000" w:rsidR="00000000" w:rsidRPr="00000000">
        <w:rPr>
          <w:sz w:val="24"/>
          <w:szCs w:val="24"/>
          <w:rtl w:val="0"/>
        </w:rPr>
        <w:t xml:space="preserve">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David Bossie hired Ted Olsen (the former solicitor general during the George W. Bush administration).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11">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goes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but events during the March oral arguments opened the scope of the case. </w:t>
      </w:r>
    </w:p>
    <w:p w:rsidR="00000000" w:rsidDel="00000000" w:rsidP="00000000" w:rsidRDefault="00000000" w:rsidRPr="00000000" w14:paraId="0000002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2">
      <w:pPr>
        <w:spacing w:line="480" w:lineRule="auto"/>
        <w:contextualSpacing w:val="0"/>
        <w:rPr>
          <w:i w:val="1"/>
          <w:sz w:val="24"/>
          <w:szCs w:val="24"/>
        </w:rPr>
      </w:pPr>
      <w:r w:rsidDel="00000000" w:rsidR="00000000" w:rsidRPr="00000000">
        <w:rPr>
          <w:sz w:val="24"/>
          <w:szCs w:val="24"/>
          <w:rtl w:val="0"/>
        </w:rPr>
        <w:t xml:space="preserve">In 2003, the US Supreme Court heard its first challenge regarding the constitutionality of the McCain Feingold Act.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McCain-Feingold. But the court’s makeup had changed since then, with a conservative Samuel Alito replacing moderate Sandra Day O’Connor. O’Connor had joined the majority in </w:t>
      </w:r>
      <w:r w:rsidDel="00000000" w:rsidR="00000000" w:rsidRPr="00000000">
        <w:rPr>
          <w:i w:val="1"/>
          <w:sz w:val="24"/>
          <w:szCs w:val="24"/>
          <w:rtl w:val="0"/>
        </w:rPr>
        <w:t xml:space="preserve">McConnell v. FEC.</w:t>
      </w:r>
    </w:p>
    <w:p w:rsidR="00000000" w:rsidDel="00000000" w:rsidP="00000000" w:rsidRDefault="00000000" w:rsidRPr="00000000" w14:paraId="00000023">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4">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Solicitor General Malcolm Stewart indicated that the delineations between formats and mediums were interchangeable in the spirit of the law. This created an opportunity for Alito to pose a question about whether books could also be banned (NYT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The five conservative justices were aghast and ready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he saw this as an opportunity to have the case re-argued with a wider scope. The court would consider whether the provisions of McCain Feingold which distinguished between the expenditure activity campaigns and individuals could do, versus what corporations and outside groups could do, was a violation of the first amendment.</w:t>
        <w:tab/>
        <w:t xml:space="preserve">The court ruled that it was unconstitutional. Anthony Kennedy wrote the majority opinion and referred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buying advertisements) were available to anyone who could pay for them--groups like Citizens United, unions, political parties or PACs (which limit contributions from everyone). Why are individuals who lack the affluence of someone like George Soros, or affiliation with a corporation or union, essentially unable to access the opportunity to be part of an advertisement purchase?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goes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contains a general overview of common funding models and the characteristics which differentiate them from one another.</w:t>
      </w:r>
    </w:p>
    <w:p w:rsidR="00000000" w:rsidDel="00000000" w:rsidP="00000000" w:rsidRDefault="00000000" w:rsidRPr="00000000" w14:paraId="00000029">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20"/>
                <w:szCs w:val="20"/>
                <w:rtl w:val="0"/>
              </w:rPr>
              <w:t xml:space="preserve">An organization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sz w:val="20"/>
                <w:szCs w:val="20"/>
                <w:rtl w:val="0"/>
              </w:rPr>
              <w:t xml:space="preserve">An organization which could exist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54">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55">
      <w:pPr>
        <w:spacing w:line="480" w:lineRule="auto"/>
        <w:contextualSpacing w:val="0"/>
        <w:rPr>
          <w:sz w:val="24"/>
          <w:szCs w:val="24"/>
        </w:rPr>
      </w:pPr>
      <w:r w:rsidDel="00000000" w:rsidR="00000000" w:rsidRPr="00000000">
        <w:rPr>
          <w:sz w:val="24"/>
          <w:szCs w:val="24"/>
          <w:rtl w:val="0"/>
        </w:rPr>
        <w:t xml:space="preserve">An additional layer of complexity is added when considering the types of activities in which each funding model may participate, but also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view donor names, dates and amounts for the $117 million dollars worth of activity generated by the SLF during the 2016 election cycle. Familiar names appear amongst the donor lists: Betsy Devos gave a total of $150,000. Chevron supplied $2 million dollars. But some donors are quite obscure, such as One Nation. One Nation contributed a total of $23 million dollars, accounting for nearly 20% of the entire superPAC’s activity. It’s impossible to determine the origins of the $23 million dollars, because One Nation is a 501(c)(4). A deeper search will reveal that One Nation is run by the former operatives of Crossroads GPS--another 501(c)(4) run by Karl Rove and his operatives.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goes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One Nation website’s “about” section states its mission (</w:t>
      </w:r>
      <w:hyperlink r:id="rId17">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somewhere):</w:t>
      </w:r>
    </w:p>
    <w:p w:rsidR="00000000" w:rsidDel="00000000" w:rsidP="00000000" w:rsidRDefault="00000000" w:rsidRPr="00000000" w14:paraId="00000056">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58">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59">
      <w:pPr>
        <w:spacing w:line="480" w:lineRule="auto"/>
        <w:contextualSpacing w:val="0"/>
        <w:rPr>
          <w:sz w:val="24"/>
          <w:szCs w:val="24"/>
        </w:rPr>
      </w:pPr>
      <w:r w:rsidDel="00000000" w:rsidR="00000000" w:rsidRPr="00000000">
        <w:rPr>
          <w:sz w:val="24"/>
          <w:szCs w:val="24"/>
          <w:rtl w:val="0"/>
        </w:rPr>
        <w:t xml:space="preserve">Featured on the website’s navigation bar is a link to the group’s official Twitter account. The account has 123 followers and 291 followers, most of which appear to be media and journalist accounts. It has not issued a single tweet since July 6, 2016 2016--four months before the general election. The account’s Twitter timeline mostly features links to press releases announcing expensive advertisement purchases in battleground states and YouTube videos hosted on its official YouTube channel. </w:t>
      </w:r>
    </w:p>
    <w:p w:rsidR="00000000" w:rsidDel="00000000" w:rsidP="00000000" w:rsidRDefault="00000000" w:rsidRPr="00000000" w14:paraId="0000005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B">
      <w:pPr>
        <w:spacing w:line="480" w:lineRule="auto"/>
        <w:contextualSpacing w:val="0"/>
        <w:rPr>
          <w:sz w:val="24"/>
          <w:szCs w:val="24"/>
        </w:rPr>
      </w:pPr>
      <w:r w:rsidDel="00000000" w:rsidR="00000000" w:rsidRPr="00000000">
        <w:rPr>
          <w:sz w:val="24"/>
          <w:szCs w:val="24"/>
          <w:rtl w:val="0"/>
        </w:rPr>
        <w:t xml:space="preserve">All of the videos are political in nature and specific to candidates. One particular video titled “Disaster FL” received nearly 200,000 views and it targets Senator Bill Nelson from Florida (citation to </w:t>
      </w:r>
      <w:hyperlink r:id="rId18">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5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and AARP.</w:t>
      </w:r>
    </w:p>
    <w:p w:rsidR="00000000" w:rsidDel="00000000" w:rsidP="00000000" w:rsidRDefault="00000000" w:rsidRPr="00000000" w14:paraId="0000005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F">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60">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young, charismatic democrat with little political experience.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19">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Pew Research began tracking home internet usage starting in 2000. Initially, 52% of surveyed adults had some form of Internet access at home. This rate increased to 75% in 2008 and by 2012 it climbed to 83% (citation </w:t>
      </w:r>
      <w:hyperlink r:id="rId2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relatively fragmented between Facebook and MySpace, but Facebook started consolidating market share and, at the time of Obama’s election, claimed 100 million active users (citation </w:t>
      </w:r>
      <w:hyperlink r:id="rId2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leveraged Facebook and enjoyed fervent support from younger voters--a demographic which reported higher rates of Internet access at the time. In a February 2008 New York Times piece titled “Small Online Contributions Add Up to Huge Fundraising Edge for Obama,” Julianna Smoot, the campaign’s finance director, talks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6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2">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strikes a markedly different tone: small dollar donations are still pouring in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2008 fundraising model which was enabled by small dollar online giving and voter outreach was made obsolete by 2012 thanks to the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 </w:t>
      </w:r>
      <w:r w:rsidDel="00000000" w:rsidR="00000000" w:rsidRPr="00000000">
        <w:rPr>
          <w:sz w:val="24"/>
          <w:szCs w:val="24"/>
          <w:rtl w:val="0"/>
        </w:rPr>
        <w:t xml:space="preserve">rulings. By 2016, individual donors accounted for nearly $1.1 billion dollars of gifts, with  the top 1% of individual donors accounting for 89% of the total (citation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claimed it would make it easier for individuals who lacked the affluence of George Soros or a union affiliation to financially impact an election, but small dollar gifts register as little more than a rounding error when compared to the totals made available by top superPAC donors.</w:t>
      </w:r>
    </w:p>
    <w:p w:rsidR="00000000" w:rsidDel="00000000" w:rsidP="00000000" w:rsidRDefault="00000000" w:rsidRPr="00000000" w14:paraId="00000063">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64">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65">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stark rise in negative advertising. There is a mixed body of research on the effectiveness of negative advertising and how impactful it is in terms of changing minds or affecting voter turnout. Yet there has been an indisputable rise in the percentage of negative advertisements.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Yet 2016 descended even further: according to the same research group, only 18% of presidential advertisements were classified as “positive.” Another trend was found in senate races, as outside groups went from accounting for 10% of senate advertisements in 2010 to nearly 50% (citation </w:t>
      </w:r>
      <w:hyperlink r:id="rId2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Opposition spending is built into the FEC reporting framework, as groups such as superPACs are required to note whether the expenditure they made was in support of or in opposition to a candidate. For example, the Senate Leadership Fund spent nearly $86 million dollars during the 2016 cycle, with $85 million being spent in opposition to democrats (citation </w:t>
      </w:r>
      <w:hyperlink r:id="rId2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6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8">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ewinternet.org/fact-sheet/internet-broadband/" TargetMode="External"/><Relationship Id="rId22" Type="http://schemas.openxmlformats.org/officeDocument/2006/relationships/hyperlink" Target="https://www.nytimes.com/2008/02/20/us/politics/20obama.html" TargetMode="External"/><Relationship Id="rId21" Type="http://schemas.openxmlformats.org/officeDocument/2006/relationships/hyperlink" Target="https://www.statista.com/statistics/264810/number-of-monthly-active-facebook-users-worldwide/" TargetMode="External"/><Relationship Id="rId24" Type="http://schemas.openxmlformats.org/officeDocument/2006/relationships/hyperlink" Target="https://www.opensecrets.org/outsidespending/donor_stats.php?cycle=2016&amp;type=I" TargetMode="External"/><Relationship Id="rId23"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1974/05/17/archives/an-explanation-how-money-that-financed-watergate-was-raised-and.html" TargetMode="External"/><Relationship Id="rId26" Type="http://schemas.openxmlformats.org/officeDocument/2006/relationships/hyperlink" Target="http://mediaproject.wesleyan.edu/releases/sept-2016/#fig3" TargetMode="External"/><Relationship Id="rId25" Type="http://schemas.openxmlformats.org/officeDocument/2006/relationships/hyperlink" Target="http://mediaproject.wesleyan.edu/releases/2012-shatters-2004-and-2008-records-for-total-ads-aired/" TargetMode="External"/><Relationship Id="rId27" Type="http://schemas.openxmlformats.org/officeDocument/2006/relationships/hyperlink" Target="https://www.opensecrets.org/outsidespending/detail.php?cmte=C00571703&amp;cycle=2016" TargetMode="External"/><Relationship Id="rId5" Type="http://schemas.openxmlformats.org/officeDocument/2006/relationships/styles" Target="styles.xml"/><Relationship Id="rId6" Type="http://schemas.openxmlformats.org/officeDocument/2006/relationships/hyperlink" Target="https://www.fec.gov/data/candidate/S6PA00100/?cycle=2004&amp;election_full=true&amp;tab=other-spending" TargetMode="External"/><Relationship Id="rId7" Type="http://schemas.openxmlformats.org/officeDocument/2006/relationships/hyperlink" Target="https://www.fec.gov/data/candidate/S6PA00266/?tab=other-spending" TargetMode="External"/><Relationship Id="rId8" Type="http://schemas.openxmlformats.org/officeDocument/2006/relationships/hyperlink" Target="https://www.supremecourt.gov/opinions/15pdf/15-474_ljgm.pdf" TargetMode="External"/><Relationship Id="rId11" Type="http://schemas.openxmlformats.org/officeDocument/2006/relationships/hyperlink" Target="https://www.supremecourt.gov/oral_arguments/argument_transcripts/2008/08-205.pdf" TargetMode="External"/><Relationship Id="rId10" Type="http://schemas.openxmlformats.org/officeDocument/2006/relationships/hyperlink" Target="http://www.presidency.ucsb.edu/ws/?pid=4464" TargetMode="External"/><Relationship Id="rId13" Type="http://schemas.openxmlformats.org/officeDocument/2006/relationships/hyperlink" Target="https://www.linkedin.com/in/david-keating-9060516" TargetMode="External"/><Relationship Id="rId12" Type="http://schemas.openxmlformats.org/officeDocument/2006/relationships/hyperlink" Target="https://www.nytimes.com/2009/03/25/washington/25scotus.html?mtrref=www.google.com" TargetMode="External"/><Relationship Id="rId15" Type="http://schemas.openxmlformats.org/officeDocument/2006/relationships/hyperlink" Target="http://www.campaignlegalcenter.org/sites/default/files/SpeechNow_Circuit_Court_Decision_3.26.10.pdf" TargetMode="External"/><Relationship Id="rId14" Type="http://schemas.openxmlformats.org/officeDocument/2006/relationships/hyperlink" Target="http://www.campaignlegalcenter.org/case/speechnoworg-v-fec" TargetMode="External"/><Relationship Id="rId17" Type="http://schemas.openxmlformats.org/officeDocument/2006/relationships/hyperlink" Target="https://www.onenationamerica.org/about/" TargetMode="External"/><Relationship Id="rId16" Type="http://schemas.openxmlformats.org/officeDocument/2006/relationships/hyperlink" Target="https://www.opensecrets.org/news/2015/05/roves-new-group-isnt-new-and-that-could-be-the-point/" TargetMode="External"/><Relationship Id="rId19" Type="http://schemas.openxmlformats.org/officeDocument/2006/relationships/hyperlink" Target="https://memory.loc.gov/ammem/awhhtml/awmi10/television.html" TargetMode="External"/><Relationship Id="rId18" Type="http://schemas.openxmlformats.org/officeDocument/2006/relationships/hyperlink" Target="https://www.youtube.com/watch?v=qSs-Mmp_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