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Project scope - might be too large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Reduce and keep research centric items on radar but not commit to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Smart TV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Flow for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Take the project in phases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Start looking at frontend libs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4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4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4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Backend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Setup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Local dev environments - each person’s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Test environments - Get VM from SE dept - find out how often can we use the AWS resources to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Project Plan - due 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Need to start the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Need better requirements and deliverables and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Have to start tracking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Domain model - due 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Need feedback from Nagesh and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Refine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Research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Smart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IoT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UI/UX best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Setup team website on se.rit.edu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Decide on team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Action Items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Infrastructure and webapp in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Very inconsistent documentation related to the smart tv app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Limit smart tv to one specific brand/type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Iot on the tv how???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Microsoft smart tv in cafeteria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Maybe android iot 1 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text messaging 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Flow for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Ask nagesh about testing on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Virtual envs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full template doc from 256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Overview  and scope - Aaron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Deliverables and Risk - Daniel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Measurements/Metrics - Phil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Scheduling and technical process - Matt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Got feedback - need to refine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Smart tv - inconsistent results needs further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Iot - can be used but gota figure out integrations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UI/UX -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Team Website - URGENT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Emailed kurt - have to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send further emails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Team Name - Celestial Orcas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