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11111" w:sz="8" w:space="6"/>
        </w:pBdr>
        <w:spacing w:after="80"/>
      </w:pPr>
      <w:r>
        <w:rPr>
          <w:rFonts w:ascii="Arial" w:cs="Arial" w:eastAsia="Arial" w:hAnsi="Arial"/>
          <w:b/>
          <w:bCs/>
          <w:i w:val="false"/>
          <w:iCs w:val="false"/>
          <w:caps w:val="false"/>
          <w:color w:val="111111"/>
          <w:sz w:val="28"/>
          <w:szCs w:val="28"/>
        </w:rPr>
        <w:t xml:space="preserve">Qualitative Research Comparison</w:t>
      </w:r>
    </w:p>
    <w:p>
      <w:pPr>
        <w:spacing w:after="320"/>
      </w:pPr>
      <w:r>
        <w:rPr>
          <w:rFonts w:ascii="Arial" w:cs="Arial" w:eastAsia="Arial" w:hAnsi="Arial"/>
          <w:b w:val="false"/>
          <w:bCs w:val="false"/>
          <w:i w:val="false"/>
          <w:iCs w:val="false"/>
          <w:caps w:val="false"/>
          <w:color w:val="888888"/>
          <w:sz w:val="14"/>
          <w:szCs w:val="14"/>
        </w:rPr>
        <w:t xml:space="preserve">Allen &amp; Strauss (2026) and Whiteman &amp; Cooper (2000) — evaluated against Moon et al. (2016) / Lincoln &amp; Guba (1981)</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INTRODUCTION</w:t>
      </w:r>
    </w:p>
    <w:p>
      <w:pPr>
        <w:spacing w:after="80" w:before="0"/>
      </w:pPr>
      <w:r>
        <w:rPr>
          <w:rFonts w:ascii="Garamond" w:cs="Garamond" w:eastAsia="Garamond" w:hAnsi="Garamond"/>
          <w:i w:val="false"/>
          <w:iCs w:val="false"/>
          <w:color w:val="111111"/>
          <w:sz w:val="22"/>
          <w:szCs w:val="22"/>
        </w:rPr>
        <w:t xml:space="preserve">I chose to work with these two papers because both offer a different way of envisioning and imagining an organisation. They were written in different time periods — one in 2000, one in 2026 — yet both are qualitative studies that draw from a relational onto-epistemology. The first paper is “Thinking-Being with a Garden: Developing Ecocentric Ethics for Sustainable Organising” by Allen and Strauß (2026), referred to here as A&amp;S. The second is “Ecological Embeddedness” by Whiteman and Cooper (2000), referred to as W&amp;C. While they are quite different papers, both have significant implications for sustainable organising and, of course, for my PhD, which focuses on listening as a tool for building relational knowledge.</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METHODOLOGY</w:t>
      </w:r>
    </w:p>
    <w:p>
      <w:pPr>
        <w:spacing w:after="160" w:before="0"/>
      </w:pPr>
      <w:r>
        <w:rPr>
          <w:rFonts w:ascii="Garamond" w:cs="Garamond" w:eastAsia="Garamond" w:hAnsi="Garamond"/>
          <w:i w:val="false"/>
          <w:iCs w:val="false"/>
          <w:color w:val="111111"/>
          <w:sz w:val="22"/>
          <w:szCs w:val="22"/>
        </w:rPr>
        <w:t xml:space="preserve">The two papers differ in their approach. A&amp;S use gardening as a metaphor for how we might practise thinking-being differently in an organisational context, through what they call an ecocentric lens. The researchers engage with a relational ontology — one that tends to ground empathy, values, and emotions — through an autoethnographic study in which the two authors participate themselves.</w:t>
      </w:r>
    </w:p>
    <w:p>
      <w:pPr>
        <w:spacing w:after="160" w:before="0"/>
      </w:pPr>
      <w:r>
        <w:rPr>
          <w:rFonts w:ascii="Garamond" w:cs="Garamond" w:eastAsia="Garamond" w:hAnsi="Garamond"/>
          <w:i w:val="false"/>
          <w:iCs w:val="false"/>
          <w:color w:val="111111"/>
          <w:sz w:val="22"/>
          <w:szCs w:val="22"/>
        </w:rPr>
        <w:t xml:space="preserve">W&amp;C, by contrast, take a larger-scale focus, situated in James Bay, subarctic Canada, and the Cree hunting territory there. They use a grounded theory, interpretive approach, learning from the Cree hunters and tallymen about how they are embedded in the landscape and have developed a genuine ecological connection to the land — one that attends to place, species, hunting patterns, and local land cycles.</w:t>
      </w:r>
    </w:p>
    <w:p>
      <w:pPr>
        <w:spacing w:after="80" w:before="0"/>
      </w:pPr>
      <w:r>
        <w:rPr>
          <w:rFonts w:ascii="Garamond" w:cs="Garamond" w:eastAsia="Garamond" w:hAnsi="Garamond"/>
          <w:i w:val="false"/>
          <w:iCs w:val="false"/>
          <w:color w:val="111111"/>
          <w:sz w:val="22"/>
          <w:szCs w:val="22"/>
        </w:rPr>
        <w:t xml:space="preserve">While different, both papers share important similarities and contrasts, making them excellent candidates for analysis through Moon et al.’s criteria: credibility, transferability, dependability, and confirmability.</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RESULTS</w:t>
      </w:r>
    </w:p>
    <w:p>
      <w:pPr>
        <w:spacing w:after="80" w:before="0"/>
      </w:pPr>
      <w:r>
        <w:rPr>
          <w:rFonts w:ascii="Garamond" w:cs="Garamond" w:eastAsia="Garamond" w:hAnsi="Garamond"/>
          <w:i w:val="false"/>
          <w:iCs w:val="false"/>
          <w:color w:val="111111"/>
          <w:sz w:val="22"/>
          <w:szCs w:val="22"/>
        </w:rPr>
        <w:t xml:space="preserve">The comparison table below documents how each paper performs against Moon et al.’s reporting criteria across Research Design, Context, and Data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1"/>
        <w:gridCol w:w="3650"/>
      </w:tblGrid>
      <w:tr>
        <w:tc>
          <w:tcPr>
            <w:tcW w:type="dxa" w:w="2059"/>
            <w:tcBorders>
              <w:top w:val="none" w:color="FFFFFF" w:sz="0"/>
              <w:left w:val="none" w:color="FFFFFF" w:sz="0"/>
              <w:bottom w:val="single" w:color="111111" w:sz="8"/>
              <w:right w:val="none" w:color="FFFFFF" w:sz="0"/>
            </w:tcBorders>
            <w:tcMar>
              <w:top w:type="dxa" w:w="60"/>
              <w:left w:type="dxa" w:w="120"/>
              <w:bottom w:type="dxa" w:w="80"/>
              <w:right w:type="dxa" w:w="80"/>
            </w:tcMar>
          </w:tcPr>
          <w:p>
            <w:pPr>
              <w:spacing w:after="0"/>
            </w:pPr>
            <w:r>
              <w:rPr>
                <w:rFonts w:ascii="Arial" w:cs="Arial" w:eastAsia="Arial" w:hAnsi="Arial"/>
                <w:b/>
                <w:bCs/>
                <w:i w:val="false"/>
                <w:iCs w:val="false"/>
                <w:caps/>
                <w:color w:val="333333"/>
                <w:sz w:val="14"/>
                <w:szCs w:val="14"/>
              </w:rPr>
              <w:t xml:space="preserve">Criterion</w:t>
            </w:r>
          </w:p>
        </w:tc>
        <w:tc>
          <w:tcPr>
            <w:tcW w:type="dxa" w:w="3651"/>
            <w:tcBorders>
              <w:top w:val="none" w:color="FFFFFF" w:sz="0"/>
              <w:left w:val="none" w:color="FFFFFF" w:sz="0"/>
              <w:bottom w:val="single" w:color="111111" w:sz="8"/>
              <w:right w:val="none" w:color="FFFFFF" w:sz="0"/>
            </w:tcBorders>
            <w:tcMar>
              <w:top w:type="dxa" w:w="60"/>
              <w:left w:type="dxa" w:w="120"/>
              <w:bottom w:type="dxa" w:w="80"/>
              <w:right w:type="dxa" w:w="80"/>
            </w:tcMar>
          </w:tcPr>
          <w:p>
            <w:pPr>
              <w:spacing w:after="20"/>
            </w:pPr>
            <w:r>
              <w:rPr>
                <w:rFonts w:ascii="Arial" w:cs="Arial" w:eastAsia="Arial" w:hAnsi="Arial"/>
                <w:b w:val="false"/>
                <w:bCs w:val="false"/>
                <w:i w:val="false"/>
                <w:iCs w:val="false"/>
                <w:caps w:val="false"/>
                <w:color w:val="111111"/>
                <w:sz w:val="16"/>
                <w:szCs w:val="16"/>
              </w:rPr>
              <w:t xml:space="preserve">Allen &amp; Strauss (2026)</w:t>
            </w:r>
          </w:p>
          <w:p>
            <w:pPr>
              <w:spacing w:after="0"/>
            </w:pPr>
            <w:r>
              <w:rPr>
                <w:rFonts w:ascii="Arial" w:cs="Arial" w:eastAsia="Arial" w:hAnsi="Arial"/>
                <w:b w:val="false"/>
                <w:bCs w:val="false"/>
                <w:i/>
                <w:iCs/>
                <w:caps w:val="false"/>
                <w:color w:val="888888"/>
                <w:sz w:val="13"/>
                <w:szCs w:val="13"/>
              </w:rPr>
              <w:t xml:space="preserve">Thinking-being with a garden</w:t>
            </w:r>
          </w:p>
        </w:tc>
        <w:tc>
          <w:tcPr>
            <w:tcW w:type="dxa" w:w="3650"/>
            <w:tcBorders>
              <w:top w:val="none" w:color="FFFFFF" w:sz="0"/>
              <w:left w:val="none" w:color="FFFFFF" w:sz="0"/>
              <w:bottom w:val="single" w:color="111111" w:sz="8"/>
              <w:right w:val="none" w:color="FFFFFF" w:sz="0"/>
            </w:tcBorders>
            <w:tcMar>
              <w:top w:type="dxa" w:w="60"/>
              <w:left w:type="dxa" w:w="120"/>
              <w:bottom w:type="dxa" w:w="80"/>
              <w:right w:type="dxa" w:w="80"/>
            </w:tcMar>
          </w:tcPr>
          <w:p>
            <w:pPr>
              <w:spacing w:after="20"/>
            </w:pPr>
            <w:r>
              <w:rPr>
                <w:rFonts w:ascii="Arial" w:cs="Arial" w:eastAsia="Arial" w:hAnsi="Arial"/>
                <w:b w:val="false"/>
                <w:bCs w:val="false"/>
                <w:i w:val="false"/>
                <w:iCs w:val="false"/>
                <w:caps w:val="false"/>
                <w:color w:val="111111"/>
                <w:sz w:val="16"/>
                <w:szCs w:val="16"/>
              </w:rPr>
              <w:t xml:space="preserve">Whiteman &amp; Cooper (2000)</w:t>
            </w:r>
          </w:p>
          <w:p>
            <w:pPr>
              <w:spacing w:after="0"/>
            </w:pPr>
            <w:r>
              <w:rPr>
                <w:rFonts w:ascii="Arial" w:cs="Arial" w:eastAsia="Arial" w:hAnsi="Arial"/>
                <w:b w:val="false"/>
                <w:bCs w:val="false"/>
                <w:i/>
                <w:iCs/>
                <w:caps w:val="false"/>
                <w:color w:val="888888"/>
                <w:sz w:val="13"/>
                <w:szCs w:val="13"/>
              </w:rPr>
              <w:t xml:space="preserve">Ecological embeddedness</w:t>
            </w:r>
          </w:p>
        </w:tc>
      </w:tr>
      <w:tr>
        <w:tc>
          <w:tcPr>
            <w:tcW w:type="dxa" w:w="9360"/>
            <w:gridSpan w:val="3"/>
            <w:tcBorders>
              <w:top w:val="none" w:color="FFFFFF" w:sz="0"/>
              <w:left w:val="none" w:color="FFFFFF" w:sz="0"/>
              <w:bottom w:val="none" w:color="FFFFFF" w:sz="0"/>
              <w:right w:val="none" w:color="FFFFFF" w:sz="0"/>
            </w:tcBorders>
            <w:tcMar>
              <w:top w:type="dxa" w:w="120"/>
              <w:left w:type="dxa" w:w="120"/>
              <w:bottom w:type="dxa" w:w="40"/>
              <w:right w:type="dxa" w:w="80"/>
            </w:tcMar>
          </w:tcPr>
          <w:p>
            <w:pPr>
              <w:spacing w:after="0"/>
            </w:pPr>
            <w:r>
              <w:rPr>
                <w:rFonts w:ascii="Arial" w:cs="Arial" w:eastAsia="Arial" w:hAnsi="Arial"/>
                <w:b/>
                <w:bCs/>
                <w:i w:val="false"/>
                <w:iCs w:val="false"/>
                <w:caps w:val="false"/>
                <w:color w:val="AAAAAA"/>
                <w:sz w:val="12"/>
                <w:szCs w:val="12"/>
              </w:rPr>
              <w:t xml:space="preserve">RESEARCH DESIGN</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Study intent</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Arial" w:cs="Arial" w:eastAsia="Arial" w:hAnsi="Arial"/>
                <w:b w:val="false"/>
                <w:bCs w:val="false"/>
                <w:i w:val="false"/>
                <w:iCs w:val="false"/>
                <w:caps w:val="false"/>
                <w:color w:val="CCCCCC"/>
                <w:sz w:val="16"/>
                <w:szCs w:val="16"/>
              </w:rPr>
              <w:t xml:space="preserve">—</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Arial" w:cs="Arial" w:eastAsia="Arial" w:hAnsi="Arial"/>
                <w:b w:val="false"/>
                <w:bCs w:val="false"/>
                <w:i w:val="false"/>
                <w:iCs w:val="false"/>
                <w:caps w:val="false"/>
                <w:color w:val="CCCCCC"/>
                <w:sz w:val="16"/>
                <w:szCs w:val="16"/>
              </w:rPr>
              <w:t xml:space="preserve">—</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Research position</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Arial" w:cs="Arial" w:eastAsia="Arial" w:hAnsi="Arial"/>
                <w:b w:val="false"/>
                <w:bCs w:val="false"/>
                <w:i w:val="false"/>
                <w:iCs w:val="false"/>
                <w:caps w:val="false"/>
                <w:color w:val="CCCCCC"/>
                <w:sz w:val="16"/>
                <w:szCs w:val="16"/>
              </w:rPr>
              <w:t xml:space="preserve">—</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Arial" w:cs="Arial" w:eastAsia="Arial" w:hAnsi="Arial"/>
                <w:b w:val="false"/>
                <w:bCs w:val="false"/>
                <w:i w:val="false"/>
                <w:iCs w:val="false"/>
                <w:caps w:val="false"/>
                <w:color w:val="CCCCCC"/>
                <w:sz w:val="16"/>
                <w:szCs w:val="16"/>
              </w:rPr>
              <w:t xml:space="preserve">—</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Research question</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How can embodied gardening practices generate a form of thinking-being that supports ecocentric, relational ethics in sustainable organising?</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How does ecological embeddedness manifest in Cree land management practice, and what does this reveal about the limits of conventional management sustainability frameworks?</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Qualitative approach justified</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Posthumanist methodology requires embodied presence and participation; qualitative approach enables exploration of relational, affective knowing that quantitative methods cannot access.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Ethnographic methods enable access to the lived, place-based practices of ecological embeddedness that surveys or structured interviews alone cannot capture.</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Epistemological / ontological positioning</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Posthumanist relational ontology; challenges anthropocentric epistemology; moves away from the human as reference point; ecocentric — knowledge is produced through embodied, more-than-human entanglement.</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Interpretive / constructivist; draws on Indigenous ecological knowledge systems and ecological science; knowledge understood as situated in specific places and practices.</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Methodology / design</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Qualitative; garden as vignette and empirical site; thinking-being as method — a form of reflexive, embodied philosophical inquiry at the intersection of practice and theory.</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Ethnography; extended participant observation with Cree hunters and tallymen in subarctic Canada; fieldwork as primary mode of inquiry.</w:t>
            </w:r>
          </w:p>
        </w:tc>
      </w:tr>
      <w:tr>
        <w:tc>
          <w:tcPr>
            <w:tcW w:type="dxa" w:w="9360"/>
            <w:gridSpan w:val="3"/>
            <w:tcBorders>
              <w:top w:val="none" w:color="FFFFFF" w:sz="0"/>
              <w:left w:val="none" w:color="FFFFFF" w:sz="0"/>
              <w:bottom w:val="none" w:color="FFFFFF" w:sz="0"/>
              <w:right w:val="none" w:color="FFFFFF" w:sz="0"/>
            </w:tcBorders>
            <w:tcMar>
              <w:top w:type="dxa" w:w="120"/>
              <w:left w:type="dxa" w:w="120"/>
              <w:bottom w:type="dxa" w:w="40"/>
              <w:right w:type="dxa" w:w="80"/>
            </w:tcMar>
          </w:tcPr>
          <w:p>
            <w:pPr>
              <w:spacing w:after="0"/>
            </w:pPr>
            <w:r>
              <w:rPr>
                <w:rFonts w:ascii="Arial" w:cs="Arial" w:eastAsia="Arial" w:hAnsi="Arial"/>
                <w:b/>
                <w:bCs/>
                <w:i w:val="false"/>
                <w:iCs w:val="false"/>
                <w:caps w:val="false"/>
                <w:color w:val="AAAAAA"/>
                <w:sz w:val="12"/>
                <w:szCs w:val="12"/>
              </w:rPr>
              <w:t xml:space="preserve">CONTEXT</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Setting / field site</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A garden — simultaneously a material site and conceptual figure. Location not specified; the garden functions as a universalised yet particular space of encounter.</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James Bay subarctic, Canada. Cree hunting territory and seasonal land-use areas. Local scale, bounded by Indigenous territorial land management.</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Case rationale</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The garden is chosen for its capacity to enact thinking-being — it is neither purely natural nor cultural, offering a site for relational posthuman ethics to unfold.</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Cree hunters are selected as exemplary cases of ecological embeddedness — their practice enacts the very concept the paper seeks to theorise. Purposive case selection.</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Reflexivity</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Sustained reflexivity throughout. A footnote explicitly addresses language choices — deliberately avoiding “our gardens” in favour of “we belong,” “we tend,” and “being-with” to resist inadvertent possession of earth-others. They acknowledge that organic gardening can carry nativist tendencies, and engage critically with the limits of autoethnographic writing, noting it can “leave the speaking self relatively untroubled” (Gannon, 2006) — a trap they actively work against by foregrounding posthuman entanglement over authorial voice.</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Reflexivity is more implicit but present. Whiteman positioned herself as apprentice rather than expert, undertaking a 10-week immersive apprenticeship to gain embodied access. The paper avoids romanticising its subjects — a dedicated section on tallymen’s “imperfections” documents ethical lapses including boasting, occasional overhunting, and gender inequity. Cooper’s biographical note acknowledges that his attachment to catch-and-release fly fishing is “inconsistent with the spirit of this study” (p.1282) — a candid admission of positionality.</w:t>
            </w:r>
          </w:p>
        </w:tc>
      </w:tr>
      <w:tr>
        <w:tc>
          <w:tcPr>
            <w:tcW w:type="dxa" w:w="9360"/>
            <w:gridSpan w:val="3"/>
            <w:tcBorders>
              <w:top w:val="none" w:color="FFFFFF" w:sz="0"/>
              <w:left w:val="none" w:color="FFFFFF" w:sz="0"/>
              <w:bottom w:val="none" w:color="FFFFFF" w:sz="0"/>
              <w:right w:val="none" w:color="FFFFFF" w:sz="0"/>
            </w:tcBorders>
            <w:tcMar>
              <w:top w:type="dxa" w:w="120"/>
              <w:left w:type="dxa" w:w="120"/>
              <w:bottom w:type="dxa" w:w="40"/>
              <w:right w:type="dxa" w:w="80"/>
            </w:tcMar>
          </w:tcPr>
          <w:p>
            <w:pPr>
              <w:spacing w:after="0"/>
            </w:pPr>
            <w:r>
              <w:rPr>
                <w:rFonts w:ascii="Arial" w:cs="Arial" w:eastAsia="Arial" w:hAnsi="Arial"/>
                <w:b/>
                <w:bCs/>
                <w:i w:val="false"/>
                <w:iCs w:val="false"/>
                <w:caps w:val="false"/>
                <w:color w:val="AAAAAA"/>
                <w:sz w:val="12"/>
                <w:szCs w:val="12"/>
              </w:rPr>
              <w:t xml:space="preserve">DATA COLLECTION</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Methods used</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Vignette and autoethnographic engagement; the garden is a thinking-with method rather than a data-collection site. No formal interviews or surveys.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Participant observation (hunting, trapping, land management); informal interviews; land-use map analysis. Multiple methods over extended fieldwork.</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Participants / data sources</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No human participants recruited. The authors and the garden are the co-participants. Philosophical and empirical literature drawn on as secondary sources.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Cree hunters and tallymen — Indigenous land managers with deep ecological knowledge. Number not stated precisely; individuals described by name and role.</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Case boundaries</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Two allotment plots — Plot 100 in Sheffield (under 200m²) and A’s garden in Berlin. Temporal scope spans several years of accumulated gardening experience; vignettes draw on episodes from approximately 2019–2022.</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Eastern James Bay Cree Nation and its 291 designated traplines; fieldwork centred on Freddy Jolly’s trapline (~600 sq km of boreal wilderness). The 18-month ethnographic study was conducted primarily winter through early summer 1997.</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Nation</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UK (Sheffield) and Germany (Berlin)</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Canada (northern Québec)</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Geographic scale</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Local/urban — individual allotment plots within two cities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Regional — subarctic James Bay; individual traplines averaging 1,200 sq km, with the Jolly trapline approximately 600 sq km of boreal wilderness</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Ecosystem</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Urban allotment gardens — cultivated naturecultural sites within temperate city outskirts; peri-urban, managed plots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Subarctic boreal ecosystem — James Bay is characterised by deep cold, short growing seasons, extensive fish, bird, and mammal populations, and vast snow-covered wilderness</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Recruitment strategy</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No recruitment — autoethnographic; the authors are their own participants, self-selected as practicing gardeners who are also researchers</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Purposive — Whiteman undertook a 10-week apprenticeship with respected tallyman Freddy Jolly; 31 volunteers interviewed including trappers, elders, tallymen, local band council members, and Cree Trappers’ Association representatives</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Number of participants</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Two — the authors themselves (S and A)</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31 formal interviews; extended participant observation centred on Freddy Jolly; total number of individuals observed across fieldwork not stated precisely</w:t>
            </w:r>
          </w:p>
        </w:tc>
      </w:tr>
      <w:tr>
        <w:tc>
          <w:tcPr>
            <w:tcW w:type="dxa" w:w="2059"/>
            <w:tcBorders>
              <w:top w:val="none" w:color="FFFFFF" w:sz="0"/>
              <w:left w:val="none" w:color="FFFFFF" w:sz="0"/>
              <w:bottom w:val="single" w:color="CCCCCC" w:sz="1"/>
              <w:right w:val="none" w:color="FFFFFF" w:sz="0"/>
            </w:tcBorders>
            <w:tcMar>
              <w:top w:type="dxa" w:w="80"/>
              <w:left w:type="dxa" w:w="120"/>
              <w:bottom w:type="dxa" w:w="80"/>
              <w:right w:type="dxa" w:w="80"/>
            </w:tcMar>
            <w:vAlign w:val="top"/>
          </w:tcPr>
          <w:p>
            <w:pPr>
              <w:spacing w:after="40"/>
            </w:pPr>
            <w:r>
              <w:rPr>
                <w:rFonts w:ascii="Arial" w:cs="Arial" w:eastAsia="Arial" w:hAnsi="Arial"/>
                <w:b w:val="false"/>
                <w:bCs w:val="false"/>
                <w:i w:val="false"/>
                <w:iCs w:val="false"/>
                <w:caps w:val="false"/>
                <w:color w:val="222222"/>
                <w:sz w:val="14"/>
                <w:szCs w:val="14"/>
              </w:rPr>
              <w:t xml:space="preserve">Description of population</w:t>
            </w:r>
          </w:p>
        </w:tc>
        <w:tc>
          <w:tcPr>
            <w:tcW w:type="dxa" w:w="3651"/>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Two academic researchers who are also practicing organic allotment gardeners — one at Sheffield University Management School (UK), one at Eberswalde University for Sustainable Development (Germany)</w:t>
            </w:r>
          </w:p>
        </w:tc>
        <w:tc>
          <w:tcPr>
            <w:tcW w:type="dxa" w:w="3650"/>
            <w:tcBorders>
              <w:top w:val="none" w:color="FFFFFF" w:sz="0"/>
              <w:left w:val="single" w:color="CCCCCC" w:sz="1"/>
              <w:bottom w:val="single" w:color="CCCCCC" w:sz="1"/>
              <w:right w:val="none" w:color="FFFFFF" w:sz="0"/>
            </w:tcBorders>
            <w:tcMar>
              <w:top w:type="dxa" w:w="80"/>
              <w:left w:type="dxa" w:w="120"/>
              <w:bottom w:type="dxa" w:w="80"/>
              <w:right w:type="dxa" w:w="80"/>
            </w:tcMar>
            <w:vAlign w:val="top"/>
          </w:tcPr>
          <w:p>
            <w:pPr>
              <w:spacing w:after="0"/>
            </w:pPr>
            <w:r>
              <w:rPr>
                <w:rFonts w:ascii="Garamond" w:cs="Garamond" w:eastAsia="Garamond" w:hAnsi="Garamond"/>
                <w:i w:val="false"/>
                <w:iCs w:val="false"/>
                <w:color w:val="111111"/>
                <w:sz w:val="19"/>
                <w:szCs w:val="19"/>
              </w:rPr>
              <w:t xml:space="preserve">Cree tallymen — senior hunters and traditional land managers of the ~12,000-strong James Bay Cree Nation; typically male, ages 40–60, selected by community for demonstrated ecological knowledge and competence on the land</w:t>
            </w:r>
          </w:p>
        </w:tc>
      </w:tr>
    </w:tbl>
    <w:p>
      <w:pPr>
        <w:spacing w:after="320"/>
      </w:pP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DEPENDABILITY</w:t>
      </w:r>
    </w:p>
    <w:p>
      <w:pPr>
        <w:spacing w:after="160" w:before="0"/>
      </w:pPr>
      <w:r>
        <w:rPr>
          <w:rFonts w:ascii="Garamond" w:cs="Garamond" w:eastAsia="Garamond" w:hAnsi="Garamond"/>
          <w:i w:val="false"/>
          <w:iCs w:val="false"/>
          <w:color w:val="111111"/>
          <w:sz w:val="22"/>
          <w:szCs w:val="22"/>
        </w:rPr>
        <w:t xml:space="preserve">For A&amp;S, the methodology is well documented. It is informed by the Baradian approach — the ethico-onto-epistemology — which implies entanglements and a recognition that the researchers are both “producing and produced” by the practices they study. Vignette 2 spans over five years of engagement with the cherry tree, demonstrating sustained long-term inquiry. Their work also builds on Gibson-Graham’s weak theory approach, which resists purely descriptive claims in favour of a more speculative opening to new ethical potentials and entanglements. On this basis, the work is dependable. These are people with close, subjective relationships with their gardens, built over time, and that is made clear throughout.</w:t>
      </w:r>
    </w:p>
    <w:p>
      <w:pPr>
        <w:spacing w:after="80" w:before="0"/>
      </w:pPr>
      <w:r>
        <w:rPr>
          <w:rFonts w:ascii="Garamond" w:cs="Garamond" w:eastAsia="Garamond" w:hAnsi="Garamond"/>
          <w:i w:val="false"/>
          <w:iCs w:val="false"/>
          <w:color w:val="111111"/>
          <w:sz w:val="22"/>
          <w:szCs w:val="22"/>
        </w:rPr>
        <w:t xml:space="preserve">For W&amp;C, the methodology is thoroughly documented. It is an 18-month ethnographic study using a grounded theory approach with iterative coding in QSR NU*DIST software, supported by extensive handwritten field notes. There was also ongoing respondent validation by Cree participants throughout the study (Whiteman &amp; Cooper, 2000, p.1268), which further strengthens its dependability.</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CREDIBILITY</w:t>
      </w:r>
    </w:p>
    <w:p>
      <w:pPr>
        <w:spacing w:after="160" w:before="0"/>
      </w:pPr>
      <w:r>
        <w:rPr>
          <w:rFonts w:ascii="Garamond" w:cs="Garamond" w:eastAsia="Garamond" w:hAnsi="Garamond"/>
          <w:i w:val="false"/>
          <w:iCs w:val="false"/>
          <w:color w:val="111111"/>
          <w:sz w:val="22"/>
          <w:szCs w:val="22"/>
        </w:rPr>
        <w:t xml:space="preserve">For A&amp;S, because these projects are engaged over a long time period, the authors have deep familiarity with their respective gardens. The autoethnographic nature of the work is rich in sensory detail — extreme heat, a wildlife camera, the texture of bark, a frog living in the pond. These are embodied, lived experiences, and I find them credible on those terms.</w:t>
      </w:r>
    </w:p>
    <w:p>
      <w:pPr>
        <w:spacing w:after="80" w:before="0"/>
      </w:pPr>
      <w:r>
        <w:rPr>
          <w:rFonts w:ascii="Garamond" w:cs="Garamond" w:eastAsia="Garamond" w:hAnsi="Garamond"/>
          <w:i w:val="false"/>
          <w:iCs w:val="false"/>
          <w:color w:val="111111"/>
          <w:sz w:val="22"/>
          <w:szCs w:val="22"/>
        </w:rPr>
        <w:t xml:space="preserve">For W&amp;C, credibility is established through prolonged fieldwork. Whiteman undertook an apprenticeship, seeking to learn through lived experience what it means to be on the trapline. There is also triangulation across multiple sources: participant observation, 31 in-depth semi-structured interviews, and secondary literature.</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CONFIRMABILITY</w:t>
      </w:r>
    </w:p>
    <w:p>
      <w:pPr>
        <w:spacing w:after="160" w:before="0"/>
      </w:pPr>
      <w:r>
        <w:rPr>
          <w:rFonts w:ascii="Garamond" w:cs="Garamond" w:eastAsia="Garamond" w:hAnsi="Garamond"/>
          <w:i w:val="false"/>
          <w:iCs w:val="false"/>
          <w:color w:val="111111"/>
          <w:sz w:val="22"/>
          <w:szCs w:val="22"/>
        </w:rPr>
        <w:t xml:space="preserve">For A&amp;S, the authors are quite aware of their biases and their human-centred positionality. In a footnote on page 4, they explicitly seek to decentre the human in their ecocentric approach, attending carefully to language — resisting “our gardens” in favour of “we belong,” “being-with,” and “we tend.” By being aware of this entanglement, they actually strengthen the confirmability of the work. Interestingly, they are simultaneously the inquirer and the producer of knowledge — intimately entangled with it. Their act of participating and generating these vignettes is shaping them as they do it, shaping their world, while also opening space for deep listening to the garden and its ecosystems. They also acknowledge that organic gardening can be seen as nativist or elitist, and they try to distance themselves from that.</w:t>
      </w:r>
    </w:p>
    <w:p>
      <w:pPr>
        <w:spacing w:after="80" w:before="0"/>
      </w:pPr>
      <w:r>
        <w:rPr>
          <w:rFonts w:ascii="Garamond" w:cs="Garamond" w:eastAsia="Garamond" w:hAnsi="Garamond"/>
          <w:i w:val="false"/>
          <w:iCs w:val="false"/>
          <w:color w:val="111111"/>
          <w:sz w:val="22"/>
          <w:szCs w:val="22"/>
        </w:rPr>
        <w:t xml:space="preserve">For W&amp;C, the discussion of imperfections on page 1274 is important. Whiteman acknowledges the tallymen’s ethical lapses and resists presenting them as perfect archetypes of the ecological manager. This adds weight to the confirmability of the study. Also significant is the biographical note on page 1282, in which Cooper acknowledges that his attachment to catch-and-release fishing is “not consistent with the spirit of the study” — an honest and direct statement of positionality. W&amp;C remain reflexive throughout, though they do not take the deeper ontological turn that A&amp;S does. They are, however, working within a relational and Indigenous worldview, attempting to respect those traditions rather than appropriate them.</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TRANSFERABILITY</w:t>
      </w:r>
    </w:p>
    <w:p>
      <w:pPr>
        <w:spacing w:after="160" w:before="0"/>
      </w:pPr>
      <w:r>
        <w:rPr>
          <w:rFonts w:ascii="Garamond" w:cs="Garamond" w:eastAsia="Garamond" w:hAnsi="Garamond"/>
          <w:i w:val="false"/>
          <w:iCs w:val="false"/>
          <w:color w:val="111111"/>
          <w:sz w:val="22"/>
          <w:szCs w:val="22"/>
        </w:rPr>
        <w:t xml:space="preserve">For A&amp;S, the ecocentric engagement with gardens has significant potential for informing sustainable business practice. In the closing section, “Translating an Ecocentric Ethics into Sustainable Business Practice,” the authors lay out five generative questions for organisers and business leaders, inspired by posthumanist feminist thinking. One example: “Who else’s thriving do we make possible through the practices we perform in organising our business livelihoods?” The lessons from the garden are explicitly intended to be applied in other contexts, including organisational systems.</w:t>
      </w:r>
    </w:p>
    <w:p>
      <w:pPr>
        <w:spacing w:after="80" w:before="0"/>
      </w:pPr>
      <w:r>
        <w:rPr>
          <w:rFonts w:ascii="Garamond" w:cs="Garamond" w:eastAsia="Garamond" w:hAnsi="Garamond"/>
          <w:i w:val="false"/>
          <w:iCs w:val="false"/>
          <w:color w:val="111111"/>
          <w:sz w:val="22"/>
          <w:szCs w:val="22"/>
        </w:rPr>
        <w:t xml:space="preserve">For W&amp;C, there are several formal propositions made at the end of the paper, alongside a table presenting key dimensions of ecological embeddedness: personal identification with the land, adherence to ecological beliefs, gathering ecological information, and being physically located in the ecosystem — with sub-dimensions including ecological reciprocity, respect, and caretaking. For example, the authors argue that a manager with personal identification with the land may show a stronger commitment to sustainable practice. This demonstrates a high degree of transferability. Additionally, the Beaver Trapping Narrative on pages 1269–1271 provides rich, thick description that allows the reader to assess applicability in other contexts.</w:t>
      </w:r>
    </w:p>
    <w:p>
      <w:pPr>
        <w:pBdr>
          <w:top w:val="single" w:color="111111" w:sz="6" w:space="4"/>
        </w:pBdr>
        <w:spacing w:after="80" w:before="320"/>
      </w:pPr>
      <w:r>
        <w:rPr>
          <w:rFonts w:ascii="Arial" w:cs="Arial" w:eastAsia="Arial" w:hAnsi="Arial"/>
          <w:b/>
          <w:bCs/>
          <w:i w:val="false"/>
          <w:iCs w:val="false"/>
          <w:caps w:val="false"/>
          <w:color w:val="444444"/>
          <w:sz w:val="14"/>
          <w:szCs w:val="14"/>
        </w:rPr>
        <w:t xml:space="preserve">SYNTHESIS</w:t>
      </w:r>
    </w:p>
    <w:p>
      <w:pPr>
        <w:spacing w:after="160" w:before="0"/>
      </w:pPr>
      <w:r>
        <w:rPr>
          <w:rFonts w:ascii="Garamond" w:cs="Garamond" w:eastAsia="Garamond" w:hAnsi="Garamond"/>
          <w:i w:val="false"/>
          <w:iCs w:val="false"/>
          <w:color w:val="111111"/>
          <w:sz w:val="22"/>
          <w:szCs w:val="22"/>
        </w:rPr>
        <w:t xml:space="preserve">To summarise, both papers are effective in helping us rethink organisational practice and business as usual. Specifically, they invite us to think from a more relational paradigm and a more relational ethic.</w:t>
      </w:r>
    </w:p>
    <w:p>
      <w:pPr>
        <w:spacing w:after="160" w:before="0"/>
      </w:pPr>
      <w:r>
        <w:rPr>
          <w:rFonts w:ascii="Garamond" w:cs="Garamond" w:eastAsia="Garamond" w:hAnsi="Garamond"/>
          <w:i w:val="false"/>
          <w:iCs w:val="false"/>
          <w:color w:val="111111"/>
          <w:sz w:val="22"/>
          <w:szCs w:val="22"/>
        </w:rPr>
        <w:t xml:space="preserve">A key tension is that W&amp;C maps more cleanly onto Moon et al.’s framework, given its use of conventional ethnography, clearly documented methods, and validation procedures. A&amp;S resists that framework — intentionally. This raises an important question: can Moon et al.’s criteria, developed for qualitative research broadly, accommodate posthumanist autoethnographic work? Can a framework account for methodologies that reject replicability as a theoretical position rather than an oversight?</w:t>
      </w:r>
    </w:p>
    <w:p>
      <w:pPr>
        <w:spacing w:after="160" w:before="0"/>
      </w:pPr>
      <w:r>
        <w:rPr>
          <w:rFonts w:ascii="Garamond" w:cs="Garamond" w:eastAsia="Garamond" w:hAnsi="Garamond"/>
          <w:i w:val="false"/>
          <w:iCs w:val="false"/>
          <w:color w:val="111111"/>
          <w:sz w:val="22"/>
          <w:szCs w:val="22"/>
        </w:rPr>
        <w:t xml:space="preserve">W&amp;C establishes credibility through procedural means — specified engagement and triangulation. A&amp;S takes a more embodied approach with expressive vignettes and what they call, following Eve Sedgwick via Gibson-Graham, a “weak theory” approach. On these terms W&amp;C may score higher, but A&amp;S would argue that their credibility is a different form — not lesser. W&amp;C’s descriptions are more specific and conventional; A&amp;S’s are more idiosyncratic. For dependability, W&amp;C’s grounded theory approach would rate higher on a conventional score, while A&amp;S resists being replicated by design.</w:t>
      </w:r>
    </w:p>
    <w:p>
      <w:pPr>
        <w:spacing w:after="160" w:before="0"/>
      </w:pPr>
      <w:r>
        <w:rPr>
          <w:rFonts w:ascii="Garamond" w:cs="Garamond" w:eastAsia="Garamond" w:hAnsi="Garamond"/>
          <w:i w:val="false"/>
          <w:iCs w:val="false"/>
          <w:color w:val="111111"/>
          <w:sz w:val="22"/>
          <w:szCs w:val="22"/>
        </w:rPr>
        <w:t xml:space="preserve">Both papers are highly reflexive, and that reflexivity is foundational to each. Posthumanism demands it. A&amp;S expresses this through footnotes and careful word choice throughout; W&amp;C’s reflexivity is more muted but present, most notably in the biographical section and in the acknowledgment of their positionality as Western researchers entering an Indigenous space.</w:t>
      </w:r>
    </w:p>
    <w:p>
      <w:pPr>
        <w:spacing w:after="80" w:before="0"/>
      </w:pPr>
      <w:r>
        <w:rPr>
          <w:rFonts w:ascii="Garamond" w:cs="Garamond" w:eastAsia="Garamond" w:hAnsi="Garamond"/>
          <w:i w:val="false"/>
          <w:iCs w:val="false"/>
          <w:color w:val="111111"/>
          <w:sz w:val="22"/>
          <w:szCs w:val="22"/>
        </w:rPr>
        <w:t xml:space="preserve">W&amp;C is the stronger paper by Moon et al.’s own terms — it maps cleanly onto the framework’s expectations of documented process, triangulation, and thick description. A&amp;S also scores well, but pushes back at the rigidness of the criteria, raising generative questions about whether those criteria can account for methodologies that reject the assumptions of replicability and researcher separateness on which they 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2026-03-20T02:26:05.225Z</dcterms:created>
  <dcterms:modified xsi:type="dcterms:W3CDTF">2026-03-20T02:26:05.226Z</dcterms:modified>
</cp:coreProperties>
</file>

<file path=docProps/custom.xml><?xml version="1.0" encoding="utf-8"?>
<Properties xmlns="http://schemas.openxmlformats.org/officeDocument/2006/custom-properties" xmlns:vt="http://schemas.openxmlformats.org/officeDocument/2006/docPropsVTypes"/>
</file>