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5.0" w:type="dxa"/>
        <w:jc w:val="left"/>
        <w:tblInd w:w="0.0" w:type="dxa"/>
        <w:tblBorders>
          <w:bottom w:color="000000" w:space="0" w:sz="4" w:val="single"/>
        </w:tblBorders>
        <w:tblLayout w:type="fixed"/>
        <w:tblLook w:val="0400"/>
      </w:tblPr>
      <w:tblGrid>
        <w:gridCol w:w="1521"/>
        <w:gridCol w:w="8354"/>
        <w:tblGridChange w:id="0">
          <w:tblGrid>
            <w:gridCol w:w="1521"/>
            <w:gridCol w:w="8354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634365" cy="749935"/>
                  <wp:effectExtent b="0" l="0" r="0" t="0"/>
                  <wp:docPr descr="C:\user-pjpf\Briefcase-SO\so\so-12-13\slides\logo-IST-Tecnico.JPG" id="2" name="image1.jpg"/>
                  <a:graphic>
                    <a:graphicData uri="http://schemas.openxmlformats.org/drawingml/2006/picture">
                      <pic:pic>
                        <pic:nvPicPr>
                          <pic:cNvPr descr="C:\user-pjpf\Briefcase-SO\so\so-12-13\slides\logo-IST-Tecnico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" cy="749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INSTITUTO SUPERIOR TÉCNICO</w:t>
            </w:r>
          </w:p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Departamento de Engenharia Informática</w:t>
            </w:r>
          </w:p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Forensics Cyber Security</w:t>
            </w:r>
          </w:p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MEIC / METI 2018-2019 –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Semester</w:t>
            </w:r>
          </w:p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Digital Forensics Report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83531 - Miguel Belém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83567 - Tiago Gonçalves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83576 - Vítor Nunes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Can you determine how the malware has taken over Sally's computer?</w:t>
      </w:r>
    </w:p>
    <w:p w:rsidR="00000000" w:rsidDel="00000000" w:rsidP="00000000" w:rsidRDefault="00000000" w:rsidRPr="00000000" w14:paraId="0000000C">
      <w:pPr>
        <w:ind w:firstLine="566.9291338582675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most common ways to get infected by ransomware is by network or by plugging a infected USB drives. The team found a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thunderbird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profile account with one gmail account setted up. We manage to retrieve the INBOX msf file.</w:t>
      </w:r>
    </w:p>
    <w:p w:rsidR="00000000" w:rsidDel="00000000" w:rsidP="00000000" w:rsidRDefault="00000000" w:rsidRPr="00000000" w14:paraId="0000000D">
      <w:pPr>
        <w:ind w:firstLine="566.9291338582675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team suspects that Sally  received a phishing email which the sender was identified as “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Biochemistry Campus IT Department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&lt;jason_halloween@protonmail.com&gt;”.</w:t>
      </w:r>
    </w:p>
    <w:p w:rsidR="00000000" w:rsidDel="00000000" w:rsidP="00000000" w:rsidRDefault="00000000" w:rsidRPr="00000000" w14:paraId="0000000E">
      <w:pPr>
        <w:ind w:firstLine="566.9291338582675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clearly sound suspicious, even the attachment we found on the message.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Can you recover Sally's original files? If you do not succeed at retrieving the original files, can you at least extract some of its fragments?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What can you tell about the identity of the attacker?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Elaborate a timeline of the most significant events of the case.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Can also attach appendices, e.g., displaying relevant evidence, timelines, etc.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080" w:right="1080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120" w:line="276" w:lineRule="auto"/>
      <w:ind w:left="0" w:right="0" w:firstLine="0"/>
      <w:contextualSpacing w:val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4294966661" distR="4294966661" hidden="0" layoutInCell="1" locked="0" relativeHeight="0" simplePos="0">
              <wp:simplePos x="0" y="0"/>
              <wp:positionH relativeFrom="column">
                <wp:posOffset>3052462</wp:posOffset>
              </wp:positionH>
              <wp:positionV relativeFrom="paragraph">
                <wp:posOffset>0</wp:posOffset>
              </wp:positionV>
              <wp:extent cx="90805" cy="233680"/>
              <wp:effectExtent b="0" l="0" r="0" t="0"/>
              <wp:wrapSquare wrapText="bothSides" distB="0" distT="0" distL="4294966661" distR="4294966661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5360" y="3667923"/>
                        <a:ext cx="81280" cy="2241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0" w:line="275.9999942779541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0"/>
                              <w:vertAlign w:val="baseline"/>
                            </w:rPr>
                            <w:t xml:space="preserve">PAGE1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4294966661" distR="4294966661" hidden="0" layoutInCell="1" locked="0" relativeHeight="0" simplePos="0">
              <wp:simplePos x="0" y="0"/>
              <wp:positionH relativeFrom="column">
                <wp:posOffset>3052462</wp:posOffset>
              </wp:positionH>
              <wp:positionV relativeFrom="paragraph">
                <wp:posOffset>0</wp:posOffset>
              </wp:positionV>
              <wp:extent cx="90805" cy="233680"/>
              <wp:effectExtent b="0" l="0" r="0" t="0"/>
              <wp:wrapSquare wrapText="bothSides" distB="0" distT="0" distL="4294966661" distR="4294966661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805" cy="233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120" w:line="276" w:lineRule="auto"/>
      <w:ind w:left="0" w:right="0" w:firstLine="0"/>
      <w:contextualSpacing w:val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lang w:val="en-US"/>
      </w:rPr>
    </w:rPrDefault>
    <w:pPrDefault>
      <w:pPr>
        <w:spacing w:before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Rule="auto"/>
      <w:ind w:left="432" w:hanging="432"/>
      <w:contextualSpacing w:val="0"/>
    </w:pPr>
    <w:rPr>
      <w:rFonts w:ascii="Calibri" w:cs="Calibri" w:eastAsia="Calibri" w:hAnsi="Calibri"/>
      <w:b w:val="1"/>
      <w:color w:val="345a8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  <w:contextualSpacing w:val="0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  <w:contextualSpacing w:val="0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  <w:contextualSpacing w:val="0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  <w:contextualSpacing w:val="0"/>
    </w:pPr>
    <w:rPr>
      <w:rFonts w:ascii="Calibri" w:cs="Calibri" w:eastAsia="Calibri" w:hAnsi="Calibri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  <w:contextualSpacing w:val="0"/>
    </w:pPr>
    <w:rPr>
      <w:rFonts w:ascii="Calibri" w:cs="Calibri" w:eastAsia="Calibri" w:hAnsi="Calibri"/>
      <w:i w:val="1"/>
      <w:color w:val="243f60"/>
    </w:rPr>
  </w:style>
  <w:style w:type="paragraph" w:styleId="Title">
    <w:name w:val="Title"/>
    <w:basedOn w:val="Normal"/>
    <w:next w:val="Normal"/>
    <w:pPr>
      <w:spacing w:after="300" w:before="360" w:line="240" w:lineRule="auto"/>
      <w:jc w:val="center"/>
    </w:pPr>
    <w:rPr>
      <w:rFonts w:ascii="Calibri" w:cs="Calibri" w:eastAsia="Calibri" w:hAnsi="Calibri"/>
      <w:b w:val="1"/>
      <w:color w:val="17365d"/>
      <w:sz w:val="40"/>
      <w:szCs w:val="40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