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516"/>
        <w:gridCol w:w="8230"/>
      </w:tblGrid>
      <w:tr w:rsidR="000106C9" w14:paraId="0EC2B392" w14:textId="77777777" w:rsidTr="714F201A">
        <w:tc>
          <w:tcPr>
            <w:tcW w:w="1521" w:type="dxa"/>
            <w:shd w:val="clear" w:color="auto" w:fill="FFFFFF" w:themeFill="background1"/>
          </w:tcPr>
          <w:p w14:paraId="26C27116" w14:textId="77777777" w:rsidR="000106C9" w:rsidRDefault="003C1CFF">
            <w:r>
              <w:rPr>
                <w:noProof/>
              </w:rPr>
              <w:drawing>
                <wp:inline distT="0" distB="0" distL="0" distR="0" wp14:anchorId="023BEECB" wp14:editId="50448051">
                  <wp:extent cx="634365" cy="749935"/>
                  <wp:effectExtent l="0" t="0" r="0" b="0"/>
                  <wp:docPr id="1" name="Picture" descr="C:\user-pjpf\Briefcase-SO\so\so-12-13\slides\logo-IST-Tecnic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C:\user-pjpf\Briefcase-SO\so\so-12-13\slides\logo-IST-Tecnic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749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4" w:type="dxa"/>
            <w:shd w:val="clear" w:color="auto" w:fill="FFFFFF" w:themeFill="background1"/>
          </w:tcPr>
          <w:p w14:paraId="0C7925B9" w14:textId="77777777" w:rsidR="000106C9" w:rsidRPr="0035099F" w:rsidRDefault="003C1CFF">
            <w:pPr>
              <w:rPr>
                <w:lang w:val="pt-PT"/>
              </w:rPr>
            </w:pPr>
            <w:r w:rsidRPr="0035099F">
              <w:rPr>
                <w:lang w:val="pt-PT"/>
              </w:rPr>
              <w:t>INSTITUTO SUPERIOR TÉCNICO</w:t>
            </w:r>
          </w:p>
          <w:p w14:paraId="1EA8DDAF" w14:textId="77777777" w:rsidR="000106C9" w:rsidRPr="0035099F" w:rsidRDefault="003C1CFF">
            <w:pPr>
              <w:rPr>
                <w:lang w:val="pt-PT"/>
              </w:rPr>
            </w:pPr>
            <w:r w:rsidRPr="0035099F">
              <w:rPr>
                <w:lang w:val="pt-PT"/>
              </w:rPr>
              <w:t>Departamento de Engenharia Informática</w:t>
            </w:r>
          </w:p>
          <w:p w14:paraId="4F4D543F" w14:textId="2CF33EA5" w:rsidR="000106C9" w:rsidRDefault="00C07E2A">
            <w:r>
              <w:t>Forensics Cyber Security</w:t>
            </w:r>
          </w:p>
          <w:p w14:paraId="64A5CE46" w14:textId="0A854607" w:rsidR="000106C9" w:rsidRDefault="00683376">
            <w:r>
              <w:t>MEIC / METI 2018-2019</w:t>
            </w:r>
            <w:r w:rsidR="00B9105A">
              <w:t xml:space="preserve"> – 1</w:t>
            </w:r>
            <w:r w:rsidR="00B9105A" w:rsidRPr="00B9105A">
              <w:rPr>
                <w:vertAlign w:val="superscript"/>
              </w:rPr>
              <w:t>st</w:t>
            </w:r>
            <w:r w:rsidR="003C1CFF">
              <w:t xml:space="preserve"> Semester</w:t>
            </w:r>
          </w:p>
          <w:p w14:paraId="47E74805" w14:textId="77777777" w:rsidR="000106C9" w:rsidRDefault="000106C9"/>
        </w:tc>
      </w:tr>
    </w:tbl>
    <w:p w14:paraId="5E6FB404" w14:textId="757DBF3D" w:rsidR="000106C9" w:rsidRDefault="00B9105A">
      <w:pPr>
        <w:pStyle w:val="Title"/>
      </w:pPr>
      <w:r>
        <w:t>Digital Forensics Report</w:t>
      </w:r>
    </w:p>
    <w:p w14:paraId="5BBAA827" w14:textId="538406B7" w:rsidR="00C07E2A" w:rsidRDefault="00C07E2A" w:rsidP="00C07E2A">
      <w:pPr>
        <w:jc w:val="center"/>
        <w:rPr>
          <w:rFonts w:asciiTheme="majorHAnsi" w:hAnsiTheme="majorHAnsi"/>
          <w:b/>
          <w:sz w:val="22"/>
        </w:rPr>
      </w:pPr>
      <w:r w:rsidRPr="00DB2EB8">
        <w:rPr>
          <w:rFonts w:asciiTheme="majorHAnsi" w:hAnsiTheme="majorHAnsi"/>
          <w:b/>
          <w:sz w:val="22"/>
        </w:rPr>
        <w:t>Author</w:t>
      </w:r>
      <w:r w:rsidR="00B9105A">
        <w:rPr>
          <w:rFonts w:asciiTheme="majorHAnsi" w:hAnsiTheme="majorHAnsi"/>
          <w:b/>
          <w:sz w:val="22"/>
        </w:rPr>
        <w:t>s</w:t>
      </w:r>
    </w:p>
    <w:p w14:paraId="4A748607" w14:textId="77777777" w:rsidR="002703A1" w:rsidRDefault="002703A1" w:rsidP="00C07E2A">
      <w:pPr>
        <w:jc w:val="center"/>
        <w:rPr>
          <w:rFonts w:asciiTheme="majorHAnsi" w:hAnsiTheme="majorHAnsi"/>
          <w:b/>
          <w:sz w:val="22"/>
        </w:rPr>
      </w:pPr>
    </w:p>
    <w:p w14:paraId="49345330" w14:textId="055A8725" w:rsidR="002703A1" w:rsidRPr="002703A1" w:rsidRDefault="002703A1" w:rsidP="00C07E2A">
      <w:pPr>
        <w:jc w:val="center"/>
        <w:rPr>
          <w:rFonts w:asciiTheme="majorHAnsi" w:hAnsiTheme="majorHAnsi"/>
          <w:b/>
          <w:sz w:val="28"/>
        </w:rPr>
      </w:pPr>
      <w:r w:rsidRPr="002703A1">
        <w:rPr>
          <w:rFonts w:asciiTheme="majorHAnsi" w:hAnsiTheme="majorHAnsi"/>
          <w:b/>
          <w:sz w:val="28"/>
        </w:rPr>
        <w:t>GROUP I</w:t>
      </w:r>
      <w:r>
        <w:rPr>
          <w:rFonts w:asciiTheme="majorHAnsi" w:hAnsiTheme="majorHAnsi"/>
          <w:b/>
          <w:sz w:val="28"/>
        </w:rPr>
        <w:t xml:space="preserve"> – Network trace analysis</w:t>
      </w:r>
    </w:p>
    <w:p w14:paraId="7E59DE55" w14:textId="591ABDE3" w:rsidR="000106C9" w:rsidRDefault="000106C9" w:rsidP="00222E10">
      <w:pPr>
        <w:pStyle w:val="Heading1"/>
      </w:pPr>
    </w:p>
    <w:p w14:paraId="3CFEF754" w14:textId="13EB2BF5" w:rsidR="00B9105A" w:rsidRDefault="7554FC82" w:rsidP="002703A1">
      <w:pPr>
        <w:pStyle w:val="Heading2"/>
      </w:pPr>
      <w:r>
        <w:t>Indicate the complete URL of the original web request that led to the client being compromised</w:t>
      </w:r>
    </w:p>
    <w:p w14:paraId="778D4A09" w14:textId="20F03C3B" w:rsidR="7554FC82" w:rsidRDefault="7554FC82" w:rsidP="7554FC82">
      <w:pPr>
        <w:ind w:firstLine="576"/>
        <w:rPr>
          <w:rFonts w:cs="Cambria"/>
          <w:color w:val="auto"/>
          <w:sz w:val="21"/>
          <w:szCs w:val="21"/>
        </w:rPr>
      </w:pPr>
      <w:r w:rsidRPr="7554FC82">
        <w:rPr>
          <w:rFonts w:cs="Cambria"/>
          <w:color w:val="auto"/>
          <w:sz w:val="21"/>
          <w:szCs w:val="21"/>
        </w:rPr>
        <w:t>http://10.20.0111:8080/banking.htm</w:t>
      </w:r>
    </w:p>
    <w:p w14:paraId="49046218" w14:textId="15C25B5D" w:rsidR="002703A1" w:rsidRDefault="002703A1" w:rsidP="002703A1">
      <w:pPr>
        <w:pStyle w:val="Heading2"/>
      </w:pPr>
      <w:r>
        <w:t>What file type was requested in the final web request to the malicious server?</w:t>
      </w:r>
    </w:p>
    <w:p w14:paraId="2856F525" w14:textId="37373565" w:rsidR="002703A1" w:rsidRPr="002703A1" w:rsidRDefault="7554FC82" w:rsidP="7554FC82">
      <w:pPr>
        <w:ind w:firstLine="576"/>
      </w:pPr>
      <w:r>
        <w:t>GIF file.</w:t>
      </w:r>
    </w:p>
    <w:p w14:paraId="5C37CBF6" w14:textId="6B7FDAF9" w:rsidR="002703A1" w:rsidRDefault="7554FC82" w:rsidP="002703A1">
      <w:pPr>
        <w:pStyle w:val="Heading2"/>
      </w:pPr>
      <w:r>
        <w:t>What is the number of the first frame that indicates that the client has been compromised?</w:t>
      </w:r>
    </w:p>
    <w:p w14:paraId="13185A90" w14:textId="2082F1AF" w:rsidR="002703A1" w:rsidRPr="002703A1" w:rsidRDefault="7554FC82" w:rsidP="7554FC82">
      <w:pPr>
        <w:ind w:firstLine="576"/>
      </w:pPr>
      <w:r w:rsidRPr="7554FC82">
        <w:t>4722. It is very suspicious that the client closed every TCP connection and open only one: A TCP to the malicious server (</w:t>
      </w:r>
      <w:r w:rsidRPr="7554FC82">
        <w:rPr>
          <w:rFonts w:cs="Cambria"/>
          <w:szCs w:val="20"/>
        </w:rPr>
        <w:t>10.20.0.111</w:t>
      </w:r>
      <w:r w:rsidRPr="7554FC82">
        <w:t>).</w:t>
      </w:r>
    </w:p>
    <w:p w14:paraId="23008476" w14:textId="5165B5D0" w:rsidR="002703A1" w:rsidRDefault="7554FC82" w:rsidP="002703A1">
      <w:pPr>
        <w:pStyle w:val="Heading2"/>
      </w:pPr>
      <w:r>
        <w:t>At one point, the malicious server sends a malicious file to the client. What type of file it is?</w:t>
      </w:r>
    </w:p>
    <w:p w14:paraId="620B263A" w14:textId="21A869B5" w:rsidR="7554FC82" w:rsidRDefault="7554FC82" w:rsidP="7554FC82">
      <w:pPr>
        <w:ind w:firstLine="576"/>
        <w:rPr>
          <w:rFonts w:cs="Cambria"/>
          <w:color w:val="auto"/>
          <w:sz w:val="21"/>
          <w:szCs w:val="21"/>
        </w:rPr>
      </w:pPr>
      <w:r w:rsidRPr="7554FC82">
        <w:rPr>
          <w:rFonts w:cs="Cambria"/>
          <w:color w:val="auto"/>
          <w:sz w:val="21"/>
          <w:szCs w:val="21"/>
        </w:rPr>
        <w:t>Windows – Executable PE32 executable (DLL) (GUI) Intel 80386, for MS Windows</w:t>
      </w:r>
    </w:p>
    <w:p w14:paraId="45FCBFA8" w14:textId="2CDE2496" w:rsidR="002703A1" w:rsidRDefault="420979AB" w:rsidP="002703A1">
      <w:pPr>
        <w:pStyle w:val="Heading2"/>
      </w:pPr>
      <w:r>
        <w:t>What is the SHA1 hash of the malicious file?</w:t>
      </w:r>
    </w:p>
    <w:p w14:paraId="679FFC8C" w14:textId="3740C334" w:rsidR="420979AB" w:rsidRDefault="420979AB" w:rsidP="420979AB">
      <w:pPr>
        <w:ind w:firstLine="576"/>
      </w:pPr>
      <w:r w:rsidRPr="420979AB">
        <w:rPr>
          <w:rFonts w:cs="Cambria"/>
          <w:szCs w:val="20"/>
        </w:rPr>
        <w:t>9972727c9612cf77d3bd233e7c5a4f22f76e2c7a</w:t>
      </w:r>
    </w:p>
    <w:p w14:paraId="612E615C" w14:textId="59DB8100" w:rsidR="002703A1" w:rsidRDefault="7554FC82" w:rsidP="002703A1">
      <w:pPr>
        <w:pStyle w:val="Heading2"/>
      </w:pPr>
      <w:r>
        <w:t>What vulnerable software has been exploited (in the following format, Firefox 3.5, Firefox 3.6, Word 2010, IE7, Safari2, Chrome2, AdobeReader, IE9)?</w:t>
      </w:r>
    </w:p>
    <w:p w14:paraId="31766CBD" w14:textId="01C650A2" w:rsidR="002703A1" w:rsidRPr="002703A1" w:rsidRDefault="7554FC82" w:rsidP="7554FC82">
      <w:pPr>
        <w:ind w:firstLine="576"/>
      </w:pPr>
      <w:r>
        <w:t>Microsoft Internet Explorer 6</w:t>
      </w:r>
    </w:p>
    <w:p w14:paraId="1B90A966" w14:textId="27BF2588" w:rsidR="002703A1" w:rsidRDefault="7554FC82" w:rsidP="002703A1">
      <w:pPr>
        <w:pStyle w:val="Heading2"/>
      </w:pPr>
      <w:r>
        <w:t>When the capture ends, is the client still connected to the malicious attacker?</w:t>
      </w:r>
    </w:p>
    <w:p w14:paraId="3418AB75" w14:textId="530F926B" w:rsidR="002703A1" w:rsidRPr="002703A1" w:rsidRDefault="7554FC82" w:rsidP="7554FC82">
      <w:pPr>
        <w:ind w:firstLine="576"/>
      </w:pPr>
      <w:r>
        <w:t>Yes, there are no TCP RST or FIN ACK requests.</w:t>
      </w:r>
    </w:p>
    <w:p w14:paraId="6B0F9EAE" w14:textId="794C9FF7" w:rsidR="002703A1" w:rsidRDefault="7554FC82" w:rsidP="002703A1">
      <w:pPr>
        <w:pStyle w:val="Heading2"/>
      </w:pPr>
      <w:r>
        <w:t>Can you indicate the corresponding CVE security bulletin that covers the vulnerability that was exploited here (answer in form of CVE-$year-$number)?</w:t>
      </w:r>
    </w:p>
    <w:p w14:paraId="54F0C73F" w14:textId="5A4C506F" w:rsidR="002703A1" w:rsidRPr="002703A1" w:rsidRDefault="7554FC82" w:rsidP="7554FC82">
      <w:pPr>
        <w:ind w:firstLine="576"/>
      </w:pPr>
      <w:r>
        <w:t>CVE-2010-0249</w:t>
      </w:r>
    </w:p>
    <w:p w14:paraId="622DB177" w14:textId="0E1E3E6F" w:rsidR="002703A1" w:rsidRPr="002703A1" w:rsidRDefault="7554FC82" w:rsidP="002703A1">
      <w:pPr>
        <w:pStyle w:val="Heading2"/>
      </w:pPr>
      <w:r>
        <w:t>From the capture, it is clear that the attacker gets a certain form of access (i.e. the interface), what (type of) access does the attacker “get” on the client?</w:t>
      </w:r>
    </w:p>
    <w:p w14:paraId="3F2587DA" w14:textId="0C9D18A7" w:rsidR="008A0F14" w:rsidRDefault="7554FC82" w:rsidP="7554FC82">
      <w:pPr>
        <w:ind w:firstLine="576"/>
      </w:pPr>
      <w:r>
        <w:t>He gains the possibility of running any executable on the client’s device.</w:t>
      </w:r>
    </w:p>
    <w:p w14:paraId="1FDFBDA2" w14:textId="1DD958D1" w:rsidR="00B9105A" w:rsidRDefault="00B9105A" w:rsidP="00B9105A">
      <w:pPr>
        <w:pStyle w:val="Heading1"/>
      </w:pPr>
    </w:p>
    <w:p w14:paraId="767BFF19" w14:textId="5B7F4D1E" w:rsidR="008A0F14" w:rsidRDefault="002703A1" w:rsidP="002703A1">
      <w:pPr>
        <w:pStyle w:val="Heading2"/>
      </w:pPr>
      <w:r>
        <w:t>What is the frame that indicates that something strange might be going on?</w:t>
      </w:r>
    </w:p>
    <w:p w14:paraId="56B05B84" w14:textId="182E3D8D" w:rsidR="002703A1" w:rsidRPr="002703A1" w:rsidRDefault="7554FC82" w:rsidP="7554FC82">
      <w:pPr>
        <w:ind w:firstLine="576"/>
      </w:pPr>
      <w:r>
        <w:t>Frame no. 8, where we can see the start of a series of ping requests to IPs in order to check for open ports on machines.</w:t>
      </w:r>
    </w:p>
    <w:p w14:paraId="3DBE5842" w14:textId="798C3FC1" w:rsidR="002703A1" w:rsidRDefault="7554FC82" w:rsidP="002703A1">
      <w:pPr>
        <w:pStyle w:val="Heading2"/>
      </w:pPr>
      <w:r>
        <w:t>What tool is generating this traffic?</w:t>
      </w:r>
    </w:p>
    <w:p w14:paraId="73F83F4C" w14:textId="17620D94" w:rsidR="7554FC82" w:rsidRDefault="7554FC82" w:rsidP="7554FC82">
      <w:pPr>
        <w:ind w:firstLine="576"/>
      </w:pPr>
      <w:r w:rsidRPr="7554FC82">
        <w:t>It's used the nmap tool.</w:t>
      </w:r>
    </w:p>
    <w:p w14:paraId="1476BDEF" w14:textId="5279225F" w:rsidR="002703A1" w:rsidRDefault="7554FC82" w:rsidP="002703A1">
      <w:pPr>
        <w:pStyle w:val="Heading2"/>
      </w:pPr>
      <w:r>
        <w:t>What does this frame constitute the beginning of?</w:t>
      </w:r>
    </w:p>
    <w:p w14:paraId="0C2872AD" w14:textId="035827B1" w:rsidR="00A81B3E" w:rsidRPr="00A81B3E" w:rsidRDefault="00B82341" w:rsidP="00A81B3E">
      <w:pPr>
        <w:ind w:firstLine="576"/>
      </w:pPr>
      <w:r>
        <w:t>Ping Scan</w:t>
      </w:r>
      <w:r w:rsidR="002957C4">
        <w:t xml:space="preserve"> (aka Ping Sweep)</w:t>
      </w:r>
      <w:r w:rsidR="009540C3">
        <w:t xml:space="preserve">: </w:t>
      </w:r>
      <w:r w:rsidR="00AC5E4F">
        <w:t>it scans the entire network</w:t>
      </w:r>
      <w:r w:rsidR="00FA7F51">
        <w:t xml:space="preserve"> searching for </w:t>
      </w:r>
      <w:r w:rsidR="00B557CC">
        <w:t>online</w:t>
      </w:r>
      <w:r w:rsidR="0037741F">
        <w:t xml:space="preserve"> </w:t>
      </w:r>
      <w:r w:rsidR="00B557CC">
        <w:t>hosts</w:t>
      </w:r>
      <w:r w:rsidR="0037741F">
        <w:t>.</w:t>
      </w:r>
    </w:p>
    <w:p w14:paraId="2B574B08" w14:textId="1D0151EB" w:rsidR="002703A1" w:rsidRDefault="7554FC82" w:rsidP="002703A1">
      <w:pPr>
        <w:pStyle w:val="Heading2"/>
      </w:pPr>
      <w:r>
        <w:t>A switch was removed from the command to improve the speed, what was this switch (just the letters, case-sensitive)?</w:t>
      </w:r>
    </w:p>
    <w:p w14:paraId="01B6D4C7" w14:textId="382DBCED" w:rsidR="002703A1" w:rsidRPr="002703A1" w:rsidRDefault="52013A01" w:rsidP="7554FC82">
      <w:pPr>
        <w:ind w:firstLine="576"/>
      </w:pPr>
      <w:r>
        <w:t>-</w:t>
      </w:r>
      <w:r w:rsidRPr="52013A01">
        <w:rPr>
          <w:b/>
          <w:bCs/>
        </w:rPr>
        <w:t>sU</w:t>
      </w:r>
      <w:r>
        <w:t xml:space="preserve">  -&gt; switch to disable UDP scan.</w:t>
      </w:r>
    </w:p>
    <w:p w14:paraId="22F46978" w14:textId="40B3E484" w:rsidR="002703A1" w:rsidRDefault="7554FC82" w:rsidP="002703A1">
      <w:pPr>
        <w:pStyle w:val="Heading2"/>
      </w:pPr>
      <w:r>
        <w:t>What switch was added to the final scan (case-sensitive)?</w:t>
      </w:r>
    </w:p>
    <w:p w14:paraId="1E7974DB" w14:textId="3FDD67C3" w:rsidR="002703A1" w:rsidRPr="00D94E5A" w:rsidRDefault="52013A01" w:rsidP="52013A01">
      <w:pPr>
        <w:ind w:firstLine="576"/>
        <w:sectPr w:rsidR="002703A1" w:rsidRPr="00D94E5A">
          <w:footerReference w:type="default" r:id="rId9"/>
          <w:pgSz w:w="11906" w:h="16838"/>
          <w:pgMar w:top="1440" w:right="1080" w:bottom="1440" w:left="1080" w:header="0" w:footer="709" w:gutter="0"/>
          <w:cols w:space="720"/>
          <w:formProt w:val="0"/>
          <w:docGrid w:linePitch="326" w:charSpace="2047"/>
        </w:sectPr>
      </w:pPr>
      <w:r w:rsidRPr="52013A01">
        <w:rPr>
          <w:b/>
          <w:bCs/>
        </w:rPr>
        <w:t xml:space="preserve">-A </w:t>
      </w:r>
      <w:r>
        <w:t>-&gt; flag that tries to discover, among other things the operating system version.</w:t>
      </w:r>
    </w:p>
    <w:p w14:paraId="42730431" w14:textId="52A4FC8C" w:rsidR="002703A1" w:rsidRPr="002703A1" w:rsidRDefault="002703A1" w:rsidP="002703A1">
      <w:pPr>
        <w:jc w:val="center"/>
        <w:rPr>
          <w:rFonts w:asciiTheme="majorHAnsi" w:hAnsiTheme="majorHAnsi"/>
          <w:b/>
          <w:sz w:val="28"/>
        </w:rPr>
      </w:pPr>
      <w:r w:rsidRPr="002703A1">
        <w:rPr>
          <w:rFonts w:asciiTheme="majorHAnsi" w:hAnsiTheme="majorHAnsi"/>
          <w:b/>
          <w:sz w:val="28"/>
        </w:rPr>
        <w:t>GROUP I</w:t>
      </w:r>
      <w:r>
        <w:rPr>
          <w:rFonts w:asciiTheme="majorHAnsi" w:hAnsiTheme="majorHAnsi"/>
          <w:b/>
          <w:sz w:val="28"/>
        </w:rPr>
        <w:t>I – Website fingerprinting over Tor</w:t>
      </w:r>
    </w:p>
    <w:p w14:paraId="7A0239DE" w14:textId="77777777" w:rsidR="002703A1" w:rsidRPr="002703A1" w:rsidRDefault="002703A1" w:rsidP="002703A1"/>
    <w:p w14:paraId="3ED3B857" w14:textId="31A6534A" w:rsidR="008A0F14" w:rsidRDefault="002703A1" w:rsidP="002703A1">
      <w:pPr>
        <w:pStyle w:val="Heading1"/>
        <w:numPr>
          <w:ilvl w:val="0"/>
          <w:numId w:val="10"/>
        </w:numPr>
      </w:pPr>
      <w:r w:rsidRPr="002703A1">
        <w:t>Indicate: (a) the selected feature set, and (b) the accuracy of your classifier using this feature set. Give</w:t>
      </w:r>
      <w:r>
        <w:t xml:space="preserve"> </w:t>
      </w:r>
      <w:r w:rsidRPr="002703A1">
        <w:t>an account of other features you have tried before converging into this feature set.</w:t>
      </w:r>
      <w:r>
        <w:t xml:space="preserve"> Explain how you’ve modified the source code in order to compute your proposed feature set.</w:t>
      </w:r>
    </w:p>
    <w:p w14:paraId="335192C4" w14:textId="445C23B1" w:rsidR="008A0F14" w:rsidRDefault="4AD0AEE5" w:rsidP="4AD0AEE5">
      <w:pPr>
        <w:ind w:firstLine="576"/>
      </w:pPr>
      <w:r>
        <w:t xml:space="preserve">The main features used were: </w:t>
      </w:r>
      <w:r w:rsidRPr="4AD0AEE5">
        <w:rPr>
          <w:b/>
          <w:bCs/>
        </w:rPr>
        <w:t>number of cells</w:t>
      </w:r>
      <w:r>
        <w:t xml:space="preserve"> in each file, </w:t>
      </w:r>
      <w:r w:rsidRPr="4AD0AEE5">
        <w:rPr>
          <w:b/>
          <w:bCs/>
        </w:rPr>
        <w:t>number of outgoing packets</w:t>
      </w:r>
      <w:r>
        <w:t xml:space="preserve"> per file, </w:t>
      </w:r>
      <w:r w:rsidRPr="4AD0AEE5">
        <w:rPr>
          <w:b/>
          <w:bCs/>
        </w:rPr>
        <w:t>number of ingoing packets</w:t>
      </w:r>
      <w:r>
        <w:t xml:space="preserve"> per file, the </w:t>
      </w:r>
      <w:r w:rsidRPr="4AD0AEE5">
        <w:rPr>
          <w:b/>
          <w:bCs/>
        </w:rPr>
        <w:t>duration of communication</w:t>
      </w:r>
      <w:r>
        <w:t xml:space="preserve"> (timestamp of the last request), and the </w:t>
      </w:r>
      <w:r w:rsidRPr="4AD0AEE5">
        <w:rPr>
          <w:b/>
          <w:bCs/>
        </w:rPr>
        <w:t xml:space="preserve">positions of all </w:t>
      </w:r>
      <w:r>
        <w:t>ingoing and outgoing packets.</w:t>
      </w:r>
    </w:p>
    <w:p w14:paraId="5B53B693" w14:textId="2F58D799" w:rsidR="008A0F14" w:rsidRDefault="4AD0AEE5" w:rsidP="4AD0AEE5">
      <w:pPr>
        <w:ind w:firstLine="576"/>
      </w:pPr>
      <w:r>
        <w:t>More features were used, but they didn´t increased our accuracy, namely:</w:t>
      </w:r>
    </w:p>
    <w:p w14:paraId="30683C73" w14:textId="743C776B" w:rsidR="4AD0AEE5" w:rsidRDefault="714F201A" w:rsidP="6069053E">
      <w:pPr>
        <w:pStyle w:val="ListParagraph"/>
        <w:numPr>
          <w:ilvl w:val="0"/>
          <w:numId w:val="1"/>
        </w:numPr>
      </w:pPr>
      <w:r>
        <w:t>Fraction of outgoing requests.</w:t>
      </w:r>
    </w:p>
    <w:p w14:paraId="2905A8B8" w14:textId="29AF5647" w:rsidR="4AD0AEE5" w:rsidRDefault="714F201A" w:rsidP="6069053E">
      <w:pPr>
        <w:pStyle w:val="ListParagraph"/>
        <w:numPr>
          <w:ilvl w:val="0"/>
          <w:numId w:val="1"/>
        </w:numPr>
      </w:pPr>
      <w:r>
        <w:t>Fraction of ingoing requests.</w:t>
      </w:r>
    </w:p>
    <w:p w14:paraId="2A656F74" w14:textId="60567131" w:rsidR="4AD0AEE5" w:rsidRDefault="714F201A" w:rsidP="6069053E">
      <w:pPr>
        <w:pStyle w:val="ListParagraph"/>
        <w:numPr>
          <w:ilvl w:val="0"/>
          <w:numId w:val="1"/>
        </w:numPr>
      </w:pPr>
      <w:r>
        <w:t>Extract all sequences of outcoming packets and with these values we applied some statistic knowledge (mean, standard deviation, median, 50</w:t>
      </w:r>
      <w:r w:rsidRPr="714F201A">
        <w:rPr>
          <w:vertAlign w:val="superscript"/>
        </w:rPr>
        <w:t>th</w:t>
      </w:r>
      <w:r>
        <w:t xml:space="preserve"> percentile).</w:t>
      </w:r>
    </w:p>
    <w:p w14:paraId="2011F32C" w14:textId="4C024CAA" w:rsidR="4AD0AEE5" w:rsidRDefault="714F201A" w:rsidP="6069053E">
      <w:pPr>
        <w:pStyle w:val="ListParagraph"/>
        <w:numPr>
          <w:ilvl w:val="0"/>
          <w:numId w:val="1"/>
        </w:numPr>
      </w:pPr>
      <w:r>
        <w:t>Do the same for the ingoing packets.</w:t>
      </w:r>
    </w:p>
    <w:p w14:paraId="6387943B" w14:textId="2CB397A1" w:rsidR="4AD0AEE5" w:rsidRDefault="714F201A" w:rsidP="6069053E">
      <w:pPr>
        <w:pStyle w:val="ListParagraph"/>
        <w:numPr>
          <w:ilvl w:val="0"/>
          <w:numId w:val="1"/>
        </w:numPr>
      </w:pPr>
      <w:r>
        <w:t>Calculate the number of requests per second.</w:t>
      </w:r>
    </w:p>
    <w:p w14:paraId="5375608D" w14:textId="1D38A45C" w:rsidR="4AD0AEE5" w:rsidRDefault="714F201A" w:rsidP="6069053E">
      <w:pPr>
        <w:pStyle w:val="ListParagraph"/>
        <w:numPr>
          <w:ilvl w:val="0"/>
          <w:numId w:val="1"/>
        </w:numPr>
      </w:pPr>
      <w:r>
        <w:t>Register the number of requests done in each second and apply some statistic knowledge (mean, standard deviation, median, 50</w:t>
      </w:r>
      <w:r w:rsidRPr="714F201A">
        <w:rPr>
          <w:vertAlign w:val="superscript"/>
        </w:rPr>
        <w:t>th</w:t>
      </w:r>
      <w:r>
        <w:t xml:space="preserve"> percentile).  </w:t>
      </w:r>
    </w:p>
    <w:p w14:paraId="2A3AF73B" w14:textId="1F9F50D3" w:rsidR="4AD0AEE5" w:rsidRDefault="714F201A" w:rsidP="6069053E">
      <w:pPr>
        <w:pStyle w:val="ListParagraph"/>
        <w:numPr>
          <w:ilvl w:val="0"/>
          <w:numId w:val="1"/>
        </w:numPr>
      </w:pPr>
      <w:r>
        <w:t>Maximum number of successive 1s.</w:t>
      </w:r>
    </w:p>
    <w:p w14:paraId="3B8DEA0A" w14:textId="0B598FF1" w:rsidR="4AD0AEE5" w:rsidRDefault="714F201A" w:rsidP="6069053E">
      <w:pPr>
        <w:pStyle w:val="ListParagraph"/>
        <w:numPr>
          <w:ilvl w:val="0"/>
          <w:numId w:val="1"/>
        </w:numPr>
      </w:pPr>
      <w:r>
        <w:t>Maximum number of successive –1s.</w:t>
      </w:r>
    </w:p>
    <w:p w14:paraId="109596CF" w14:textId="33274F20" w:rsidR="4AD0AEE5" w:rsidRDefault="714F201A" w:rsidP="6069053E">
      <w:pPr>
        <w:pStyle w:val="ListParagraph"/>
        <w:numPr>
          <w:ilvl w:val="0"/>
          <w:numId w:val="1"/>
        </w:numPr>
      </w:pPr>
      <w:r>
        <w:t>Number of bursts (n successive ingoing/outgoing requests), where n &gt;1, n &gt; 4, n &gt; 10, n &gt; 20.</w:t>
      </w:r>
    </w:p>
    <w:p w14:paraId="46E428A6" w14:textId="4C35D053" w:rsidR="4AD0AEE5" w:rsidRDefault="714F201A" w:rsidP="6069053E">
      <w:pPr>
        <w:pStyle w:val="ListParagraph"/>
        <w:numPr>
          <w:ilvl w:val="0"/>
          <w:numId w:val="1"/>
        </w:numPr>
      </w:pPr>
      <w:r>
        <w:t xml:space="preserve">We divided our sizes vector in chunks of several sizes (10,20,30,50) without overlapping. For each chunk we counted the number of outgoing requests (at this point we started discarding a bit the ingoing requests because they were a lot more than the outgoing ones) and applied some statistical knowledge as presented before. </w:t>
      </w:r>
    </w:p>
    <w:p w14:paraId="5975AD3F" w14:textId="1EBEE6FB" w:rsidR="4AD0AEE5" w:rsidRDefault="714F201A" w:rsidP="6069053E">
      <w:pPr>
        <w:pStyle w:val="ListParagraph"/>
        <w:numPr>
          <w:ilvl w:val="0"/>
          <w:numId w:val="1"/>
        </w:numPr>
      </w:pPr>
      <w:r>
        <w:t xml:space="preserve">Applied some statistical knowledge on the vectors with positions of outgoing and ingoing requests (each vector stores one type of requests).  </w:t>
      </w:r>
    </w:p>
    <w:p w14:paraId="7119A0B5" w14:textId="678EBCD9" w:rsidR="4AD0AEE5" w:rsidRDefault="714F201A" w:rsidP="6069053E">
      <w:pPr>
        <w:pStyle w:val="ListParagraph"/>
        <w:numPr>
          <w:ilvl w:val="0"/>
          <w:numId w:val="1"/>
        </w:numPr>
      </w:pPr>
      <w:r>
        <w:t xml:space="preserve">Register the direction of first 100 packets (if less </w:t>
      </w:r>
      <w:r w:rsidR="00171749">
        <w:t>than</w:t>
      </w:r>
      <w:r>
        <w:t xml:space="preserve"> 100 packets, padded with 0).</w:t>
      </w:r>
    </w:p>
    <w:p w14:paraId="51BFFD19" w14:textId="62E50267" w:rsidR="4AD0AEE5" w:rsidRDefault="4AD0AEE5" w:rsidP="4AD0AEE5">
      <w:pPr>
        <w:ind w:firstLine="576"/>
      </w:pPr>
      <w:r>
        <w:t>The modification in the source was done exclusively in the file ‘</w:t>
      </w:r>
      <w:r w:rsidRPr="4AD0AEE5">
        <w:rPr>
          <w:rStyle w:val="code0"/>
          <w:sz w:val="20"/>
          <w:szCs w:val="20"/>
        </w:rPr>
        <w:t>fextractor.py</w:t>
      </w:r>
      <w:r>
        <w:t>’. We just added these features to the ‘features’ array.</w:t>
      </w:r>
    </w:p>
    <w:p w14:paraId="400008E4" w14:textId="621377FA" w:rsidR="4AD0AEE5" w:rsidRDefault="4AD0AEE5" w:rsidP="4AD0AEE5"/>
    <w:p w14:paraId="051CD994" w14:textId="54D61E8A" w:rsidR="008A0F14" w:rsidRDefault="008A0F14" w:rsidP="00B9105A">
      <w:pPr>
        <w:pStyle w:val="Heading1"/>
      </w:pPr>
    </w:p>
    <w:p w14:paraId="5F10187F" w14:textId="355E7A1C" w:rsidR="008A0F14" w:rsidRDefault="008A0F14" w:rsidP="008A0F14"/>
    <w:p w14:paraId="047F662F" w14:textId="76FF59BD" w:rsidR="002703A1" w:rsidRDefault="002703A1" w:rsidP="002703A1">
      <w:pPr>
        <w:pStyle w:val="Heading2"/>
      </w:pPr>
      <w:r>
        <w:t xml:space="preserve">Can you spot a trend in the accuracy of the classifier </w:t>
      </w:r>
      <w:r w:rsidR="40EE4FF6">
        <w:t>as k</w:t>
      </w:r>
      <w:r>
        <w:t xml:space="preserve"> increases? Explain the variations observed.</w:t>
      </w:r>
    </w:p>
    <w:p w14:paraId="6CCA4099" w14:textId="77777777" w:rsidR="002703A1" w:rsidRDefault="002703A1" w:rsidP="002703A1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615"/>
        <w:gridCol w:w="1621"/>
        <w:gridCol w:w="1622"/>
        <w:gridCol w:w="1622"/>
        <w:gridCol w:w="1623"/>
        <w:gridCol w:w="1623"/>
      </w:tblGrid>
      <w:tr w:rsidR="002703A1" w14:paraId="6739CB7A" w14:textId="77777777" w:rsidTr="714F2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2BB9B861" w14:textId="07E06915" w:rsidR="002703A1" w:rsidRPr="002703A1" w:rsidRDefault="002703A1" w:rsidP="002703A1">
            <w:pPr>
              <w:rPr>
                <w:b w:val="0"/>
              </w:rPr>
            </w:pPr>
            <w:r w:rsidRPr="002703A1">
              <w:rPr>
                <w:b w:val="0"/>
              </w:rPr>
              <w:t>k</w:t>
            </w:r>
          </w:p>
        </w:tc>
        <w:tc>
          <w:tcPr>
            <w:tcW w:w="1660" w:type="dxa"/>
          </w:tcPr>
          <w:p w14:paraId="0EE32A4C" w14:textId="472C11BC" w:rsidR="002703A1" w:rsidRPr="002703A1" w:rsidRDefault="002703A1" w:rsidP="00270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703A1">
              <w:rPr>
                <w:b w:val="0"/>
              </w:rPr>
              <w:t>1</w:t>
            </w:r>
          </w:p>
        </w:tc>
        <w:tc>
          <w:tcPr>
            <w:tcW w:w="1660" w:type="dxa"/>
          </w:tcPr>
          <w:p w14:paraId="3BDA5CE8" w14:textId="00B1419A" w:rsidR="002703A1" w:rsidRPr="002703A1" w:rsidRDefault="002703A1" w:rsidP="00270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703A1">
              <w:rPr>
                <w:b w:val="0"/>
              </w:rPr>
              <w:t>2</w:t>
            </w:r>
          </w:p>
        </w:tc>
        <w:tc>
          <w:tcPr>
            <w:tcW w:w="1660" w:type="dxa"/>
          </w:tcPr>
          <w:p w14:paraId="432B0C12" w14:textId="2B2E5E6E" w:rsidR="002703A1" w:rsidRPr="002703A1" w:rsidRDefault="002703A1" w:rsidP="00270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703A1">
              <w:rPr>
                <w:b w:val="0"/>
              </w:rPr>
              <w:t>5</w:t>
            </w:r>
          </w:p>
        </w:tc>
        <w:tc>
          <w:tcPr>
            <w:tcW w:w="1661" w:type="dxa"/>
          </w:tcPr>
          <w:p w14:paraId="657AD592" w14:textId="2CE95F41" w:rsidR="002703A1" w:rsidRPr="002703A1" w:rsidRDefault="002703A1" w:rsidP="00270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703A1">
              <w:rPr>
                <w:b w:val="0"/>
              </w:rPr>
              <w:t>10</w:t>
            </w:r>
          </w:p>
        </w:tc>
        <w:tc>
          <w:tcPr>
            <w:tcW w:w="1661" w:type="dxa"/>
          </w:tcPr>
          <w:p w14:paraId="3460235F" w14:textId="0FF815EC" w:rsidR="002703A1" w:rsidRPr="002703A1" w:rsidRDefault="002703A1" w:rsidP="00270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703A1">
              <w:rPr>
                <w:b w:val="0"/>
              </w:rPr>
              <w:t>15</w:t>
            </w:r>
          </w:p>
        </w:tc>
      </w:tr>
      <w:tr w:rsidR="002703A1" w14:paraId="6A84E8B5" w14:textId="77777777" w:rsidTr="714F2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2F3FEA9A" w14:textId="3B6DBDA3" w:rsidR="002703A1" w:rsidRPr="002703A1" w:rsidRDefault="002703A1" w:rsidP="002703A1">
            <w:pPr>
              <w:rPr>
                <w:b w:val="0"/>
              </w:rPr>
            </w:pPr>
            <w:r w:rsidRPr="002703A1">
              <w:rPr>
                <w:b w:val="0"/>
              </w:rPr>
              <w:t>ACC</w:t>
            </w:r>
          </w:p>
        </w:tc>
        <w:tc>
          <w:tcPr>
            <w:tcW w:w="1660" w:type="dxa"/>
          </w:tcPr>
          <w:p w14:paraId="4217E346" w14:textId="7E0D2669" w:rsidR="002703A1" w:rsidRDefault="4AD0AEE5" w:rsidP="00270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0.912</w:t>
            </w:r>
          </w:p>
        </w:tc>
        <w:tc>
          <w:tcPr>
            <w:tcW w:w="1660" w:type="dxa"/>
          </w:tcPr>
          <w:p w14:paraId="2976B94A" w14:textId="35179792" w:rsidR="002703A1" w:rsidRDefault="4AD0AEE5" w:rsidP="00270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0.869</w:t>
            </w:r>
          </w:p>
        </w:tc>
        <w:tc>
          <w:tcPr>
            <w:tcW w:w="1660" w:type="dxa"/>
          </w:tcPr>
          <w:p w14:paraId="4AAF22F3" w14:textId="19BA4549" w:rsidR="002703A1" w:rsidRDefault="4AD0AEE5" w:rsidP="00270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0.797</w:t>
            </w:r>
          </w:p>
        </w:tc>
        <w:tc>
          <w:tcPr>
            <w:tcW w:w="1661" w:type="dxa"/>
          </w:tcPr>
          <w:p w14:paraId="3BDCA0AA" w14:textId="0E0F6384" w:rsidR="002703A1" w:rsidRDefault="4AD0AEE5" w:rsidP="00270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0.715</w:t>
            </w:r>
          </w:p>
        </w:tc>
        <w:tc>
          <w:tcPr>
            <w:tcW w:w="1661" w:type="dxa"/>
          </w:tcPr>
          <w:p w14:paraId="1A0C722D" w14:textId="26340513" w:rsidR="002703A1" w:rsidRDefault="4AD0AEE5" w:rsidP="00270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0.653</w:t>
            </w:r>
          </w:p>
        </w:tc>
      </w:tr>
    </w:tbl>
    <w:p w14:paraId="261D2399" w14:textId="7C10EF90" w:rsidR="002703A1" w:rsidRPr="002703A1" w:rsidRDefault="002703A1" w:rsidP="002703A1">
      <w:pPr>
        <w:jc w:val="center"/>
        <w:rPr>
          <w:b/>
        </w:rPr>
      </w:pPr>
      <w:r w:rsidRPr="002703A1">
        <w:rPr>
          <w:b/>
        </w:rPr>
        <w:t>Table 1</w:t>
      </w:r>
    </w:p>
    <w:p w14:paraId="2D5D3601" w14:textId="284CF848" w:rsidR="002703A1" w:rsidRPr="002703A1" w:rsidRDefault="4AD0AEE5" w:rsidP="4AD0AEE5">
      <w:pPr>
        <w:ind w:firstLine="576"/>
      </w:pPr>
      <w:r>
        <w:t>The accuracy decreases with the increase of k.</w:t>
      </w:r>
    </w:p>
    <w:p w14:paraId="30C36BA3" w14:textId="26D3AD06" w:rsidR="002703A1" w:rsidRPr="002703A1" w:rsidRDefault="4AD0AEE5" w:rsidP="4AD0AEE5">
      <w:pPr>
        <w:ind w:firstLine="576"/>
      </w:pPr>
      <w:r>
        <w:t xml:space="preserve">This can be easily explained. The classifier provided in this lab assigns the testing point to the non-monitored class, if any of k point disagrees. If we increase k, the probability of any k point disagrees also increases, resulting in a failed attribution. The traditional knn, when some k point disagrees, it is used a quorum algorithm based on the distance. </w:t>
      </w:r>
    </w:p>
    <w:p w14:paraId="3DDDD4DD" w14:textId="1D079F30" w:rsidR="000106C9" w:rsidRDefault="4AD0AEE5" w:rsidP="002703A1">
      <w:pPr>
        <w:pStyle w:val="Heading2"/>
      </w:pPr>
      <w:r>
        <w:t>Can you spot any trend in the TPR/FPR trade-off alongside the variation of k and nm? Justify.</w:t>
      </w:r>
    </w:p>
    <w:p w14:paraId="29B8287C" w14:textId="77777777" w:rsidR="002703A1" w:rsidRDefault="002703A1" w:rsidP="002703A1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582"/>
        <w:gridCol w:w="1613"/>
        <w:gridCol w:w="1630"/>
        <w:gridCol w:w="1630"/>
        <w:gridCol w:w="1631"/>
        <w:gridCol w:w="1640"/>
      </w:tblGrid>
      <w:tr w:rsidR="002703A1" w14:paraId="2689312E" w14:textId="77777777" w:rsidTr="714F2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2CFC4BEF" w14:textId="2CFB1A14" w:rsidR="002703A1" w:rsidRPr="002703A1" w:rsidRDefault="002703A1" w:rsidP="002703A1">
            <w:pPr>
              <w:rPr>
                <w:b w:val="0"/>
              </w:rPr>
            </w:pPr>
            <w:r>
              <w:rPr>
                <w:b w:val="0"/>
              </w:rPr>
              <w:t xml:space="preserve">nm% </w:t>
            </w:r>
          </w:p>
        </w:tc>
        <w:tc>
          <w:tcPr>
            <w:tcW w:w="1660" w:type="dxa"/>
          </w:tcPr>
          <w:p w14:paraId="65F9E038" w14:textId="77777777" w:rsidR="002703A1" w:rsidRPr="002703A1" w:rsidRDefault="002703A1" w:rsidP="00E84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703A1">
              <w:rPr>
                <w:b w:val="0"/>
              </w:rPr>
              <w:t>1</w:t>
            </w:r>
          </w:p>
        </w:tc>
        <w:tc>
          <w:tcPr>
            <w:tcW w:w="1660" w:type="dxa"/>
          </w:tcPr>
          <w:p w14:paraId="3E1BC0BA" w14:textId="77777777" w:rsidR="002703A1" w:rsidRPr="002703A1" w:rsidRDefault="002703A1" w:rsidP="00E84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703A1">
              <w:rPr>
                <w:b w:val="0"/>
              </w:rPr>
              <w:t>2</w:t>
            </w:r>
          </w:p>
        </w:tc>
        <w:tc>
          <w:tcPr>
            <w:tcW w:w="1660" w:type="dxa"/>
          </w:tcPr>
          <w:p w14:paraId="49BD6720" w14:textId="77777777" w:rsidR="002703A1" w:rsidRPr="002703A1" w:rsidRDefault="002703A1" w:rsidP="00E84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703A1">
              <w:rPr>
                <w:b w:val="0"/>
              </w:rPr>
              <w:t>5</w:t>
            </w:r>
          </w:p>
        </w:tc>
        <w:tc>
          <w:tcPr>
            <w:tcW w:w="1661" w:type="dxa"/>
          </w:tcPr>
          <w:p w14:paraId="022A2260" w14:textId="77777777" w:rsidR="002703A1" w:rsidRPr="002703A1" w:rsidRDefault="002703A1" w:rsidP="00E84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703A1">
              <w:rPr>
                <w:b w:val="0"/>
              </w:rPr>
              <w:t>10</w:t>
            </w:r>
          </w:p>
        </w:tc>
        <w:tc>
          <w:tcPr>
            <w:tcW w:w="1661" w:type="dxa"/>
          </w:tcPr>
          <w:p w14:paraId="257577FF" w14:textId="77777777" w:rsidR="002703A1" w:rsidRPr="002703A1" w:rsidRDefault="002703A1" w:rsidP="00E84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703A1">
              <w:rPr>
                <w:b w:val="0"/>
              </w:rPr>
              <w:t>15</w:t>
            </w:r>
          </w:p>
        </w:tc>
      </w:tr>
      <w:tr w:rsidR="002703A1" w14:paraId="63F76A90" w14:textId="77777777" w:rsidTr="714F2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78307D63" w14:textId="61E4E79A" w:rsidR="002703A1" w:rsidRPr="002703A1" w:rsidRDefault="002703A1" w:rsidP="00E843AB">
            <w:pPr>
              <w:rPr>
                <w:b w:val="0"/>
              </w:rPr>
            </w:pPr>
            <w:r>
              <w:rPr>
                <w:b w:val="0"/>
              </w:rPr>
              <w:t>0.1</w:t>
            </w:r>
          </w:p>
        </w:tc>
        <w:tc>
          <w:tcPr>
            <w:tcW w:w="1660" w:type="dxa"/>
          </w:tcPr>
          <w:p w14:paraId="77472A56" w14:textId="2DCCFAD8" w:rsidR="002703A1" w:rsidRDefault="4AD0AEE5" w:rsidP="00E84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1.0/0.085</w:t>
            </w:r>
          </w:p>
        </w:tc>
        <w:tc>
          <w:tcPr>
            <w:tcW w:w="1660" w:type="dxa"/>
          </w:tcPr>
          <w:p w14:paraId="00300A53" w14:textId="5D0A9BE2" w:rsidR="002703A1" w:rsidRDefault="4AD0AEE5" w:rsidP="4AD0A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0.889/0.043</w:t>
            </w:r>
          </w:p>
        </w:tc>
        <w:tc>
          <w:tcPr>
            <w:tcW w:w="1660" w:type="dxa"/>
          </w:tcPr>
          <w:p w14:paraId="4E08C6FA" w14:textId="3CCB98D0" w:rsidR="002703A1" w:rsidRDefault="4AD0AEE5" w:rsidP="00E84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0.782/0.013</w:t>
            </w:r>
          </w:p>
        </w:tc>
        <w:tc>
          <w:tcPr>
            <w:tcW w:w="1661" w:type="dxa"/>
          </w:tcPr>
          <w:p w14:paraId="41C640D5" w14:textId="5EFCED1B" w:rsidR="002703A1" w:rsidRDefault="4AD0AEE5" w:rsidP="00E84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0.685/0.007</w:t>
            </w:r>
          </w:p>
        </w:tc>
        <w:tc>
          <w:tcPr>
            <w:tcW w:w="1661" w:type="dxa"/>
          </w:tcPr>
          <w:p w14:paraId="6DB215B3" w14:textId="0DCE690A" w:rsidR="002703A1" w:rsidRDefault="4AD0AEE5" w:rsidP="00E84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0.605/0.0016</w:t>
            </w:r>
          </w:p>
        </w:tc>
      </w:tr>
      <w:tr w:rsidR="002703A1" w14:paraId="520DAD1C" w14:textId="77777777" w:rsidTr="714F2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4D91CE21" w14:textId="71B6F57E" w:rsidR="002703A1" w:rsidRDefault="002703A1" w:rsidP="00E843AB">
            <w:pPr>
              <w:rPr>
                <w:b w:val="0"/>
              </w:rPr>
            </w:pPr>
            <w:r>
              <w:rPr>
                <w:b w:val="0"/>
              </w:rPr>
              <w:t>0.2</w:t>
            </w:r>
          </w:p>
        </w:tc>
        <w:tc>
          <w:tcPr>
            <w:tcW w:w="1660" w:type="dxa"/>
          </w:tcPr>
          <w:p w14:paraId="6D9DB981" w14:textId="7D0587AD" w:rsidR="002703A1" w:rsidRDefault="4AD0AEE5" w:rsidP="00E84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1.0/0.100</w:t>
            </w:r>
          </w:p>
        </w:tc>
        <w:tc>
          <w:tcPr>
            <w:tcW w:w="1660" w:type="dxa"/>
          </w:tcPr>
          <w:p w14:paraId="56E26AD2" w14:textId="7E3FAF3E" w:rsidR="002703A1" w:rsidRDefault="4AD0AEE5" w:rsidP="00E84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0.871/0.041</w:t>
            </w:r>
          </w:p>
        </w:tc>
        <w:tc>
          <w:tcPr>
            <w:tcW w:w="1660" w:type="dxa"/>
          </w:tcPr>
          <w:p w14:paraId="4728D5ED" w14:textId="416DF87E" w:rsidR="002703A1" w:rsidRDefault="4AD0AEE5" w:rsidP="4AD0A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0.753/0.014</w:t>
            </w:r>
          </w:p>
        </w:tc>
        <w:tc>
          <w:tcPr>
            <w:tcW w:w="1661" w:type="dxa"/>
          </w:tcPr>
          <w:p w14:paraId="04A3C48F" w14:textId="516E1481" w:rsidR="002703A1" w:rsidRDefault="4AD0AEE5" w:rsidP="00E84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0.645/0.009</w:t>
            </w:r>
          </w:p>
        </w:tc>
        <w:tc>
          <w:tcPr>
            <w:tcW w:w="1661" w:type="dxa"/>
          </w:tcPr>
          <w:p w14:paraId="19B8652A" w14:textId="02C8FC10" w:rsidR="002703A1" w:rsidRDefault="4AD0AEE5" w:rsidP="00E84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0.569/0.0038</w:t>
            </w:r>
          </w:p>
        </w:tc>
      </w:tr>
      <w:tr w:rsidR="002703A1" w14:paraId="3EFE9A90" w14:textId="77777777" w:rsidTr="714F2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2D62048D" w14:textId="487C6F36" w:rsidR="002703A1" w:rsidRDefault="002703A1" w:rsidP="00E843AB">
            <w:pPr>
              <w:rPr>
                <w:b w:val="0"/>
              </w:rPr>
            </w:pPr>
            <w:r>
              <w:rPr>
                <w:b w:val="0"/>
              </w:rPr>
              <w:t>0.4</w:t>
            </w:r>
          </w:p>
        </w:tc>
        <w:tc>
          <w:tcPr>
            <w:tcW w:w="1660" w:type="dxa"/>
          </w:tcPr>
          <w:p w14:paraId="24554F25" w14:textId="146AD6A7" w:rsidR="002703A1" w:rsidRDefault="4AD0AEE5" w:rsidP="4AD0A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1.0/</w:t>
            </w:r>
            <w:r w:rsidRPr="4AD0AEE5">
              <w:rPr>
                <w:rFonts w:cs="Cambria"/>
                <w:szCs w:val="20"/>
              </w:rPr>
              <w:t>0.109</w:t>
            </w:r>
          </w:p>
        </w:tc>
        <w:tc>
          <w:tcPr>
            <w:tcW w:w="1660" w:type="dxa"/>
          </w:tcPr>
          <w:p w14:paraId="77CA0193" w14:textId="77EB5133" w:rsidR="002703A1" w:rsidRDefault="4AD0AEE5" w:rsidP="00E84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0.850/0.044</w:t>
            </w:r>
          </w:p>
        </w:tc>
        <w:tc>
          <w:tcPr>
            <w:tcW w:w="1660" w:type="dxa"/>
          </w:tcPr>
          <w:p w14:paraId="1BAB5B04" w14:textId="3013E022" w:rsidR="002703A1" w:rsidRDefault="4AD0AEE5" w:rsidP="00E84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0.720/0.013</w:t>
            </w:r>
          </w:p>
        </w:tc>
        <w:tc>
          <w:tcPr>
            <w:tcW w:w="1661" w:type="dxa"/>
          </w:tcPr>
          <w:p w14:paraId="17CF709D" w14:textId="29124478" w:rsidR="002703A1" w:rsidRDefault="6069053E" w:rsidP="00E84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0.603/0.007</w:t>
            </w:r>
          </w:p>
        </w:tc>
        <w:tc>
          <w:tcPr>
            <w:tcW w:w="1661" w:type="dxa"/>
          </w:tcPr>
          <w:p w14:paraId="0C1FE771" w14:textId="2E4A503B" w:rsidR="002703A1" w:rsidRDefault="4AD0AEE5" w:rsidP="00E84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0.521/0.0044</w:t>
            </w:r>
          </w:p>
        </w:tc>
      </w:tr>
      <w:tr w:rsidR="002703A1" w14:paraId="5E3FE4A9" w14:textId="77777777" w:rsidTr="714F2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6F9EDF25" w14:textId="54341A42" w:rsidR="002703A1" w:rsidRDefault="002703A1" w:rsidP="00E843AB">
            <w:pPr>
              <w:rPr>
                <w:b w:val="0"/>
              </w:rPr>
            </w:pPr>
            <w:r>
              <w:rPr>
                <w:b w:val="0"/>
              </w:rPr>
              <w:t>0.6</w:t>
            </w:r>
          </w:p>
        </w:tc>
        <w:tc>
          <w:tcPr>
            <w:tcW w:w="1660" w:type="dxa"/>
          </w:tcPr>
          <w:p w14:paraId="3CE39264" w14:textId="4D633030" w:rsidR="002703A1" w:rsidRDefault="4AD0AEE5" w:rsidP="4AD0A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1.0/</w:t>
            </w:r>
            <w:r w:rsidRPr="4AD0AEE5">
              <w:rPr>
                <w:rFonts w:cs="Cambria"/>
                <w:szCs w:val="20"/>
              </w:rPr>
              <w:t>0.118</w:t>
            </w:r>
          </w:p>
        </w:tc>
        <w:tc>
          <w:tcPr>
            <w:tcW w:w="1660" w:type="dxa"/>
          </w:tcPr>
          <w:p w14:paraId="0173DB3A" w14:textId="69A04ABE" w:rsidR="002703A1" w:rsidRDefault="4AD0AEE5" w:rsidP="00E84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0.837/0.051</w:t>
            </w:r>
          </w:p>
        </w:tc>
        <w:tc>
          <w:tcPr>
            <w:tcW w:w="1660" w:type="dxa"/>
          </w:tcPr>
          <w:p w14:paraId="54ADEBD4" w14:textId="07875328" w:rsidR="002703A1" w:rsidRDefault="4AD0AEE5" w:rsidP="00E84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0.689/0.012</w:t>
            </w:r>
          </w:p>
        </w:tc>
        <w:tc>
          <w:tcPr>
            <w:tcW w:w="1661" w:type="dxa"/>
          </w:tcPr>
          <w:p w14:paraId="2F3D00DB" w14:textId="00EB76C1" w:rsidR="002703A1" w:rsidRDefault="1AABB66F" w:rsidP="00E84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0.572/</w:t>
            </w:r>
            <w:r w:rsidR="5E64C08E">
              <w:t>0.</w:t>
            </w:r>
            <w:r w:rsidR="6772D7FF">
              <w:t>007</w:t>
            </w:r>
          </w:p>
        </w:tc>
        <w:tc>
          <w:tcPr>
            <w:tcW w:w="1661" w:type="dxa"/>
          </w:tcPr>
          <w:p w14:paraId="52569285" w14:textId="351BEE42" w:rsidR="002703A1" w:rsidRDefault="4AD0AEE5" w:rsidP="00E84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0.466/0.0055</w:t>
            </w:r>
          </w:p>
        </w:tc>
      </w:tr>
      <w:tr w:rsidR="002703A1" w14:paraId="6849FA6B" w14:textId="77777777" w:rsidTr="714F2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07403E8B" w14:textId="7918C664" w:rsidR="002703A1" w:rsidRDefault="002703A1" w:rsidP="00E843AB">
            <w:pPr>
              <w:rPr>
                <w:b w:val="0"/>
              </w:rPr>
            </w:pPr>
            <w:r>
              <w:rPr>
                <w:b w:val="0"/>
              </w:rPr>
              <w:t>0.8</w:t>
            </w:r>
          </w:p>
        </w:tc>
        <w:tc>
          <w:tcPr>
            <w:tcW w:w="1660" w:type="dxa"/>
          </w:tcPr>
          <w:p w14:paraId="46AC1610" w14:textId="485C09C6" w:rsidR="002703A1" w:rsidRDefault="4AD0AEE5" w:rsidP="4AD0A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1.0/</w:t>
            </w:r>
            <w:r w:rsidRPr="4AD0AEE5">
              <w:rPr>
                <w:rFonts w:cs="Cambria"/>
                <w:szCs w:val="20"/>
              </w:rPr>
              <w:t>0.127</w:t>
            </w:r>
          </w:p>
        </w:tc>
        <w:tc>
          <w:tcPr>
            <w:tcW w:w="1660" w:type="dxa"/>
          </w:tcPr>
          <w:p w14:paraId="52D74D29" w14:textId="196B8C6A" w:rsidR="002703A1" w:rsidRDefault="4AD0AEE5" w:rsidP="00E84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0.825/0.053</w:t>
            </w:r>
          </w:p>
        </w:tc>
        <w:tc>
          <w:tcPr>
            <w:tcW w:w="1660" w:type="dxa"/>
          </w:tcPr>
          <w:p w14:paraId="28B80692" w14:textId="19445731" w:rsidR="002703A1" w:rsidRDefault="4AD0AEE5" w:rsidP="00E84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0.670/0.015</w:t>
            </w:r>
          </w:p>
        </w:tc>
        <w:tc>
          <w:tcPr>
            <w:tcW w:w="1661" w:type="dxa"/>
          </w:tcPr>
          <w:p w14:paraId="36E0DF5D" w14:textId="475AEBC6" w:rsidR="002703A1" w:rsidRDefault="4992B4D4" w:rsidP="00E84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1360433">
              <w:t>532</w:t>
            </w:r>
            <w:r w:rsidR="7C89A5E9">
              <w:t>/0.007</w:t>
            </w:r>
          </w:p>
        </w:tc>
        <w:tc>
          <w:tcPr>
            <w:tcW w:w="1661" w:type="dxa"/>
          </w:tcPr>
          <w:p w14:paraId="6BE5C1D5" w14:textId="11E5FD11" w:rsidR="002703A1" w:rsidRDefault="4AD0AEE5" w:rsidP="00E84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0.426/0.0055</w:t>
            </w:r>
          </w:p>
        </w:tc>
      </w:tr>
    </w:tbl>
    <w:p w14:paraId="1E390B36" w14:textId="3E2F2C6B" w:rsidR="00524DEA" w:rsidRPr="002703A1" w:rsidRDefault="002703A1" w:rsidP="00524DEA">
      <w:pPr>
        <w:jc w:val="center"/>
        <w:rPr>
          <w:b/>
        </w:rPr>
      </w:pPr>
      <w:r>
        <w:rPr>
          <w:b/>
        </w:rPr>
        <w:t>Table 2</w:t>
      </w:r>
    </w:p>
    <w:p w14:paraId="25BFFDF1" w14:textId="5996674B" w:rsidR="00C7397A" w:rsidRDefault="00C7397A" w:rsidP="002703A1"/>
    <w:p w14:paraId="2ED3792A" w14:textId="371CBFC8" w:rsidR="27431C35" w:rsidRDefault="27431C35" w:rsidP="27431C35">
      <w:pPr>
        <w:ind w:firstLine="576"/>
      </w:pPr>
      <w:r>
        <w:t>Increasing k decreases TPR and FPR. This is explained exactly the same way as in 3.1. With this classifier all k nodes need to agree, if any one doesn’t, then the classifier doesn</w:t>
      </w:r>
      <w:r w:rsidR="00496605">
        <w:t>’</w:t>
      </w:r>
      <w:r>
        <w:t xml:space="preserve">t return a positive classification (See </w:t>
      </w:r>
      <w:r w:rsidRPr="27431C35">
        <w:rPr>
          <w:b/>
          <w:bCs/>
        </w:rPr>
        <w:t>Chart 1</w:t>
      </w:r>
      <w:r>
        <w:t xml:space="preserve">), </w:t>
      </w:r>
      <w:r w:rsidR="082C1123">
        <w:t>decreasing TPR and FPR.</w:t>
      </w:r>
      <w:r w:rsidR="30805C37">
        <w:t xml:space="preserve"> </w:t>
      </w:r>
      <w:r w:rsidR="48CC962F">
        <w:t xml:space="preserve">FPR decreases because in the case of k </w:t>
      </w:r>
      <w:r w:rsidR="4DC87248">
        <w:t>nodes don</w:t>
      </w:r>
      <w:r w:rsidR="00496605">
        <w:t>’</w:t>
      </w:r>
      <w:r w:rsidR="4DC87248">
        <w:t>t agree</w:t>
      </w:r>
      <w:r w:rsidR="1B656ABB">
        <w:t xml:space="preserve"> the </w:t>
      </w:r>
      <w:r w:rsidR="6FEE1CA9">
        <w:t xml:space="preserve">page will be classified as non-monitored, so the case in which we </w:t>
      </w:r>
      <w:r w:rsidR="0737B6B8">
        <w:t xml:space="preserve">blame an innocent has a </w:t>
      </w:r>
      <w:r w:rsidR="5BCB4C32">
        <w:t xml:space="preserve">reduced probability of occurring. </w:t>
      </w:r>
    </w:p>
    <w:p w14:paraId="255AB184" w14:textId="0A0EC346" w:rsidR="45E61FB1" w:rsidRDefault="714F201A" w:rsidP="45E61FB1">
      <w:pPr>
        <w:ind w:firstLine="576"/>
      </w:pPr>
      <w:r>
        <w:t xml:space="preserve">Increasing the percentage of non-monitored pages in training set decreases TPR and increases FPR. TPR decreasing is also easily explained. </w:t>
      </w:r>
      <w:r w:rsidRPr="00AA772D">
        <w:rPr>
          <w:b/>
        </w:rPr>
        <w:t>Increasing %nm</w:t>
      </w:r>
      <w:r>
        <w:t xml:space="preserve"> increases the probability of existing neighbors that are nm, so the probability of having neighbors that disagree are h</w:t>
      </w:r>
      <w:bookmarkStart w:id="0" w:name="_GoBack"/>
      <w:bookmarkEnd w:id="0"/>
      <w:r>
        <w:t xml:space="preserve">igher, leading us (again) to the problem of considering a monitored page as non-monitored resulting in a negative classification. We found out that increasing FPR </w:t>
      </w:r>
      <w:r w:rsidR="003633DF">
        <w:t xml:space="preserve">(See </w:t>
      </w:r>
      <w:r w:rsidR="003633DF" w:rsidRPr="003633DF">
        <w:rPr>
          <w:b/>
        </w:rPr>
        <w:t>Chart 2</w:t>
      </w:r>
      <w:r w:rsidR="003633DF">
        <w:t xml:space="preserve">) </w:t>
      </w:r>
      <w:r>
        <w:t xml:space="preserve">doesn’t make </w:t>
      </w:r>
      <w:r w:rsidR="21DA9350">
        <w:t>much</w:t>
      </w:r>
      <w:r>
        <w:t xml:space="preserve"> sense. If we have more non-monitored </w:t>
      </w:r>
      <w:r w:rsidR="002F629A">
        <w:t>pages,</w:t>
      </w:r>
      <w:r>
        <w:t xml:space="preserve"> it is expected that the number of non-monitored pages classified as monitored pages reduces. We think that this happened because we are talking of really low values, if we test a lot of times it would eventually stabilize and then we would extract the real value of FPR</w:t>
      </w:r>
      <w:r w:rsidR="00292745">
        <w:t>.</w:t>
      </w:r>
    </w:p>
    <w:p w14:paraId="6ABA016F" w14:textId="6DC6557B" w:rsidR="002703A1" w:rsidRDefault="714F201A" w:rsidP="002703A1">
      <w:pPr>
        <w:pStyle w:val="Heading2"/>
      </w:pPr>
      <w:r>
        <w:t>According to your results in Table 2, which configuration leads to a more successful attack? Do you think an attack with such a TPR / FPR trade-off may be effective in practice? Justify.</w:t>
      </w:r>
    </w:p>
    <w:p w14:paraId="5D440810" w14:textId="3CB5EA3C" w:rsidR="4AD0AEE5" w:rsidRDefault="00B16393" w:rsidP="00807524">
      <w:pPr>
        <w:ind w:firstLine="576"/>
      </w:pPr>
      <w:r>
        <w:t>It depends on what is intended by the attacker. In this answer we will assume that our FPR decreases with the increasing of %nm, because it is what makes sense.</w:t>
      </w:r>
    </w:p>
    <w:p w14:paraId="4A8F0CE8" w14:textId="6B711B27" w:rsidR="4AD0AEE5" w:rsidRDefault="008778CA" w:rsidP="714F201A">
      <w:pPr>
        <w:ind w:firstLine="576"/>
      </w:pPr>
      <w:r>
        <w:t>A successful attack</w:t>
      </w:r>
      <w:r w:rsidR="00B16393">
        <w:t xml:space="preserve"> is an attack that have a big TPR. That happens when we have a lower k and a lower %nm. This attack might not be effective in practice because FPR is relatively high, so we have for instance a high probability of blaming an innocent for accessing a webpage distributing child-pornography. It would probably be preferable to decrease a bit the TPR but also decreases FPR, off course the proportions in which we decrease FPR are higher that the proportions in which we decrease TPR.</w:t>
      </w:r>
    </w:p>
    <w:p w14:paraId="005984E4" w14:textId="19758033" w:rsidR="000C44A3" w:rsidRDefault="000C44A3">
      <w:pPr>
        <w:suppressAutoHyphens w:val="0"/>
        <w:spacing w:before="0" w:line="240" w:lineRule="auto"/>
        <w:jc w:val="left"/>
      </w:pPr>
    </w:p>
    <w:p w14:paraId="2C032F3B" w14:textId="4D2B840B" w:rsidR="003C68AC" w:rsidRDefault="003C68AC" w:rsidP="003C68AC">
      <w:pPr>
        <w:pStyle w:val="Subtitle"/>
      </w:pPr>
      <w:r>
        <w:t>Attachment</w:t>
      </w:r>
      <w:r w:rsidR="00C506DF">
        <w:t>s</w:t>
      </w:r>
      <w:r>
        <w:t xml:space="preserve"> </w:t>
      </w:r>
    </w:p>
    <w:p w14:paraId="5380609E" w14:textId="77777777" w:rsidR="0097034D" w:rsidRDefault="0045647D" w:rsidP="0097034D">
      <w:pPr>
        <w:keepNext/>
        <w:jc w:val="center"/>
      </w:pPr>
      <w:r>
        <w:rPr>
          <w:noProof/>
        </w:rPr>
        <w:drawing>
          <wp:inline distT="0" distB="0" distL="0" distR="0" wp14:anchorId="467D2EB2" wp14:editId="4B7543EC">
            <wp:extent cx="4572000" cy="2743200"/>
            <wp:effectExtent l="0" t="0" r="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D6B847B9-9AC7-4DAC-B8E8-F3CAC51496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14C2CD0" w14:textId="618365F5" w:rsidR="4AD0AEE5" w:rsidRDefault="0097034D" w:rsidP="0097034D">
      <w:pPr>
        <w:pStyle w:val="Caption"/>
      </w:pPr>
      <w:r>
        <w:t xml:space="preserve">Chart </w:t>
      </w:r>
      <w:r w:rsidR="00720C60">
        <w:rPr>
          <w:noProof/>
        </w:rPr>
        <w:fldChar w:fldCharType="begin"/>
      </w:r>
      <w:r w:rsidR="00720C60">
        <w:rPr>
          <w:noProof/>
        </w:rPr>
        <w:instrText xml:space="preserve"> SEQ Chart \* ARABIC </w:instrText>
      </w:r>
      <w:r w:rsidR="00720C60">
        <w:rPr>
          <w:noProof/>
        </w:rPr>
        <w:fldChar w:fldCharType="separate"/>
      </w:r>
      <w:r w:rsidR="002A479D">
        <w:rPr>
          <w:noProof/>
        </w:rPr>
        <w:t>1</w:t>
      </w:r>
      <w:r w:rsidR="00720C60">
        <w:rPr>
          <w:noProof/>
        </w:rPr>
        <w:fldChar w:fldCharType="end"/>
      </w:r>
      <w:r>
        <w:t>: True positive rate by k and test set size</w:t>
      </w:r>
    </w:p>
    <w:p w14:paraId="5FAFBA82" w14:textId="35E99383" w:rsidR="0045647D" w:rsidRDefault="0045647D" w:rsidP="0045647D">
      <w:pPr>
        <w:jc w:val="center"/>
      </w:pPr>
    </w:p>
    <w:p w14:paraId="7129C002" w14:textId="77777777" w:rsidR="0097034D" w:rsidRDefault="0097034D" w:rsidP="0097034D">
      <w:pPr>
        <w:keepNext/>
        <w:jc w:val="center"/>
      </w:pPr>
      <w:r>
        <w:rPr>
          <w:noProof/>
        </w:rPr>
        <w:drawing>
          <wp:inline distT="0" distB="0" distL="0" distR="0" wp14:anchorId="4B10144F" wp14:editId="42E801A7">
            <wp:extent cx="4572000" cy="2743200"/>
            <wp:effectExtent l="0" t="0" r="0" b="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1926964B-D6D4-4A43-B200-65D609CE75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7B6F1D3" w14:textId="620ADF90" w:rsidR="0045647D" w:rsidRDefault="0097034D" w:rsidP="0097034D">
      <w:pPr>
        <w:pStyle w:val="Caption"/>
      </w:pPr>
      <w:r>
        <w:t xml:space="preserve">Chart </w:t>
      </w:r>
      <w:r w:rsidR="00720C60">
        <w:rPr>
          <w:noProof/>
        </w:rPr>
        <w:fldChar w:fldCharType="begin"/>
      </w:r>
      <w:r w:rsidR="00720C60">
        <w:rPr>
          <w:noProof/>
        </w:rPr>
        <w:instrText xml:space="preserve"> SEQ Chart \* ARABIC </w:instrText>
      </w:r>
      <w:r w:rsidR="00720C60">
        <w:rPr>
          <w:noProof/>
        </w:rPr>
        <w:fldChar w:fldCharType="separate"/>
      </w:r>
      <w:r w:rsidR="002A479D">
        <w:rPr>
          <w:noProof/>
        </w:rPr>
        <w:t>2</w:t>
      </w:r>
      <w:r w:rsidR="00720C60">
        <w:rPr>
          <w:noProof/>
        </w:rPr>
        <w:fldChar w:fldCharType="end"/>
      </w:r>
      <w:r>
        <w:t>: False positive rate by k and test set size</w:t>
      </w:r>
    </w:p>
    <w:sectPr w:rsidR="0045647D">
      <w:pgSz w:w="11906" w:h="16838"/>
      <w:pgMar w:top="1440" w:right="1080" w:bottom="1440" w:left="1080" w:header="0" w:footer="709" w:gutter="0"/>
      <w:cols w:space="720"/>
      <w:formProt w:val="0"/>
      <w:docGrid w:linePitch="326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E7E11" w14:textId="77777777" w:rsidR="00E64F6B" w:rsidRDefault="00E64F6B">
      <w:pPr>
        <w:spacing w:before="0" w:line="240" w:lineRule="auto"/>
      </w:pPr>
      <w:r>
        <w:separator/>
      </w:r>
    </w:p>
  </w:endnote>
  <w:endnote w:type="continuationSeparator" w:id="0">
    <w:p w14:paraId="3FAF99E1" w14:textId="77777777" w:rsidR="00E64F6B" w:rsidRDefault="00E64F6B">
      <w:pPr>
        <w:spacing w:before="0" w:line="240" w:lineRule="auto"/>
      </w:pPr>
      <w:r>
        <w:continuationSeparator/>
      </w:r>
    </w:p>
  </w:endnote>
  <w:endnote w:type="continuationNotice" w:id="1">
    <w:p w14:paraId="2DE9AA26" w14:textId="77777777" w:rsidR="00E64F6B" w:rsidRDefault="00E64F6B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38225" w14:textId="4345F632" w:rsidR="001C76F2" w:rsidRDefault="005D1CCC">
    <w:pPr>
      <w:pStyle w:val="Footer"/>
    </w:pPr>
    <w:r>
      <w:rPr>
        <w:noProof/>
      </w:rPr>
      <mc:AlternateContent>
        <mc:Choice Requires="wps">
          <w:drawing>
            <wp:anchor distT="0" distB="0" distL="4294966661" distR="4294966661" simplePos="0" relativeHeight="251658240" behindDoc="0" locked="0" layoutInCell="1" allowOverlap="1" wp14:anchorId="0B5C9C02" wp14:editId="5DD158BB">
              <wp:simplePos x="0" y="0"/>
              <wp:positionH relativeFrom="column">
                <wp:posOffset>3053715</wp:posOffset>
              </wp:positionH>
              <wp:positionV relativeFrom="paragraph">
                <wp:posOffset>635</wp:posOffset>
              </wp:positionV>
              <wp:extent cx="81280" cy="224155"/>
              <wp:effectExtent l="5715" t="635" r="14605" b="16510"/>
              <wp:wrapSquare wrapText="bothSides"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280" cy="2241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D9C17B" w14:textId="12FC4656" w:rsidR="001C76F2" w:rsidRDefault="001C76F2">
                          <w:pPr>
                            <w:pStyle w:val="Footer"/>
                            <w:pBdr>
                              <w:top w:val="nil"/>
                              <w:left w:val="nil"/>
                              <w:bottom w:val="nil"/>
                              <w:right w:val="nil"/>
                            </w:pBdr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2703A1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5C9C02" id="Rectangle 1" o:spid="_x0000_s1026" style="position:absolute;left:0;text-align:left;margin-left:240.45pt;margin-top:.05pt;width:6.4pt;height:17.65pt;z-index:251658240;visibility:visible;mso-wrap-style:square;mso-width-percent:0;mso-height-percent:0;mso-wrap-distance-left:-.05pt;mso-wrap-distance-top:0;mso-wrap-distance-right:-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" strokeweight="0">
              <v:fill opacity="0"/>
              <v:textbox inset="0,0,0,0">
                <w:txbxContent>
                  <w:p w14:paraId="7AD9C17B" w14:textId="12FC4656" w:rsidR="001C76F2" w:rsidRDefault="001C76F2">
                    <w:pPr>
                      <w:pStyle w:val="Footer"/>
                      <w:pBdr>
                        <w:top w:val="nil"/>
                        <w:left w:val="nil"/>
                        <w:bottom w:val="nil"/>
                        <w:right w:val="nil"/>
                      </w:pBdr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2703A1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  <w:p w14:paraId="0C048F06" w14:textId="77777777" w:rsidR="001C76F2" w:rsidRDefault="001C76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32E5F" w14:textId="77777777" w:rsidR="00E64F6B" w:rsidRDefault="00E64F6B">
      <w:pPr>
        <w:spacing w:before="0" w:line="240" w:lineRule="auto"/>
      </w:pPr>
      <w:r>
        <w:separator/>
      </w:r>
    </w:p>
  </w:footnote>
  <w:footnote w:type="continuationSeparator" w:id="0">
    <w:p w14:paraId="28EE1156" w14:textId="77777777" w:rsidR="00E64F6B" w:rsidRDefault="00E64F6B">
      <w:pPr>
        <w:spacing w:before="0" w:line="240" w:lineRule="auto"/>
      </w:pPr>
      <w:r>
        <w:continuationSeparator/>
      </w:r>
    </w:p>
  </w:footnote>
  <w:footnote w:type="continuationNotice" w:id="1">
    <w:p w14:paraId="57B9B2C7" w14:textId="77777777" w:rsidR="00E64F6B" w:rsidRDefault="00E64F6B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D3B28"/>
    <w:multiLevelType w:val="multilevel"/>
    <w:tmpl w:val="83D64A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99345BD"/>
    <w:multiLevelType w:val="multilevel"/>
    <w:tmpl w:val="F954D18E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973485"/>
    <w:multiLevelType w:val="hybridMultilevel"/>
    <w:tmpl w:val="FFFFFFFF"/>
    <w:lvl w:ilvl="0" w:tplc="0AA835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02F0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7ED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EA0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DE2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46A1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92D2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E216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945B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471D3"/>
    <w:multiLevelType w:val="multilevel"/>
    <w:tmpl w:val="DD941E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1017DA9"/>
    <w:multiLevelType w:val="hybridMultilevel"/>
    <w:tmpl w:val="101E8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94B4D"/>
    <w:multiLevelType w:val="multilevel"/>
    <w:tmpl w:val="1104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17F0A1C"/>
    <w:multiLevelType w:val="multilevel"/>
    <w:tmpl w:val="F954D18E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28B0F52"/>
    <w:multiLevelType w:val="hybridMultilevel"/>
    <w:tmpl w:val="BAF49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6A5651"/>
    <w:multiLevelType w:val="hybridMultilevel"/>
    <w:tmpl w:val="2CE4AB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4"/>
  </w:num>
  <w:num w:numId="9">
    <w:abstractNumId w:val="7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defaultTabStop w:val="720"/>
  <w:autoHyphenation/>
  <w:hyphenationZone w:val="357"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C9"/>
    <w:rsid w:val="000106C9"/>
    <w:rsid w:val="000124CD"/>
    <w:rsid w:val="00022A72"/>
    <w:rsid w:val="0004575C"/>
    <w:rsid w:val="00046DD4"/>
    <w:rsid w:val="0004767F"/>
    <w:rsid w:val="000536F5"/>
    <w:rsid w:val="000543C2"/>
    <w:rsid w:val="00054DE6"/>
    <w:rsid w:val="000579B8"/>
    <w:rsid w:val="00061179"/>
    <w:rsid w:val="00061225"/>
    <w:rsid w:val="00064274"/>
    <w:rsid w:val="00074EAD"/>
    <w:rsid w:val="00077B2F"/>
    <w:rsid w:val="00082D77"/>
    <w:rsid w:val="00084207"/>
    <w:rsid w:val="00087B1C"/>
    <w:rsid w:val="00093B21"/>
    <w:rsid w:val="000979DE"/>
    <w:rsid w:val="000A28FF"/>
    <w:rsid w:val="000A56FA"/>
    <w:rsid w:val="000B015B"/>
    <w:rsid w:val="000B0A14"/>
    <w:rsid w:val="000B22DE"/>
    <w:rsid w:val="000C44A3"/>
    <w:rsid w:val="000E14A2"/>
    <w:rsid w:val="00116994"/>
    <w:rsid w:val="00144DB4"/>
    <w:rsid w:val="00152927"/>
    <w:rsid w:val="00154880"/>
    <w:rsid w:val="00154A3E"/>
    <w:rsid w:val="00155B59"/>
    <w:rsid w:val="00171749"/>
    <w:rsid w:val="00176FA5"/>
    <w:rsid w:val="00193E03"/>
    <w:rsid w:val="00197BCC"/>
    <w:rsid w:val="001A57EC"/>
    <w:rsid w:val="001B6C6B"/>
    <w:rsid w:val="001C1BD4"/>
    <w:rsid w:val="001C76F2"/>
    <w:rsid w:val="001D24CB"/>
    <w:rsid w:val="001D3B4A"/>
    <w:rsid w:val="001E226E"/>
    <w:rsid w:val="00213973"/>
    <w:rsid w:val="00216FAE"/>
    <w:rsid w:val="00222E10"/>
    <w:rsid w:val="0022363D"/>
    <w:rsid w:val="00227FD9"/>
    <w:rsid w:val="00231EFB"/>
    <w:rsid w:val="00235A54"/>
    <w:rsid w:val="00241FEB"/>
    <w:rsid w:val="00251AD5"/>
    <w:rsid w:val="002703A1"/>
    <w:rsid w:val="00274490"/>
    <w:rsid w:val="00283E61"/>
    <w:rsid w:val="00287B45"/>
    <w:rsid w:val="00291481"/>
    <w:rsid w:val="00292745"/>
    <w:rsid w:val="0029452E"/>
    <w:rsid w:val="0029549C"/>
    <w:rsid w:val="002957C4"/>
    <w:rsid w:val="002A479D"/>
    <w:rsid w:val="002A6D38"/>
    <w:rsid w:val="002A78AE"/>
    <w:rsid w:val="002C1992"/>
    <w:rsid w:val="002D3C7C"/>
    <w:rsid w:val="002F2EA4"/>
    <w:rsid w:val="002F34F5"/>
    <w:rsid w:val="002F629A"/>
    <w:rsid w:val="003078B1"/>
    <w:rsid w:val="0035099F"/>
    <w:rsid w:val="003633DF"/>
    <w:rsid w:val="003716F1"/>
    <w:rsid w:val="00374E85"/>
    <w:rsid w:val="0037741F"/>
    <w:rsid w:val="00393378"/>
    <w:rsid w:val="003B7F36"/>
    <w:rsid w:val="003C1CFF"/>
    <w:rsid w:val="003C68AC"/>
    <w:rsid w:val="003D326B"/>
    <w:rsid w:val="003E137A"/>
    <w:rsid w:val="004107CF"/>
    <w:rsid w:val="00413EC1"/>
    <w:rsid w:val="00426F51"/>
    <w:rsid w:val="00443622"/>
    <w:rsid w:val="0045647D"/>
    <w:rsid w:val="004632A0"/>
    <w:rsid w:val="00464512"/>
    <w:rsid w:val="00467616"/>
    <w:rsid w:val="00484F0D"/>
    <w:rsid w:val="00490A7D"/>
    <w:rsid w:val="00495A62"/>
    <w:rsid w:val="00496605"/>
    <w:rsid w:val="004B1367"/>
    <w:rsid w:val="004E6C5A"/>
    <w:rsid w:val="004F3A6B"/>
    <w:rsid w:val="00500116"/>
    <w:rsid w:val="00501100"/>
    <w:rsid w:val="0050471A"/>
    <w:rsid w:val="00506B19"/>
    <w:rsid w:val="00512C3A"/>
    <w:rsid w:val="00513529"/>
    <w:rsid w:val="00514DFB"/>
    <w:rsid w:val="0052481F"/>
    <w:rsid w:val="00524DEA"/>
    <w:rsid w:val="00532EAB"/>
    <w:rsid w:val="00567D47"/>
    <w:rsid w:val="00574640"/>
    <w:rsid w:val="005926C9"/>
    <w:rsid w:val="005948E0"/>
    <w:rsid w:val="005A01EE"/>
    <w:rsid w:val="005A0285"/>
    <w:rsid w:val="005A3132"/>
    <w:rsid w:val="005B0A4C"/>
    <w:rsid w:val="005B0C34"/>
    <w:rsid w:val="005B340D"/>
    <w:rsid w:val="005C605B"/>
    <w:rsid w:val="005C66BE"/>
    <w:rsid w:val="005C7BF9"/>
    <w:rsid w:val="005D1CCC"/>
    <w:rsid w:val="005D648D"/>
    <w:rsid w:val="006018F4"/>
    <w:rsid w:val="00610AFD"/>
    <w:rsid w:val="00616FC3"/>
    <w:rsid w:val="0062070F"/>
    <w:rsid w:val="00620B35"/>
    <w:rsid w:val="0062204E"/>
    <w:rsid w:val="006264AE"/>
    <w:rsid w:val="006264B5"/>
    <w:rsid w:val="00633511"/>
    <w:rsid w:val="00640529"/>
    <w:rsid w:val="00641DC1"/>
    <w:rsid w:val="00650BB2"/>
    <w:rsid w:val="00665885"/>
    <w:rsid w:val="00667FAD"/>
    <w:rsid w:val="00683376"/>
    <w:rsid w:val="00685424"/>
    <w:rsid w:val="00690876"/>
    <w:rsid w:val="006D7E1C"/>
    <w:rsid w:val="006E2A70"/>
    <w:rsid w:val="006E6BF2"/>
    <w:rsid w:val="006F76B9"/>
    <w:rsid w:val="00710650"/>
    <w:rsid w:val="0071098F"/>
    <w:rsid w:val="00720C60"/>
    <w:rsid w:val="00747D98"/>
    <w:rsid w:val="00750F0D"/>
    <w:rsid w:val="00757C19"/>
    <w:rsid w:val="00763558"/>
    <w:rsid w:val="00775808"/>
    <w:rsid w:val="007A6F1C"/>
    <w:rsid w:val="007A7440"/>
    <w:rsid w:val="007B0B88"/>
    <w:rsid w:val="007B19BE"/>
    <w:rsid w:val="007B28B8"/>
    <w:rsid w:val="007E3DD8"/>
    <w:rsid w:val="007F60C5"/>
    <w:rsid w:val="00804443"/>
    <w:rsid w:val="00807524"/>
    <w:rsid w:val="00815C6D"/>
    <w:rsid w:val="00826CE9"/>
    <w:rsid w:val="008520F6"/>
    <w:rsid w:val="00856A31"/>
    <w:rsid w:val="00857705"/>
    <w:rsid w:val="00857F47"/>
    <w:rsid w:val="00874A00"/>
    <w:rsid w:val="008766C5"/>
    <w:rsid w:val="008778CA"/>
    <w:rsid w:val="00892491"/>
    <w:rsid w:val="008A0F14"/>
    <w:rsid w:val="008A7139"/>
    <w:rsid w:val="008B3910"/>
    <w:rsid w:val="008C34C0"/>
    <w:rsid w:val="008C47CA"/>
    <w:rsid w:val="008E2AAF"/>
    <w:rsid w:val="008E728A"/>
    <w:rsid w:val="008F03AD"/>
    <w:rsid w:val="008F2BEF"/>
    <w:rsid w:val="00901704"/>
    <w:rsid w:val="00905488"/>
    <w:rsid w:val="0091082C"/>
    <w:rsid w:val="00923522"/>
    <w:rsid w:val="00932BB0"/>
    <w:rsid w:val="00942B4D"/>
    <w:rsid w:val="009540C3"/>
    <w:rsid w:val="00955F17"/>
    <w:rsid w:val="009652BD"/>
    <w:rsid w:val="0097034D"/>
    <w:rsid w:val="0097601B"/>
    <w:rsid w:val="00981437"/>
    <w:rsid w:val="0098143D"/>
    <w:rsid w:val="00991874"/>
    <w:rsid w:val="009951E7"/>
    <w:rsid w:val="00996328"/>
    <w:rsid w:val="009967B9"/>
    <w:rsid w:val="009B034B"/>
    <w:rsid w:val="00A008E7"/>
    <w:rsid w:val="00A04A5B"/>
    <w:rsid w:val="00A10325"/>
    <w:rsid w:val="00A122E9"/>
    <w:rsid w:val="00A23E6E"/>
    <w:rsid w:val="00A313E6"/>
    <w:rsid w:val="00A31F05"/>
    <w:rsid w:val="00A32A4B"/>
    <w:rsid w:val="00A35C71"/>
    <w:rsid w:val="00A4514A"/>
    <w:rsid w:val="00A522CE"/>
    <w:rsid w:val="00A6005B"/>
    <w:rsid w:val="00A607D1"/>
    <w:rsid w:val="00A72A43"/>
    <w:rsid w:val="00A77448"/>
    <w:rsid w:val="00A77B6E"/>
    <w:rsid w:val="00A81B3E"/>
    <w:rsid w:val="00A83DEC"/>
    <w:rsid w:val="00A90021"/>
    <w:rsid w:val="00A93F97"/>
    <w:rsid w:val="00A95B1D"/>
    <w:rsid w:val="00AA3D4C"/>
    <w:rsid w:val="00AA772D"/>
    <w:rsid w:val="00AB7ADB"/>
    <w:rsid w:val="00AC5E4F"/>
    <w:rsid w:val="00AD02F7"/>
    <w:rsid w:val="00AD38FC"/>
    <w:rsid w:val="00AD5574"/>
    <w:rsid w:val="00AE3D34"/>
    <w:rsid w:val="00AF0878"/>
    <w:rsid w:val="00AF2A6B"/>
    <w:rsid w:val="00AF35FA"/>
    <w:rsid w:val="00B07281"/>
    <w:rsid w:val="00B1392A"/>
    <w:rsid w:val="00B16393"/>
    <w:rsid w:val="00B16E92"/>
    <w:rsid w:val="00B20433"/>
    <w:rsid w:val="00B26428"/>
    <w:rsid w:val="00B2787B"/>
    <w:rsid w:val="00B31B28"/>
    <w:rsid w:val="00B40458"/>
    <w:rsid w:val="00B4383B"/>
    <w:rsid w:val="00B44ED2"/>
    <w:rsid w:val="00B557CC"/>
    <w:rsid w:val="00B65911"/>
    <w:rsid w:val="00B66582"/>
    <w:rsid w:val="00B72F00"/>
    <w:rsid w:val="00B80C6A"/>
    <w:rsid w:val="00B82341"/>
    <w:rsid w:val="00B82349"/>
    <w:rsid w:val="00B8661D"/>
    <w:rsid w:val="00B8C35C"/>
    <w:rsid w:val="00B9105A"/>
    <w:rsid w:val="00BD359C"/>
    <w:rsid w:val="00BE5152"/>
    <w:rsid w:val="00BF577C"/>
    <w:rsid w:val="00C0734B"/>
    <w:rsid w:val="00C0793D"/>
    <w:rsid w:val="00C07E2A"/>
    <w:rsid w:val="00C27772"/>
    <w:rsid w:val="00C36FAB"/>
    <w:rsid w:val="00C47EA1"/>
    <w:rsid w:val="00C506DF"/>
    <w:rsid w:val="00C551A6"/>
    <w:rsid w:val="00C72C33"/>
    <w:rsid w:val="00C73214"/>
    <w:rsid w:val="00C7397A"/>
    <w:rsid w:val="00C806FD"/>
    <w:rsid w:val="00C879C4"/>
    <w:rsid w:val="00C970EB"/>
    <w:rsid w:val="00C97D6C"/>
    <w:rsid w:val="00CB5C79"/>
    <w:rsid w:val="00CD2505"/>
    <w:rsid w:val="00CF5B92"/>
    <w:rsid w:val="00CF7BCA"/>
    <w:rsid w:val="00D0532C"/>
    <w:rsid w:val="00D0595E"/>
    <w:rsid w:val="00D065FA"/>
    <w:rsid w:val="00D14C90"/>
    <w:rsid w:val="00D15D65"/>
    <w:rsid w:val="00D20685"/>
    <w:rsid w:val="00D21550"/>
    <w:rsid w:val="00D5384B"/>
    <w:rsid w:val="00D543E1"/>
    <w:rsid w:val="00D5791C"/>
    <w:rsid w:val="00D642A2"/>
    <w:rsid w:val="00D84F16"/>
    <w:rsid w:val="00D94514"/>
    <w:rsid w:val="00D94E5A"/>
    <w:rsid w:val="00DA2556"/>
    <w:rsid w:val="00DA628D"/>
    <w:rsid w:val="00DB2EB8"/>
    <w:rsid w:val="00DB5071"/>
    <w:rsid w:val="00DD6FE6"/>
    <w:rsid w:val="00DE27BE"/>
    <w:rsid w:val="00DE407F"/>
    <w:rsid w:val="00DF2C23"/>
    <w:rsid w:val="00E12780"/>
    <w:rsid w:val="00E12F06"/>
    <w:rsid w:val="00E45516"/>
    <w:rsid w:val="00E52180"/>
    <w:rsid w:val="00E607F2"/>
    <w:rsid w:val="00E64F6B"/>
    <w:rsid w:val="00E760B3"/>
    <w:rsid w:val="00E83C86"/>
    <w:rsid w:val="00E843AB"/>
    <w:rsid w:val="00EA04DE"/>
    <w:rsid w:val="00EA1ECB"/>
    <w:rsid w:val="00EA3A7C"/>
    <w:rsid w:val="00EA6134"/>
    <w:rsid w:val="00EB0CEC"/>
    <w:rsid w:val="00EB4582"/>
    <w:rsid w:val="00EB6F1F"/>
    <w:rsid w:val="00EC0EC0"/>
    <w:rsid w:val="00EF6F60"/>
    <w:rsid w:val="00F166FD"/>
    <w:rsid w:val="00F406C7"/>
    <w:rsid w:val="00F41A25"/>
    <w:rsid w:val="00F52BDE"/>
    <w:rsid w:val="00F65BE2"/>
    <w:rsid w:val="00F67747"/>
    <w:rsid w:val="00F94AB9"/>
    <w:rsid w:val="00FA7F51"/>
    <w:rsid w:val="00FC17E8"/>
    <w:rsid w:val="00FD67D5"/>
    <w:rsid w:val="00FD6DE2"/>
    <w:rsid w:val="00FE1423"/>
    <w:rsid w:val="00FF5591"/>
    <w:rsid w:val="00FF70A2"/>
    <w:rsid w:val="01360433"/>
    <w:rsid w:val="03503E7F"/>
    <w:rsid w:val="0737B6B8"/>
    <w:rsid w:val="07D2DAB1"/>
    <w:rsid w:val="082C1123"/>
    <w:rsid w:val="0AA0A65E"/>
    <w:rsid w:val="0B2C27D3"/>
    <w:rsid w:val="0B581E9E"/>
    <w:rsid w:val="0D5872D0"/>
    <w:rsid w:val="0DDEFB1E"/>
    <w:rsid w:val="12601CDF"/>
    <w:rsid w:val="15E0E9A8"/>
    <w:rsid w:val="17ECEFF2"/>
    <w:rsid w:val="1803BA6F"/>
    <w:rsid w:val="1873E878"/>
    <w:rsid w:val="19976B74"/>
    <w:rsid w:val="1AABB66F"/>
    <w:rsid w:val="1B656ABB"/>
    <w:rsid w:val="1B77CD22"/>
    <w:rsid w:val="1B8C9F61"/>
    <w:rsid w:val="1CA2735B"/>
    <w:rsid w:val="1E62EF11"/>
    <w:rsid w:val="1F3758EC"/>
    <w:rsid w:val="20E60CEB"/>
    <w:rsid w:val="21DA9350"/>
    <w:rsid w:val="222B3C47"/>
    <w:rsid w:val="23B13E4A"/>
    <w:rsid w:val="247EF427"/>
    <w:rsid w:val="272A1755"/>
    <w:rsid w:val="27431C35"/>
    <w:rsid w:val="27B50152"/>
    <w:rsid w:val="296C618D"/>
    <w:rsid w:val="2B668310"/>
    <w:rsid w:val="2E99690D"/>
    <w:rsid w:val="30805C37"/>
    <w:rsid w:val="31C6E79D"/>
    <w:rsid w:val="32963BA9"/>
    <w:rsid w:val="34F041E5"/>
    <w:rsid w:val="37920C2F"/>
    <w:rsid w:val="3A67CFFA"/>
    <w:rsid w:val="3C5EE293"/>
    <w:rsid w:val="407CE3A9"/>
    <w:rsid w:val="409C0414"/>
    <w:rsid w:val="40EE4FF6"/>
    <w:rsid w:val="420979AB"/>
    <w:rsid w:val="44101306"/>
    <w:rsid w:val="45E61FB1"/>
    <w:rsid w:val="48CC962F"/>
    <w:rsid w:val="4992B4D4"/>
    <w:rsid w:val="4A6BBBD3"/>
    <w:rsid w:val="4AD0AEE5"/>
    <w:rsid w:val="4D0A5EEF"/>
    <w:rsid w:val="4D2C0B4F"/>
    <w:rsid w:val="4DB5C65C"/>
    <w:rsid w:val="4DC87248"/>
    <w:rsid w:val="50AD03B6"/>
    <w:rsid w:val="514F817E"/>
    <w:rsid w:val="52013A01"/>
    <w:rsid w:val="5201DA52"/>
    <w:rsid w:val="55904357"/>
    <w:rsid w:val="57279324"/>
    <w:rsid w:val="5752C3D9"/>
    <w:rsid w:val="59A7D79C"/>
    <w:rsid w:val="5B9B4AFF"/>
    <w:rsid w:val="5BCB4C32"/>
    <w:rsid w:val="5E64C08E"/>
    <w:rsid w:val="5F84477B"/>
    <w:rsid w:val="6069053E"/>
    <w:rsid w:val="62ABA985"/>
    <w:rsid w:val="62FDE9D4"/>
    <w:rsid w:val="6423650E"/>
    <w:rsid w:val="64D15C31"/>
    <w:rsid w:val="66ECA8C7"/>
    <w:rsid w:val="6772D7FF"/>
    <w:rsid w:val="67DB4670"/>
    <w:rsid w:val="69B08EB0"/>
    <w:rsid w:val="6AF1024C"/>
    <w:rsid w:val="6B7B22FB"/>
    <w:rsid w:val="6C69EDC0"/>
    <w:rsid w:val="6CF1741F"/>
    <w:rsid w:val="6E448DF2"/>
    <w:rsid w:val="6EB2C3BD"/>
    <w:rsid w:val="6F385B7D"/>
    <w:rsid w:val="6FEE1CA9"/>
    <w:rsid w:val="714F201A"/>
    <w:rsid w:val="72E9AB65"/>
    <w:rsid w:val="7554FC82"/>
    <w:rsid w:val="763FBB88"/>
    <w:rsid w:val="764CDD50"/>
    <w:rsid w:val="7656F78E"/>
    <w:rsid w:val="7784039B"/>
    <w:rsid w:val="793B8B14"/>
    <w:rsid w:val="7A04EAD3"/>
    <w:rsid w:val="7A8D77EB"/>
    <w:rsid w:val="7C89A5E9"/>
    <w:rsid w:val="7CBA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37CE91BA"/>
  <w15:docId w15:val="{1D4A1946-62B7-4665-B84E-BE117D07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99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63515"/>
    <w:pPr>
      <w:suppressAutoHyphens/>
      <w:spacing w:before="120" w:line="276" w:lineRule="auto"/>
      <w:jc w:val="both"/>
    </w:pPr>
    <w:rPr>
      <w:color w:val="00000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529"/>
    <w:pPr>
      <w:keepNext/>
      <w:keepLines/>
      <w:numPr>
        <w:numId w:val="6"/>
      </w:numPr>
      <w:spacing w:before="280"/>
      <w:outlineLvl w:val="0"/>
    </w:pPr>
    <w:rPr>
      <w:rFonts w:ascii="Calibri" w:eastAsia="MS Gothic" w:hAnsi="Calibri"/>
      <w:b/>
      <w:bCs/>
      <w:color w:val="345A8A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3529"/>
    <w:pPr>
      <w:keepNext/>
      <w:keepLines/>
      <w:numPr>
        <w:ilvl w:val="1"/>
        <w:numId w:val="6"/>
      </w:numPr>
      <w:spacing w:before="20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513529"/>
    <w:pPr>
      <w:keepNext/>
      <w:keepLines/>
      <w:numPr>
        <w:ilvl w:val="2"/>
        <w:numId w:val="6"/>
      </w:numPr>
      <w:spacing w:before="200"/>
      <w:outlineLvl w:val="2"/>
    </w:pPr>
    <w:rPr>
      <w:rFonts w:ascii="Calibri" w:eastAsia="MS Gothic" w:hAnsi="Calibri"/>
      <w:b/>
      <w:bCs/>
      <w:color w:val="4F81BD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13529"/>
    <w:pPr>
      <w:keepNext/>
      <w:keepLines/>
      <w:numPr>
        <w:ilvl w:val="3"/>
        <w:numId w:val="6"/>
      </w:numPr>
      <w:spacing w:before="200"/>
      <w:outlineLvl w:val="3"/>
    </w:pPr>
    <w:rPr>
      <w:rFonts w:ascii="Calibri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13529"/>
    <w:pPr>
      <w:keepNext/>
      <w:keepLines/>
      <w:numPr>
        <w:ilvl w:val="4"/>
        <w:numId w:val="6"/>
      </w:numPr>
      <w:spacing w:before="200"/>
      <w:outlineLvl w:val="4"/>
    </w:pPr>
    <w:rPr>
      <w:rFonts w:ascii="Calibri" w:hAnsi="Calibri"/>
      <w:color w:val="243F6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13529"/>
    <w:pPr>
      <w:keepNext/>
      <w:keepLines/>
      <w:numPr>
        <w:ilvl w:val="5"/>
        <w:numId w:val="6"/>
      </w:numPr>
      <w:spacing w:before="200"/>
      <w:outlineLvl w:val="5"/>
    </w:pPr>
    <w:rPr>
      <w:rFonts w:ascii="Calibri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13529"/>
    <w:pPr>
      <w:keepNext/>
      <w:keepLines/>
      <w:numPr>
        <w:ilvl w:val="6"/>
        <w:numId w:val="6"/>
      </w:numPr>
      <w:spacing w:before="200"/>
      <w:outlineLvl w:val="6"/>
    </w:pPr>
    <w:rPr>
      <w:rFonts w:ascii="Calibri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13529"/>
    <w:pPr>
      <w:keepNext/>
      <w:keepLines/>
      <w:numPr>
        <w:ilvl w:val="7"/>
        <w:numId w:val="6"/>
      </w:numPr>
      <w:spacing w:before="200"/>
      <w:outlineLvl w:val="7"/>
    </w:pPr>
    <w:rPr>
      <w:rFonts w:ascii="Calibri" w:hAnsi="Calibri"/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13529"/>
    <w:pPr>
      <w:keepNext/>
      <w:keepLines/>
      <w:numPr>
        <w:ilvl w:val="8"/>
        <w:numId w:val="6"/>
      </w:numPr>
      <w:spacing w:before="200"/>
      <w:outlineLvl w:val="8"/>
    </w:pPr>
    <w:rPr>
      <w:rFonts w:ascii="Calibri" w:hAnsi="Calibri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13529"/>
    <w:rPr>
      <w:rFonts w:ascii="Calibri" w:eastAsia="MS Gothic" w:hAnsi="Calibri"/>
      <w:b/>
      <w:bCs/>
      <w:color w:val="345A8A"/>
      <w:sz w:val="28"/>
      <w:szCs w:val="32"/>
    </w:rPr>
  </w:style>
  <w:style w:type="character" w:customStyle="1" w:styleId="Heading2Char">
    <w:name w:val="Heading 2 Char"/>
    <w:link w:val="Heading2"/>
    <w:uiPriority w:val="9"/>
    <w:rsid w:val="00513529"/>
    <w:rPr>
      <w:rFonts w:ascii="Calibri" w:eastAsia="MS Gothic" w:hAnsi="Calibri"/>
      <w:b/>
      <w:bCs/>
      <w:color w:val="4F81BD"/>
      <w:sz w:val="26"/>
      <w:szCs w:val="26"/>
    </w:rPr>
  </w:style>
  <w:style w:type="character" w:styleId="CommentReference">
    <w:name w:val="annotation reference"/>
    <w:rsid w:val="00C40D0A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C40D0A"/>
  </w:style>
  <w:style w:type="character" w:customStyle="1" w:styleId="CommentSubjectChar">
    <w:name w:val="Comment Subject Char"/>
    <w:link w:val="CommentSubject"/>
    <w:rsid w:val="00C40D0A"/>
    <w:rPr>
      <w:b/>
      <w:bCs/>
      <w:sz w:val="20"/>
      <w:szCs w:val="20"/>
    </w:rPr>
  </w:style>
  <w:style w:type="character" w:customStyle="1" w:styleId="BalloonTextChar">
    <w:name w:val="Balloon Text Char"/>
    <w:link w:val="BalloonText"/>
    <w:rsid w:val="00C40D0A"/>
    <w:rPr>
      <w:rFonts w:ascii="Lucida Grande" w:hAnsi="Lucida Grande"/>
      <w:sz w:val="18"/>
      <w:szCs w:val="18"/>
    </w:rPr>
  </w:style>
  <w:style w:type="character" w:customStyle="1" w:styleId="BodyTextChar">
    <w:name w:val="Body Text Char"/>
    <w:link w:val="TextBody"/>
    <w:rsid w:val="00071C8A"/>
    <w:rPr>
      <w:rFonts w:ascii="Calibri" w:eastAsia="Calibri" w:hAnsi="Calibri" w:cs="Times New Roman"/>
      <w:sz w:val="22"/>
      <w:szCs w:val="22"/>
      <w:lang w:val="pt-PT"/>
    </w:rPr>
  </w:style>
  <w:style w:type="character" w:customStyle="1" w:styleId="Heading3Char">
    <w:name w:val="Heading 3 Char"/>
    <w:link w:val="Heading3"/>
    <w:rsid w:val="00513529"/>
    <w:rPr>
      <w:rFonts w:ascii="Calibri" w:eastAsia="MS Gothic" w:hAnsi="Calibri"/>
      <w:b/>
      <w:bCs/>
      <w:color w:val="4F81BD"/>
      <w:sz w:val="20"/>
    </w:rPr>
  </w:style>
  <w:style w:type="character" w:customStyle="1" w:styleId="Code">
    <w:name w:val="Code"/>
    <w:rsid w:val="009F0CB4"/>
    <w:rPr>
      <w:rFonts w:ascii="Consolas" w:hAnsi="Consolas" w:cs="Courier New"/>
    </w:rPr>
  </w:style>
  <w:style w:type="character" w:customStyle="1" w:styleId="FileName">
    <w:name w:val="FileName"/>
    <w:rsid w:val="009F0CB4"/>
    <w:rPr>
      <w:rFonts w:ascii="Consolas" w:hAnsi="Consolas" w:cs="Times New Roman"/>
      <w:i/>
    </w:rPr>
  </w:style>
  <w:style w:type="character" w:customStyle="1" w:styleId="TabTopChar">
    <w:name w:val="TabTop Char"/>
    <w:link w:val="TabTop"/>
    <w:locked/>
    <w:rsid w:val="009F0CB4"/>
    <w:rPr>
      <w:rFonts w:ascii="Georgia" w:eastAsia="Times New Roman" w:hAnsi="Georgia" w:cs="Times New Roman"/>
      <w:b/>
      <w:bCs/>
      <w:sz w:val="22"/>
      <w:szCs w:val="20"/>
      <w:lang w:val="pt-PT" w:eastAsia="ar-SA"/>
    </w:rPr>
  </w:style>
  <w:style w:type="character" w:customStyle="1" w:styleId="itlico">
    <w:name w:val="itálico"/>
    <w:rsid w:val="009F0CB4"/>
    <w:rPr>
      <w:i/>
      <w:iCs/>
    </w:rPr>
  </w:style>
  <w:style w:type="character" w:customStyle="1" w:styleId="TabChar">
    <w:name w:val="Tab Char"/>
    <w:link w:val="Tab"/>
    <w:rsid w:val="009F0CB4"/>
    <w:rPr>
      <w:rFonts w:ascii="Georgia" w:eastAsia="Times New Roman" w:hAnsi="Georgia" w:cs="Times New Roman"/>
      <w:sz w:val="20"/>
      <w:szCs w:val="22"/>
      <w:lang w:val="pt-PT" w:eastAsia="ar-SA"/>
    </w:rPr>
  </w:style>
  <w:style w:type="character" w:customStyle="1" w:styleId="negrito">
    <w:name w:val="negrito"/>
    <w:rsid w:val="009F0CB4"/>
    <w:rPr>
      <w:b/>
    </w:rPr>
  </w:style>
  <w:style w:type="character" w:customStyle="1" w:styleId="HeaderChar">
    <w:name w:val="Header Char"/>
    <w:basedOn w:val="DefaultParagraphFont"/>
    <w:link w:val="Header"/>
    <w:rsid w:val="004F2955"/>
  </w:style>
  <w:style w:type="character" w:customStyle="1" w:styleId="FooterChar">
    <w:name w:val="Footer Char"/>
    <w:basedOn w:val="DefaultParagraphFont"/>
    <w:link w:val="Footer"/>
    <w:uiPriority w:val="99"/>
    <w:rsid w:val="004F2955"/>
  </w:style>
  <w:style w:type="character" w:customStyle="1" w:styleId="EndnoteTextChar">
    <w:name w:val="Endnote Text Char"/>
    <w:link w:val="EndnoteText"/>
    <w:rsid w:val="00FA2784"/>
    <w:rPr>
      <w:sz w:val="20"/>
      <w:szCs w:val="20"/>
    </w:rPr>
  </w:style>
  <w:style w:type="character" w:styleId="EndnoteReference">
    <w:name w:val="endnote reference"/>
    <w:rsid w:val="00FA2784"/>
    <w:rPr>
      <w:vertAlign w:val="superscript"/>
    </w:rPr>
  </w:style>
  <w:style w:type="character" w:customStyle="1" w:styleId="FootnoteTextChar">
    <w:name w:val="Footnote Text Char"/>
    <w:link w:val="FootnoteText"/>
    <w:rsid w:val="00FA2784"/>
    <w:rPr>
      <w:sz w:val="20"/>
      <w:szCs w:val="20"/>
    </w:rPr>
  </w:style>
  <w:style w:type="character" w:styleId="FootnoteReference">
    <w:name w:val="footnote reference"/>
    <w:rsid w:val="00FA2784"/>
    <w:rPr>
      <w:vertAlign w:val="superscript"/>
    </w:rPr>
  </w:style>
  <w:style w:type="character" w:customStyle="1" w:styleId="code0">
    <w:name w:val="code"/>
    <w:basedOn w:val="DefaultParagraphFont"/>
    <w:uiPriority w:val="1"/>
    <w:qFormat/>
    <w:rsid w:val="00951909"/>
    <w:rPr>
      <w:rFonts w:ascii="Courier" w:hAnsi="Courier"/>
      <w:sz w:val="24"/>
    </w:rPr>
  </w:style>
  <w:style w:type="character" w:customStyle="1" w:styleId="DocumentMapChar">
    <w:name w:val="Document Map Char"/>
    <w:basedOn w:val="DefaultParagraphFont"/>
    <w:link w:val="DocumentMap"/>
    <w:rsid w:val="004358BD"/>
    <w:rPr>
      <w:rFonts w:ascii="Lucida Grande" w:hAnsi="Lucida Grande" w:cs="Lucida Grande"/>
      <w:sz w:val="24"/>
      <w:szCs w:val="24"/>
      <w:lang w:val="pt-PT"/>
    </w:rPr>
  </w:style>
  <w:style w:type="character" w:customStyle="1" w:styleId="TitleChar">
    <w:name w:val="Title Char"/>
    <w:basedOn w:val="DefaultParagraphFont"/>
    <w:link w:val="Title"/>
    <w:rsid w:val="005C2BB6"/>
    <w:rPr>
      <w:rFonts w:ascii="Calibri" w:hAnsi="Calibri"/>
      <w:b/>
      <w:color w:val="17365D"/>
      <w:spacing w:val="5"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E36F1F"/>
    <w:rPr>
      <w:rFonts w:ascii="Calibri" w:hAnsi="Calibri"/>
      <w:i/>
      <w:iCs/>
      <w:color w:val="4F81BD"/>
      <w:spacing w:val="15"/>
      <w:lang w:val="pt-PT"/>
    </w:rPr>
  </w:style>
  <w:style w:type="character" w:styleId="PageNumber">
    <w:name w:val="page number"/>
    <w:basedOn w:val="DefaultParagraphFont"/>
    <w:semiHidden/>
    <w:unhideWhenUsed/>
    <w:rsid w:val="002E5472"/>
  </w:style>
  <w:style w:type="character" w:customStyle="1" w:styleId="Heading4Char">
    <w:name w:val="Heading 4 Char"/>
    <w:basedOn w:val="DefaultParagraphFont"/>
    <w:link w:val="Heading4"/>
    <w:semiHidden/>
    <w:rsid w:val="00513529"/>
    <w:rPr>
      <w:rFonts w:ascii="Calibri" w:hAnsi="Calibri"/>
      <w:b/>
      <w:bCs/>
      <w:i/>
      <w:iCs/>
      <w:color w:val="4F81BD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513529"/>
    <w:rPr>
      <w:rFonts w:ascii="Calibri" w:hAnsi="Calibri"/>
      <w:color w:val="243F60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513529"/>
    <w:rPr>
      <w:rFonts w:ascii="Calibri" w:hAnsi="Calibri"/>
      <w:i/>
      <w:iCs/>
      <w:color w:val="243F6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513529"/>
    <w:rPr>
      <w:rFonts w:ascii="Calibri" w:hAnsi="Calibri"/>
      <w:i/>
      <w:iCs/>
      <w:color w:val="40404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513529"/>
    <w:rPr>
      <w:rFonts w:ascii="Calibri" w:hAnsi="Calibri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513529"/>
    <w:rPr>
      <w:rFonts w:ascii="Calibri" w:hAnsi="Calibri"/>
      <w:i/>
      <w:iCs/>
      <w:color w:val="404040"/>
      <w:sz w:val="20"/>
      <w:szCs w:val="20"/>
    </w:rPr>
  </w:style>
  <w:style w:type="character" w:customStyle="1" w:styleId="InternetLink">
    <w:name w:val="Internet Link"/>
    <w:basedOn w:val="DefaultParagraphFont"/>
    <w:rsid w:val="004C3DFF"/>
    <w:rPr>
      <w:color w:val="0000FF"/>
      <w:u w:val="single"/>
    </w:r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rFonts w:eastAsia="Times New Roman" w:cs="Times New Roman"/>
      <w:b/>
      <w:i w:val="0"/>
      <w:caps w:val="0"/>
      <w:smallCaps w:val="0"/>
      <w:strike w:val="0"/>
      <w:dstrike w:val="0"/>
      <w:color w:val="000000"/>
      <w:position w:val="0"/>
      <w:sz w:val="20"/>
      <w:u w:val="none"/>
      <w:vertAlign w:val="baseline"/>
    </w:rPr>
  </w:style>
  <w:style w:type="character" w:customStyle="1" w:styleId="ListLabel3">
    <w:name w:val="ListLabel 3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4">
    <w:name w:val="ListLabel 4"/>
    <w:rPr>
      <w:rFonts w:cs="Symbol"/>
      <w:color w:val="00000A"/>
    </w:rPr>
  </w:style>
  <w:style w:type="character" w:customStyle="1" w:styleId="ListLabel5">
    <w:name w:val="ListLabel 5"/>
    <w:rPr>
      <w:rFonts w:cs="Marlett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Open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Open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Open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rsid w:val="00071C8A"/>
    <w:pPr>
      <w:spacing w:after="120" w:line="288" w:lineRule="auto"/>
    </w:pPr>
    <w:rPr>
      <w:rFonts w:ascii="Calibri" w:eastAsia="Calibri" w:hAnsi="Calibri"/>
      <w:szCs w:val="22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qFormat/>
    <w:rsid w:val="00DA7B7C"/>
    <w:pPr>
      <w:jc w:val="center"/>
    </w:pPr>
    <w:rPr>
      <w:rFonts w:ascii="Times New Roman" w:eastAsia="Times New Roman" w:hAnsi="Times New Roman"/>
      <w:b/>
      <w:b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ColorfulList-Accent11">
    <w:name w:val="Colorful List - Accent 11"/>
    <w:basedOn w:val="Normal"/>
    <w:uiPriority w:val="34"/>
    <w:qFormat/>
    <w:rsid w:val="009E460A"/>
    <w:pPr>
      <w:ind w:left="720"/>
    </w:pPr>
  </w:style>
  <w:style w:type="paragraph" w:styleId="CommentText">
    <w:name w:val="annotation text"/>
    <w:basedOn w:val="Normal"/>
    <w:link w:val="CommentTextChar"/>
    <w:rsid w:val="00C40D0A"/>
  </w:style>
  <w:style w:type="paragraph" w:styleId="CommentSubject">
    <w:name w:val="annotation subject"/>
    <w:basedOn w:val="CommentText"/>
    <w:link w:val="CommentSubjectChar"/>
    <w:rsid w:val="00C40D0A"/>
    <w:rPr>
      <w:b/>
      <w:bCs/>
    </w:rPr>
  </w:style>
  <w:style w:type="paragraph" w:styleId="BalloonText">
    <w:name w:val="Balloon Text"/>
    <w:basedOn w:val="Normal"/>
    <w:link w:val="BalloonTextChar"/>
    <w:rsid w:val="00C40D0A"/>
    <w:rPr>
      <w:rFonts w:ascii="Lucida Grande" w:hAnsi="Lucida Grande"/>
      <w:sz w:val="18"/>
      <w:szCs w:val="18"/>
    </w:rPr>
  </w:style>
  <w:style w:type="paragraph" w:customStyle="1" w:styleId="Style-1">
    <w:name w:val="Style-1"/>
    <w:rsid w:val="00071C8A"/>
    <w:pPr>
      <w:suppressAutoHyphens/>
    </w:pPr>
    <w:rPr>
      <w:rFonts w:ascii="Times New Roman" w:eastAsia="Times New Roman" w:hAnsi="Times New Roman"/>
      <w:color w:val="00000A"/>
      <w:lang w:val="pt-PT" w:eastAsia="pt-PT"/>
    </w:rPr>
  </w:style>
  <w:style w:type="paragraph" w:customStyle="1" w:styleId="Style-2">
    <w:name w:val="Style-2"/>
    <w:rsid w:val="00071C8A"/>
    <w:pPr>
      <w:suppressAutoHyphens/>
    </w:pPr>
    <w:rPr>
      <w:rFonts w:ascii="Times New Roman" w:eastAsia="Times New Roman" w:hAnsi="Times New Roman"/>
      <w:color w:val="00000A"/>
      <w:lang w:val="pt-PT" w:eastAsia="pt-PT"/>
    </w:rPr>
  </w:style>
  <w:style w:type="paragraph" w:customStyle="1" w:styleId="Style-3">
    <w:name w:val="Style-3"/>
    <w:rsid w:val="00071C8A"/>
    <w:pPr>
      <w:suppressAutoHyphens/>
    </w:pPr>
    <w:rPr>
      <w:rFonts w:ascii="Times New Roman" w:eastAsia="Times New Roman" w:hAnsi="Times New Roman"/>
      <w:color w:val="00000A"/>
      <w:lang w:val="pt-PT" w:eastAsia="pt-PT"/>
    </w:rPr>
  </w:style>
  <w:style w:type="paragraph" w:customStyle="1" w:styleId="Style-4">
    <w:name w:val="Style-4"/>
    <w:rsid w:val="00071C8A"/>
    <w:pPr>
      <w:suppressAutoHyphens/>
    </w:pPr>
    <w:rPr>
      <w:rFonts w:ascii="Times New Roman" w:eastAsia="Times New Roman" w:hAnsi="Times New Roman"/>
      <w:color w:val="00000A"/>
      <w:lang w:val="pt-PT" w:eastAsia="pt-PT"/>
    </w:rPr>
  </w:style>
  <w:style w:type="paragraph" w:customStyle="1" w:styleId="ListStyle">
    <w:name w:val="ListStyle"/>
    <w:rsid w:val="00071C8A"/>
    <w:pPr>
      <w:suppressAutoHyphens/>
    </w:pPr>
    <w:rPr>
      <w:rFonts w:ascii="Times New Roman" w:eastAsia="Times New Roman" w:hAnsi="Times New Roman"/>
      <w:color w:val="00000A"/>
      <w:lang w:val="pt-PT" w:eastAsia="pt-PT"/>
    </w:rPr>
  </w:style>
  <w:style w:type="paragraph" w:customStyle="1" w:styleId="Style-5">
    <w:name w:val="Style-5"/>
    <w:rsid w:val="00071C8A"/>
    <w:pPr>
      <w:suppressAutoHyphens/>
    </w:pPr>
    <w:rPr>
      <w:rFonts w:ascii="Times New Roman" w:eastAsia="Times New Roman" w:hAnsi="Times New Roman"/>
      <w:color w:val="00000A"/>
      <w:lang w:val="pt-PT" w:eastAsia="pt-PT"/>
    </w:rPr>
  </w:style>
  <w:style w:type="paragraph" w:customStyle="1" w:styleId="Style-6">
    <w:name w:val="Style-6"/>
    <w:rsid w:val="00071C8A"/>
    <w:pPr>
      <w:suppressAutoHyphens/>
    </w:pPr>
    <w:rPr>
      <w:rFonts w:ascii="Times New Roman" w:eastAsia="Times New Roman" w:hAnsi="Times New Roman"/>
      <w:color w:val="00000A"/>
      <w:lang w:val="pt-PT" w:eastAsia="pt-PT"/>
    </w:rPr>
  </w:style>
  <w:style w:type="paragraph" w:customStyle="1" w:styleId="Style-8">
    <w:name w:val="Style-8"/>
    <w:rsid w:val="00071C8A"/>
    <w:pPr>
      <w:suppressAutoHyphens/>
    </w:pPr>
    <w:rPr>
      <w:rFonts w:ascii="Times New Roman" w:eastAsia="Times New Roman" w:hAnsi="Times New Roman"/>
      <w:color w:val="00000A"/>
      <w:lang w:val="pt-PT" w:eastAsia="pt-PT"/>
    </w:rPr>
  </w:style>
  <w:style w:type="paragraph" w:customStyle="1" w:styleId="TabTop">
    <w:name w:val="TabTop"/>
    <w:basedOn w:val="Normal"/>
    <w:link w:val="TabTopChar"/>
    <w:rsid w:val="009F0CB4"/>
    <w:pPr>
      <w:spacing w:line="360" w:lineRule="auto"/>
      <w:jc w:val="center"/>
    </w:pPr>
    <w:rPr>
      <w:rFonts w:ascii="Georgia" w:eastAsia="Times New Roman" w:hAnsi="Georgia"/>
      <w:b/>
      <w:bCs/>
      <w:lang w:eastAsia="ar-SA"/>
    </w:rPr>
  </w:style>
  <w:style w:type="paragraph" w:customStyle="1" w:styleId="Tab">
    <w:name w:val="Tab"/>
    <w:basedOn w:val="Normal"/>
    <w:link w:val="TabChar"/>
    <w:rsid w:val="009F0CB4"/>
    <w:rPr>
      <w:rFonts w:ascii="Georgia" w:eastAsia="Times New Roman" w:hAnsi="Georgia"/>
      <w:szCs w:val="22"/>
      <w:lang w:eastAsia="ar-SA"/>
    </w:rPr>
  </w:style>
  <w:style w:type="paragraph" w:customStyle="1" w:styleId="bullet">
    <w:name w:val="bullet"/>
    <w:basedOn w:val="Normal"/>
    <w:rsid w:val="009F0CB4"/>
    <w:pPr>
      <w:spacing w:line="360" w:lineRule="auto"/>
    </w:pPr>
    <w:rPr>
      <w:rFonts w:ascii="Georgia" w:eastAsia="Times New Roman" w:hAnsi="Georgia"/>
      <w:szCs w:val="22"/>
      <w:lang w:eastAsia="ar-SA"/>
    </w:rPr>
  </w:style>
  <w:style w:type="paragraph" w:styleId="Header">
    <w:name w:val="header"/>
    <w:basedOn w:val="Normal"/>
    <w:link w:val="HeaderChar"/>
    <w:rsid w:val="004F2955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4F2955"/>
    <w:pPr>
      <w:tabs>
        <w:tab w:val="center" w:pos="4252"/>
        <w:tab w:val="right" w:pos="8504"/>
      </w:tabs>
    </w:pPr>
  </w:style>
  <w:style w:type="paragraph" w:styleId="EndnoteText">
    <w:name w:val="endnote text"/>
    <w:basedOn w:val="Normal"/>
    <w:link w:val="EndnoteTextChar"/>
    <w:rsid w:val="00FA2784"/>
  </w:style>
  <w:style w:type="paragraph" w:styleId="FootnoteText">
    <w:name w:val="footnote text"/>
    <w:basedOn w:val="Normal"/>
    <w:link w:val="FootnoteTextChar"/>
    <w:rsid w:val="00FA2784"/>
  </w:style>
  <w:style w:type="paragraph" w:customStyle="1" w:styleId="Default">
    <w:name w:val="Default"/>
    <w:rsid w:val="00032648"/>
    <w:pPr>
      <w:suppressAutoHyphens/>
    </w:pPr>
    <w:rPr>
      <w:rFonts w:ascii="Calibri" w:eastAsia="SimSun" w:hAnsi="Calibri" w:cs="Calibri"/>
      <w:color w:val="000000"/>
      <w:lang w:val="pt-PT" w:eastAsia="zh-CN"/>
    </w:rPr>
  </w:style>
  <w:style w:type="paragraph" w:styleId="Revision">
    <w:name w:val="Revision"/>
    <w:uiPriority w:val="99"/>
    <w:semiHidden/>
    <w:rsid w:val="005571A1"/>
    <w:pPr>
      <w:suppressAutoHyphens/>
    </w:pPr>
    <w:rPr>
      <w:color w:val="00000A"/>
    </w:rPr>
  </w:style>
  <w:style w:type="paragraph" w:styleId="ListParagraph">
    <w:name w:val="List Paragraph"/>
    <w:basedOn w:val="Normal"/>
    <w:uiPriority w:val="34"/>
    <w:qFormat/>
    <w:rsid w:val="00C20182"/>
    <w:pPr>
      <w:ind w:left="720"/>
    </w:pPr>
  </w:style>
  <w:style w:type="paragraph" w:styleId="DocumentMap">
    <w:name w:val="Document Map"/>
    <w:basedOn w:val="Normal"/>
    <w:link w:val="DocumentMapChar"/>
    <w:rsid w:val="004358BD"/>
    <w:pPr>
      <w:spacing w:line="240" w:lineRule="auto"/>
    </w:pPr>
    <w:rPr>
      <w:rFonts w:ascii="Lucida Grande" w:hAnsi="Lucida Grande" w:cs="Lucida Grande"/>
    </w:rPr>
  </w:style>
  <w:style w:type="paragraph" w:styleId="NormalWeb">
    <w:name w:val="Normal (Web)"/>
    <w:basedOn w:val="Normal"/>
    <w:uiPriority w:val="99"/>
    <w:unhideWhenUsed/>
    <w:rsid w:val="00DB02D9"/>
    <w:pPr>
      <w:spacing w:after="280"/>
      <w:jc w:val="left"/>
    </w:pPr>
    <w:rPr>
      <w:rFonts w:ascii="Times" w:hAnsi="Times"/>
      <w:szCs w:val="20"/>
    </w:rPr>
  </w:style>
  <w:style w:type="paragraph" w:styleId="Title">
    <w:name w:val="Title"/>
    <w:basedOn w:val="Normal"/>
    <w:next w:val="Normal"/>
    <w:link w:val="TitleChar"/>
    <w:qFormat/>
    <w:rsid w:val="005C2BB6"/>
    <w:pPr>
      <w:spacing w:before="360" w:after="300" w:line="240" w:lineRule="auto"/>
      <w:jc w:val="center"/>
    </w:pPr>
    <w:rPr>
      <w:rFonts w:ascii="Calibri" w:hAnsi="Calibri"/>
      <w:b/>
      <w:color w:val="17365D"/>
      <w:spacing w:val="5"/>
      <w:sz w:val="40"/>
      <w:szCs w:val="40"/>
    </w:rPr>
  </w:style>
  <w:style w:type="paragraph" w:styleId="Subtitle">
    <w:name w:val="Subtitle"/>
    <w:basedOn w:val="Normal"/>
    <w:next w:val="Normal"/>
    <w:link w:val="SubtitleChar"/>
    <w:qFormat/>
    <w:rsid w:val="00E36F1F"/>
    <w:rPr>
      <w:rFonts w:ascii="Calibri" w:hAnsi="Calibri"/>
      <w:i/>
      <w:iCs/>
      <w:color w:val="4F81BD"/>
      <w:spacing w:val="15"/>
      <w:sz w:val="24"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rsid w:val="00577F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9105A"/>
    <w:rPr>
      <w:color w:val="0000FF" w:themeColor="hyperlink"/>
      <w:u w:val="single"/>
    </w:rPr>
  </w:style>
  <w:style w:type="table" w:styleId="DarkList-Accent6">
    <w:name w:val="Dark List Accent 6"/>
    <w:basedOn w:val="TableNormal"/>
    <w:uiPriority w:val="37"/>
    <w:rsid w:val="002703A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MediumGrid3">
    <w:name w:val="Medium Grid 3"/>
    <w:basedOn w:val="TableNormal"/>
    <w:uiPriority w:val="64"/>
    <w:rsid w:val="002703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olorfulShading-Accent1">
    <w:name w:val="Colorful Shading Accent 1"/>
    <w:basedOn w:val="TableNormal"/>
    <w:uiPriority w:val="66"/>
    <w:rsid w:val="002703A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2">
    <w:name w:val="Colorful List Accent 2"/>
    <w:basedOn w:val="TableNormal"/>
    <w:uiPriority w:val="67"/>
    <w:rsid w:val="002703A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MediumShading1-Accent1">
    <w:name w:val="Medium Shading 1 Accent 1"/>
    <w:basedOn w:val="TableNormal"/>
    <w:uiPriority w:val="68"/>
    <w:rsid w:val="002703A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9"/>
    <w:rsid w:val="002703A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70"/>
    <w:rsid w:val="002703A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70"/>
    <w:rsid w:val="002703A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2">
    <w:name w:val="Light List Accent 2"/>
    <w:basedOn w:val="TableNormal"/>
    <w:uiPriority w:val="70"/>
    <w:rsid w:val="002703A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4">
    <w:name w:val="Light List Accent 4"/>
    <w:basedOn w:val="TableNormal"/>
    <w:uiPriority w:val="70"/>
    <w:rsid w:val="002703A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List2-Accent2">
    <w:name w:val="Medium List 2 Accent 2"/>
    <w:basedOn w:val="TableNormal"/>
    <w:uiPriority w:val="61"/>
    <w:rsid w:val="002703A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4">
    <w:name w:val="Medium List 1 Accent 4"/>
    <w:basedOn w:val="TableNormal"/>
    <w:uiPriority w:val="60"/>
    <w:rsid w:val="002703A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ghtList-Accent1">
    <w:name w:val="Light List Accent 1"/>
    <w:basedOn w:val="TableNormal"/>
    <w:uiPriority w:val="66"/>
    <w:rsid w:val="002703A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67"/>
    <w:semiHidden/>
    <w:rsid w:val="00DB50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../embeddings/oleObject1.bin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../embeddings/oleObject2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True Positive 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'[Análise TPR FPR.xlsx]Folha1'!$A$3</c:f>
              <c:strCache>
                <c:ptCount val="1"/>
                <c:pt idx="0">
                  <c:v>0.1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numRef>
              <c:f>'[Análise TPR FPR.xlsx]Folha1'!$B$2:$F$2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</c:numCache>
            </c:numRef>
          </c:cat>
          <c:val>
            <c:numRef>
              <c:f>'[Análise TPR FPR.xlsx]Folha1'!$B$3:$F$3</c:f>
              <c:numCache>
                <c:formatCode>General</c:formatCode>
                <c:ptCount val="5"/>
                <c:pt idx="0">
                  <c:v>1</c:v>
                </c:pt>
                <c:pt idx="1">
                  <c:v>0.88900000000000001</c:v>
                </c:pt>
                <c:pt idx="2">
                  <c:v>0.78200000000000003</c:v>
                </c:pt>
                <c:pt idx="3">
                  <c:v>0.68500000000000005</c:v>
                </c:pt>
                <c:pt idx="4">
                  <c:v>0.60499999999999998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E7-49B4-B911-7941C901EABE}"/>
            </c:ext>
          </c:extLst>
        </c:ser>
        <c:ser>
          <c:idx val="1"/>
          <c:order val="1"/>
          <c:tx>
            <c:strRef>
              <c:f>'[Análise TPR FPR.xlsx]Folha1'!$A$4</c:f>
              <c:strCache>
                <c:ptCount val="1"/>
                <c:pt idx="0">
                  <c:v>0.2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numRef>
              <c:f>'[Análise TPR FPR.xlsx]Folha1'!$B$2:$F$2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</c:numCache>
            </c:numRef>
          </c:cat>
          <c:val>
            <c:numRef>
              <c:f>'[Análise TPR FPR.xlsx]Folha1'!$B$4:$F$4</c:f>
              <c:numCache>
                <c:formatCode>General</c:formatCode>
                <c:ptCount val="5"/>
                <c:pt idx="0">
                  <c:v>1</c:v>
                </c:pt>
                <c:pt idx="1">
                  <c:v>0.871</c:v>
                </c:pt>
                <c:pt idx="2">
                  <c:v>0.753</c:v>
                </c:pt>
                <c:pt idx="3">
                  <c:v>0.64500000000000002</c:v>
                </c:pt>
                <c:pt idx="4">
                  <c:v>0.56899999999999995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2E7-49B4-B911-7941C901EABE}"/>
            </c:ext>
          </c:extLst>
        </c:ser>
        <c:ser>
          <c:idx val="2"/>
          <c:order val="2"/>
          <c:tx>
            <c:strRef>
              <c:f>'[Análise TPR FPR.xlsx]Folha1'!$A$5</c:f>
              <c:strCache>
                <c:ptCount val="1"/>
                <c:pt idx="0">
                  <c:v>0.4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numRef>
              <c:f>'[Análise TPR FPR.xlsx]Folha1'!$B$2:$F$2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</c:numCache>
            </c:numRef>
          </c:cat>
          <c:val>
            <c:numRef>
              <c:f>'[Análise TPR FPR.xlsx]Folha1'!$B$5:$F$5</c:f>
              <c:numCache>
                <c:formatCode>General</c:formatCode>
                <c:ptCount val="5"/>
                <c:pt idx="0">
                  <c:v>1</c:v>
                </c:pt>
                <c:pt idx="1">
                  <c:v>0.85</c:v>
                </c:pt>
                <c:pt idx="2">
                  <c:v>0.72</c:v>
                </c:pt>
                <c:pt idx="3">
                  <c:v>0.60299999999999998</c:v>
                </c:pt>
                <c:pt idx="4">
                  <c:v>0.52100000000000002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2E7-49B4-B911-7941C901EABE}"/>
            </c:ext>
          </c:extLst>
        </c:ser>
        <c:ser>
          <c:idx val="3"/>
          <c:order val="3"/>
          <c:tx>
            <c:strRef>
              <c:f>'[Análise TPR FPR.xlsx]Folha1'!$A$6</c:f>
              <c:strCache>
                <c:ptCount val="1"/>
                <c:pt idx="0">
                  <c:v>0.6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numRef>
              <c:f>'[Análise TPR FPR.xlsx]Folha1'!$B$2:$F$2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</c:numCache>
            </c:numRef>
          </c:cat>
          <c:val>
            <c:numRef>
              <c:f>'[Análise TPR FPR.xlsx]Folha1'!$B$6:$F$6</c:f>
              <c:numCache>
                <c:formatCode>General</c:formatCode>
                <c:ptCount val="5"/>
                <c:pt idx="0">
                  <c:v>1</c:v>
                </c:pt>
                <c:pt idx="1">
                  <c:v>0.83699999999999997</c:v>
                </c:pt>
                <c:pt idx="2">
                  <c:v>0.68899999999999995</c:v>
                </c:pt>
                <c:pt idx="3">
                  <c:v>0.57199999999999995</c:v>
                </c:pt>
                <c:pt idx="4">
                  <c:v>0.46600000000000003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2E7-49B4-B911-7941C901EABE}"/>
            </c:ext>
          </c:extLst>
        </c:ser>
        <c:ser>
          <c:idx val="4"/>
          <c:order val="4"/>
          <c:tx>
            <c:strRef>
              <c:f>'[Análise TPR FPR.xlsx]Folha1'!$A$7</c:f>
              <c:strCache>
                <c:ptCount val="1"/>
                <c:pt idx="0">
                  <c:v>0.8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numRef>
              <c:f>'[Análise TPR FPR.xlsx]Folha1'!$B$2:$F$2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</c:numCache>
            </c:numRef>
          </c:cat>
          <c:val>
            <c:numRef>
              <c:f>'[Análise TPR FPR.xlsx]Folha1'!$B$7:$F$7</c:f>
              <c:numCache>
                <c:formatCode>General</c:formatCode>
                <c:ptCount val="5"/>
                <c:pt idx="0">
                  <c:v>1</c:v>
                </c:pt>
                <c:pt idx="1">
                  <c:v>0.82499999999999996</c:v>
                </c:pt>
                <c:pt idx="2">
                  <c:v>0.67</c:v>
                </c:pt>
                <c:pt idx="3">
                  <c:v>0.53200000000000003</c:v>
                </c:pt>
                <c:pt idx="4">
                  <c:v>0.42599999999999999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2E7-49B4-B911-7941C901EA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84678720"/>
        <c:axId val="484676752"/>
      </c:barChart>
      <c:catAx>
        <c:axId val="484678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k-Nearest Neighbours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676752"/>
        <c:crosses val="autoZero"/>
        <c:auto val="1"/>
        <c:lblAlgn val="ctr"/>
        <c:lblOffset val="100"/>
        <c:noMultiLvlLbl val="0"/>
      </c:catAx>
      <c:valAx>
        <c:axId val="4846767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678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False Positive</a:t>
            </a:r>
            <a:r>
              <a:rPr lang="pt-PT" baseline="0"/>
              <a:t> Rate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'[Análise TPR FPR.xlsx]Folha1'!$A$11</c:f>
              <c:strCache>
                <c:ptCount val="1"/>
                <c:pt idx="0">
                  <c:v>0.1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numRef>
              <c:f>'[Análise TPR FPR.xlsx]Folha1'!$B$10:$F$10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</c:numCache>
            </c:numRef>
          </c:cat>
          <c:val>
            <c:numRef>
              <c:f>'[Análise TPR FPR.xlsx]Folha1'!$B$11:$F$11</c:f>
              <c:numCache>
                <c:formatCode>General</c:formatCode>
                <c:ptCount val="5"/>
                <c:pt idx="0">
                  <c:v>8.5000000000000006E-2</c:v>
                </c:pt>
                <c:pt idx="1">
                  <c:v>4.2999999999999997E-2</c:v>
                </c:pt>
                <c:pt idx="2">
                  <c:v>1.2999999999999999E-2</c:v>
                </c:pt>
                <c:pt idx="3">
                  <c:v>7.0000000000000001E-3</c:v>
                </c:pt>
                <c:pt idx="4">
                  <c:v>1.6000000000000001E-3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FA-4983-A259-8416346EB941}"/>
            </c:ext>
          </c:extLst>
        </c:ser>
        <c:ser>
          <c:idx val="1"/>
          <c:order val="1"/>
          <c:tx>
            <c:strRef>
              <c:f>'[Análise TPR FPR.xlsx]Folha1'!$A$12</c:f>
              <c:strCache>
                <c:ptCount val="1"/>
                <c:pt idx="0">
                  <c:v>0.2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numRef>
              <c:f>'[Análise TPR FPR.xlsx]Folha1'!$B$10:$F$10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</c:numCache>
            </c:numRef>
          </c:cat>
          <c:val>
            <c:numRef>
              <c:f>'[Análise TPR FPR.xlsx]Folha1'!$B$12:$F$12</c:f>
              <c:numCache>
                <c:formatCode>General</c:formatCode>
                <c:ptCount val="5"/>
                <c:pt idx="0">
                  <c:v>0.1</c:v>
                </c:pt>
                <c:pt idx="1">
                  <c:v>4.1000000000000002E-2</c:v>
                </c:pt>
                <c:pt idx="2">
                  <c:v>1.4E-2</c:v>
                </c:pt>
                <c:pt idx="3">
                  <c:v>8.9999999999999993E-3</c:v>
                </c:pt>
                <c:pt idx="4">
                  <c:v>3.8E-3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1FA-4983-A259-8416346EB941}"/>
            </c:ext>
          </c:extLst>
        </c:ser>
        <c:ser>
          <c:idx val="2"/>
          <c:order val="2"/>
          <c:tx>
            <c:strRef>
              <c:f>'[Análise TPR FPR.xlsx]Folha1'!$A$13</c:f>
              <c:strCache>
                <c:ptCount val="1"/>
                <c:pt idx="0">
                  <c:v>0.4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numRef>
              <c:f>'[Análise TPR FPR.xlsx]Folha1'!$B$10:$F$10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</c:numCache>
            </c:numRef>
          </c:cat>
          <c:val>
            <c:numRef>
              <c:f>'[Análise TPR FPR.xlsx]Folha1'!$B$13:$F$13</c:f>
              <c:numCache>
                <c:formatCode>General</c:formatCode>
                <c:ptCount val="5"/>
                <c:pt idx="0">
                  <c:v>0.109</c:v>
                </c:pt>
                <c:pt idx="1">
                  <c:v>4.3999999999999997E-2</c:v>
                </c:pt>
                <c:pt idx="2">
                  <c:v>1.2999999999999999E-2</c:v>
                </c:pt>
                <c:pt idx="3">
                  <c:v>7.0000000000000001E-3</c:v>
                </c:pt>
                <c:pt idx="4">
                  <c:v>4.4000000000000003E-3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1FA-4983-A259-8416346EB941}"/>
            </c:ext>
          </c:extLst>
        </c:ser>
        <c:ser>
          <c:idx val="3"/>
          <c:order val="3"/>
          <c:tx>
            <c:strRef>
              <c:f>'[Análise TPR FPR.xlsx]Folha1'!$A$14</c:f>
              <c:strCache>
                <c:ptCount val="1"/>
                <c:pt idx="0">
                  <c:v>0.6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numRef>
              <c:f>'[Análise TPR FPR.xlsx]Folha1'!$B$10:$F$10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</c:numCache>
            </c:numRef>
          </c:cat>
          <c:val>
            <c:numRef>
              <c:f>'[Análise TPR FPR.xlsx]Folha1'!$B$14:$F$14</c:f>
              <c:numCache>
                <c:formatCode>General</c:formatCode>
                <c:ptCount val="5"/>
                <c:pt idx="0">
                  <c:v>0.11799999999999999</c:v>
                </c:pt>
                <c:pt idx="1">
                  <c:v>5.0999999999999997E-2</c:v>
                </c:pt>
                <c:pt idx="2">
                  <c:v>1.2E-2</c:v>
                </c:pt>
                <c:pt idx="3">
                  <c:v>7.0000000000000001E-3</c:v>
                </c:pt>
                <c:pt idx="4">
                  <c:v>5.4999999999999997E-3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1FA-4983-A259-8416346EB941}"/>
            </c:ext>
          </c:extLst>
        </c:ser>
        <c:ser>
          <c:idx val="4"/>
          <c:order val="4"/>
          <c:tx>
            <c:strRef>
              <c:f>'[Análise TPR FPR.xlsx]Folha1'!$A$15</c:f>
              <c:strCache>
                <c:ptCount val="1"/>
                <c:pt idx="0">
                  <c:v>0.8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numRef>
              <c:f>'[Análise TPR FPR.xlsx]Folha1'!$B$10:$F$10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</c:numCache>
            </c:numRef>
          </c:cat>
          <c:val>
            <c:numRef>
              <c:f>'[Análise TPR FPR.xlsx]Folha1'!$B$15:$F$15</c:f>
              <c:numCache>
                <c:formatCode>General</c:formatCode>
                <c:ptCount val="5"/>
                <c:pt idx="0">
                  <c:v>0.127</c:v>
                </c:pt>
                <c:pt idx="1">
                  <c:v>5.2999999999999999E-2</c:v>
                </c:pt>
                <c:pt idx="2">
                  <c:v>1.4999999999999999E-2</c:v>
                </c:pt>
                <c:pt idx="3">
                  <c:v>7.0000000000000001E-3</c:v>
                </c:pt>
                <c:pt idx="4">
                  <c:v>5.4999999999999997E-3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1FA-4983-A259-8416346EB9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84669208"/>
        <c:axId val="484673144"/>
      </c:barChart>
      <c:catAx>
        <c:axId val="484669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k-Nearest Neighbours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673144"/>
        <c:crosses val="autoZero"/>
        <c:auto val="1"/>
        <c:lblAlgn val="ctr"/>
        <c:lblOffset val="100"/>
        <c:noMultiLvlLbl val="0"/>
      </c:catAx>
      <c:valAx>
        <c:axId val="484673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669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B691B-E36A-4607-B131-3152C66BC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1120</Words>
  <Characters>6385</Characters>
  <Application>Microsoft Office Word</Application>
  <DocSecurity>4</DocSecurity>
  <Lines>53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TÉCNICO</vt:lpstr>
    </vt:vector>
  </TitlesOfParts>
  <Company>IST</Company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TÉCNICO</dc:title>
  <dc:subject/>
  <dc:creator>asus</dc:creator>
  <cp:keywords/>
  <cp:lastModifiedBy>Vitor Nunes</cp:lastModifiedBy>
  <cp:revision>144</cp:revision>
  <cp:lastPrinted>2018-12-16T11:42:00Z</cp:lastPrinted>
  <dcterms:created xsi:type="dcterms:W3CDTF">2017-10-09T10:15:00Z</dcterms:created>
  <dcterms:modified xsi:type="dcterms:W3CDTF">2018-12-16T11:42:00Z</dcterms:modified>
  <dc:language>en-US</dc:language>
</cp:coreProperties>
</file>