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120.0" w:type="dxa"/>
        <w:tblLayout w:type="fixed"/>
        <w:tblLook w:val="0600"/>
      </w:tblPr>
      <w:tblGrid>
        <w:gridCol w:w="3495"/>
        <w:gridCol w:w="3360"/>
        <w:gridCol w:w="4365"/>
        <w:tblGridChange w:id="0">
          <w:tblGrid>
            <w:gridCol w:w="349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mike.belie@gmail.com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858-603-4988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Winchester,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 Mike Belie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linkedin.com/in/mikebelie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agzz7k48tfhk" w:id="0"/>
      <w:bookmarkEnd w:id="0"/>
      <w:r w:rsidDel="00000000" w:rsidR="00000000" w:rsidRPr="00000000">
        <w:rPr>
          <w:color w:val="1155cc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</w:t>
        <w:tab/>
        <w:t xml:space="preserve">C#, C++, C++/CLI, Java, Dart, JavaScript, TypeScript,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</w:t>
        <w:tab/>
        <w:t xml:space="preserve">.NET, ASP.NET Core, Flutter, WPF/MVVM, SQL, Vue, Angular, MSCRM, AWS, Azure, REST, WCF, Web Components (LitElement), Protobuf, HTML, CSS, SCSS, Three.js, Reactive Extensions (Rx), SignalR/Web Sockets, CodedUI/UIA, PowerOn/SymXchange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</w:t>
        <w:tab/>
        <w:tab/>
        <w:t xml:space="preserve">Data structures, OOD/OOP, SOLID, relational databases, industrial automation (OPC/UA), motion control (ACS, Copley, Maxon), machine vision (VisionPro, OpenCV), UI automation, unit testing, CI/CD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n1g13qb16uwf" w:id="1"/>
      <w:bookmarkEnd w:id="1"/>
      <w:r w:rsidDel="00000000" w:rsidR="00000000" w:rsidRPr="00000000">
        <w:rPr>
          <w:color w:val="1155cc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Software Engineer</w:t>
        <w:tab/>
      </w:r>
      <w:r w:rsidDel="00000000" w:rsidR="00000000" w:rsidRPr="00000000">
        <w:rPr>
          <w:b w:val="1"/>
          <w:rtl w:val="0"/>
        </w:rPr>
        <w:t xml:space="preserve">NOVO Engineering - Vista,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Feb 2018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Wrote a resource tracking application to replace an internal/manual Excel process. Leveraged a Flutter front-end with an ASP.NET Core back-end. Streamlined an existing process, added data integrity, facilitated multiple contributors and introduced a potential revenue stream via a licensable application.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Increased the software performance of an automation robot by ~50% by parallelizing existing image processing routines.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Prevented costly workflow disruptions by adding transient fault handling to an automation robot. Eliminated multi-minute reboot sequences.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HMI software for 4+ robotics projects using both thick &amp; thin client applications.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Provided software architecture and development for various client projects.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an imaging segmentation routine that differentiated various aspects of plant-callus anatomy which automated a potentially error prone, manual,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Integrated a client's production robot software with PAC via OPC/UA. Closed the loop between the client’s production floor and their back-end automation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~one dozen web components.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Principal Software Engineer.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Mentored junior engineers.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 Advisory</w:t>
        <w:tab/>
      </w:r>
      <w:r w:rsidDel="00000000" w:rsidR="00000000" w:rsidRPr="00000000">
        <w:rPr>
          <w:b w:val="1"/>
          <w:rtl w:val="0"/>
        </w:rPr>
        <w:t xml:space="preserve">Symitar (JHA)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 2012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Feb 2</w:t>
      </w:r>
      <w:r w:rsidDel="00000000" w:rsidR="00000000" w:rsidRPr="00000000">
        <w:rPr>
          <w:b w:val="1"/>
          <w:rtl w:val="0"/>
        </w:rPr>
        <w:t xml:space="preserve">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UI/UX and SSO features for Symitar's flagship product, Episys Quest.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an encrypted flight recorder for use in postmortem debugging of Symitar software.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Authored an XML-based test automation framework which led to the creation of 25K+ automation tests in a 12-month period.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Brought software engineering best practices to the automation team during an 18-month volunteer engagement. Resulted in improved processes including code reviews, application of coding standards and SOLID principles.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Co-authored managed-coding standards and unit testing best practices for the UX group.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Promoted from Senior Software Engineer to Software Engineer Advisory.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“Employee of the Quarter” in Dec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Consultant</w:t>
        <w:tab/>
        <w:tab/>
      </w:r>
      <w:r w:rsidDel="00000000" w:rsidR="00000000" w:rsidRPr="00000000">
        <w:rPr>
          <w:b w:val="1"/>
          <w:rtl w:val="0"/>
        </w:rPr>
        <w:t xml:space="preserve">Hitachi Solutions - Irvine,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2011 -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Converted a manual, multi-step, validation process into an automated, near-instantaneous process by creating/exposing an AX web service to an MSCRM instance that validated customer/product information.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Software Engineer</w:t>
        <w:tab/>
      </w:r>
      <w:r w:rsidDel="00000000" w:rsidR="00000000" w:rsidRPr="00000000">
        <w:rPr>
          <w:b w:val="1"/>
          <w:rtl w:val="0"/>
        </w:rPr>
        <w:t xml:space="preserve">Order One Software - San Diego, CA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Jul 2004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Jul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Produced an XML driven user interface engine written in C# that allowed a client to rapidly produce custom web form mash-ups of MSCRM fields from disparate entities. Enabled the client to visualize data in ways not otherwise supported in MSCRM.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Created a CD based (no install footprint) application in MFC/C++ for testing medical hardware. Deployed on the production floor of a Fortune 500 corporation.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Made a photo kiosk application in .NET with card reader integration, image processing, and custom form controls.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a financial calculator utilized by a client to rapidly prototype and visualize the various financial aspects of property leases.</w:t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1155cc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1155cc"/>
        </w:rPr>
      </w:pPr>
      <w:bookmarkStart w:colFirst="0" w:colLast="0" w:name="_5jnocwoa0dvd" w:id="2"/>
      <w:bookmarkEnd w:id="2"/>
      <w:r w:rsidDel="00000000" w:rsidR="00000000" w:rsidRPr="00000000">
        <w:rPr>
          <w:color w:val="1155cc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 ICAM (Interdisciplinary Computing and the Arts Major)</w:t>
      </w:r>
      <w:r w:rsidDel="00000000" w:rsidR="00000000" w:rsidRPr="00000000">
        <w:rPr>
          <w:b w:val="1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University of California San Diego, San Diego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pBdr>
          <w:top w:color="auto" w:space="0" w:sz="0" w:val="none"/>
          <w:left w:color="auto" w:space="0" w:sz="0" w:val="none"/>
          <w:bottom w:color="1155cc" w:space="2" w:sz="8" w:val="single"/>
          <w:right w:color="auto" w:space="0" w:sz="0" w:val="none"/>
        </w:pBdr>
        <w:rPr>
          <w:color w:val="1155cc"/>
        </w:rPr>
      </w:pPr>
      <w:bookmarkStart w:colFirst="0" w:colLast="0" w:name="_ubrk9gfva5pn" w:id="3"/>
      <w:bookmarkEnd w:id="3"/>
      <w:r w:rsidDel="00000000" w:rsidR="00000000" w:rsidRPr="00000000">
        <w:rPr>
          <w:color w:val="1155cc"/>
          <w:rtl w:val="0"/>
        </w:rPr>
        <w:t xml:space="preserve">Volunteer Work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tabs>
          <w:tab w:val="right" w:leader="none" w:pos="10197"/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Certified-Intermediate AYSO Referee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.belie@gmail.com" TargetMode="External"/><Relationship Id="rId7" Type="http://schemas.openxmlformats.org/officeDocument/2006/relationships/hyperlink" Target="https://www.linkedin.com/in/mikebeli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