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rFonts w:ascii="Times New Roman" w:cs="Times New Roman" w:eastAsia="Times New Roman" w:hAnsi="Times New Roman"/>
          <w:b/>
          <w:bCs/>
          <w:color w:val="E07B00"/>
          <w:sz w:val="24"/>
          <w:szCs w:val="24"/>
        </w:rPr>
        <w:t xml:space="preserve">POWERACT CONSULTING</w:t>
      </w:r>
    </w:p>
    <w:p>
      <w:pPr>
        <w:spacing w:before="300"/>
        <w:jc w:val="center"/>
      </w:pPr>
      <w:r>
        <w:rPr>
          <w:rFonts w:ascii="Times New Roman" w:cs="Times New Roman" w:eastAsia="Times New Roman" w:hAnsi="Times New Roman"/>
          <w:b/>
          <w:bCs/>
          <w:color w:val="3A3A3C"/>
          <w:sz w:val="56"/>
          <w:szCs w:val="56"/>
        </w:rPr>
        <w:t xml:space="preserve">NCP Solver — DynamicMS Suite</w:t>
      </w:r>
    </w:p>
    <w:p>
      <w:pPr>
        <w:spacing w:before="200"/>
        <w:jc w:val="center"/>
      </w:pPr>
      <w:r>
        <w:rPr>
          <w:rFonts w:ascii="Times New Roman" w:cs="Times New Roman" w:eastAsia="Times New Roman" w:hAnsi="Times New Roman"/>
          <w:b/>
          <w:bCs/>
          <w:color w:val="E07B00"/>
          <w:sz w:val="32"/>
          <w:szCs w:val="32"/>
        </w:rPr>
        <w:t xml:space="preserve">Gap Analysis vs. Technical Solution Offer &amp; Financial Offer</w:t>
      </w:r>
    </w:p>
    <w:p>
      <w:pPr>
        <w:spacing w:before="400"/>
        <w:jc w:val="center"/>
      </w:pPr>
      <w:r>
        <w:rPr>
          <w:rFonts w:ascii="Times New Roman" w:cs="Times New Roman" w:eastAsia="Times New Roman" w:hAnsi="Times New Roman"/>
          <w:i/>
          <w:iCs/>
          <w:color w:val="58595B"/>
          <w:sz w:val="22"/>
          <w:szCs w:val="22"/>
        </w:rPr>
        <w:t xml:space="preserve">Covering the September 2026 enhancement request: Configuration Management, Compliance Standards, per-step Governance (Alerts, Business Rules, Controls, Risks &amp; Opportunities, KPIs, Reports), per-step RAG grounding, AI Chatbot, Sheet Template Library, and the BPMN editor redesign.</w:t>
      </w:r>
    </w:p>
    <w:p>
      <w:pPr>
        <w:spacing w:before="800"/>
        <w:jc w:val="center"/>
      </w:pPr>
      <w:r>
        <w:rPr>
          <w:rFonts w:ascii="Times New Roman" w:cs="Times New Roman" w:eastAsia="Times New Roman" w:hAnsi="Times New Roman"/>
          <w:color w:val="808184"/>
          <w:sz w:val="20"/>
          <w:szCs w:val="20"/>
        </w:rPr>
        <w:t xml:space="preserve">September 2026 · Version 1.0 · Confidential</w:t>
      </w:r>
    </w:p>
    <w:p>
      <w:r>
        <w:br w:type="page"/>
      </w:r>
    </w:p>
    <w:p>
      <w:pPr>
        <w:pStyle w:val="Heading1"/>
        <w:pBdr>
          <w:bottom w:val="single" w:color="E07B00" w:sz="8" w:space="4"/>
        </w:pBdr>
        <w:spacing w:after="160" w:before="360"/>
      </w:pPr>
      <w:r>
        <w:rPr>
          <w:rFonts w:ascii="Times New Roman" w:cs="Times New Roman" w:eastAsia="Times New Roman" w:hAnsi="Times New Roman"/>
          <w:b/>
          <w:bCs/>
          <w:color w:val="E07B00"/>
          <w:sz w:val="34"/>
          <w:szCs w:val="34"/>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E07B00" w:sz="8" w:space="4"/>
        </w:pBdr>
        <w:spacing w:after="160" w:before="360"/>
      </w:pPr>
      <w:r>
        <w:rPr>
          <w:rFonts w:ascii="Times New Roman" w:cs="Times New Roman" w:eastAsia="Times New Roman" w:hAnsi="Times New Roman"/>
          <w:b/>
          <w:bCs/>
          <w:color w:val="E07B00"/>
          <w:sz w:val="34"/>
          <w:szCs w:val="34"/>
        </w:rPr>
        <w:t xml:space="preserve">1. Executive Summary</w:t>
      </w:r>
    </w:p>
    <w:p>
      <w:pPr>
        <w:spacing w:after="160" w:line="276"/>
        <w:jc w:val="both"/>
      </w:pPr>
      <w:r>
        <w:rPr>
          <w:rFonts w:ascii="Times New Roman" w:cs="Times New Roman" w:eastAsia="Times New Roman" w:hAnsi="Times New Roman"/>
          <w:color w:val="58595B"/>
          <w:sz w:val="24"/>
          <w:szCs w:val="24"/>
        </w:rPr>
        <w:t xml:space="preserve">This document compares the current NCP Solver — DynamicMS Suite implementation against the NCP Solver Technical Solution Offer and the NCP Solver Financial Offer, and reports on the eight-item enhancement request delivered in this release: (1) a gap analysis against the two Offer documents, (2) an in-app AI chatbot, (3) a library of NCP Sheet templates, (4) a Configuration Management module for the three Solution Packs, (5) Pack-driven activation/deactivation of Compliance &amp; Security Standards, (6) full CRUD/RBAC governance — Alerts, Business Rules, Controls, Risks &amp; Opportunities, KPIs, and Reports — surfaced on every S1–S7 process step, (7) per-step Retrieval-Augmented Generation (RAG) grounded in a seeded Standards Knowledge Base, and (8) a redesigned BPMN editor with the tool palette in its own sidebar.</w:t>
      </w:r>
    </w:p>
    <w:p>
      <w:pPr>
        <w:spacing w:after="160" w:line="276"/>
        <w:jc w:val="both"/>
      </w:pPr>
      <w:r>
        <w:rPr>
          <w:rFonts w:ascii="Times New Roman" w:cs="Times New Roman" w:eastAsia="Times New Roman" w:hAnsi="Times New Roman"/>
          <w:color w:val="58595B"/>
          <w:sz w:val="24"/>
          <w:szCs w:val="24"/>
        </w:rPr>
        <w:t xml:space="preserve">All eight items are implemented as working, testable capabilities in the reference build and were verified end-to-end in this pass: fresh database reseed, backend API checks (authentication, Pack entitlement gating, quota enforcement) across all three Solution Packs, a production frontend build, and a Playwright regression sweep of every module for each Pack tier with zero console/page errors. This document is deliberately candid about what is genuinely new functionality, what is scaffolding rather than a certified/operational capability, and what remains outside the scope of an application-layer build — see Section 9.</w:t>
      </w:r>
    </w:p>
    <w:p>
      <w:pPr>
        <w:pStyle w:val="Heading1"/>
        <w:pBdr>
          <w:bottom w:val="single" w:color="E07B00" w:sz="8" w:space="4"/>
        </w:pBdr>
        <w:spacing w:after="160" w:before="360"/>
      </w:pPr>
      <w:r>
        <w:rPr>
          <w:rFonts w:ascii="Times New Roman" w:cs="Times New Roman" w:eastAsia="Times New Roman" w:hAnsi="Times New Roman"/>
          <w:b/>
          <w:bCs/>
          <w:color w:val="E07B00"/>
          <w:sz w:val="34"/>
          <w:szCs w:val="34"/>
        </w:rPr>
        <w:t xml:space="preserve">2. Methodology</w:t>
      </w:r>
    </w:p>
    <w:p>
      <w:pPr>
        <w:spacing w:after="160" w:line="276"/>
        <w:jc w:val="both"/>
      </w:pPr>
      <w:r>
        <w:rPr>
          <w:rFonts w:ascii="Times New Roman" w:cs="Times New Roman" w:eastAsia="Times New Roman" w:hAnsi="Times New Roman"/>
          <w:color w:val="58595B"/>
          <w:sz w:val="24"/>
          <w:szCs w:val="24"/>
        </w:rPr>
        <w:t xml:space="preserve">Source documents reviewed: </w:t>
      </w:r>
      <w:r>
        <w:rPr>
          <w:rFonts w:ascii="Times New Roman" w:cs="Times New Roman" w:eastAsia="Times New Roman" w:hAnsi="Times New Roman"/>
          <w:b/>
          <w:bCs/>
          <w:color w:val="3A3A3C"/>
          <w:sz w:val="24"/>
          <w:szCs w:val="24"/>
        </w:rPr>
        <w:t xml:space="preserve">NCP Solver Technical Solution Offer</w:t>
      </w:r>
      <w:r>
        <w:rPr>
          <w:rFonts w:ascii="Times New Roman" w:cs="Times New Roman" w:eastAsia="Times New Roman" w:hAnsi="Times New Roman"/>
          <w:color w:val="58595B"/>
          <w:sz w:val="24"/>
          <w:szCs w:val="24"/>
        </w:rPr>
        <w:t xml:space="preserve"> (deployment modes, Solution Packs, configuration &amp; scale options, Add-On Catalog, Integration Catalog, Compliance &amp; Security Standards, Annex A Standards Library) and </w:t>
      </w:r>
      <w:r>
        <w:rPr>
          <w:rFonts w:ascii="Times New Roman" w:cs="Times New Roman" w:eastAsia="Times New Roman" w:hAnsi="Times New Roman"/>
          <w:b/>
          <w:bCs/>
          <w:color w:val="3A3A3C"/>
          <w:sz w:val="24"/>
          <w:szCs w:val="24"/>
        </w:rPr>
        <w:t xml:space="preserve">NCP Solver Financial Offer</w:t>
      </w:r>
      <w:r>
        <w:rPr>
          <w:rFonts w:ascii="Times New Roman" w:cs="Times New Roman" w:eastAsia="Times New Roman" w:hAnsi="Times New Roman"/>
          <w:color w:val="58595B"/>
          <w:sz w:val="24"/>
          <w:szCs w:val="24"/>
        </w:rPr>
        <w:t xml:space="preserve"> (Enablement fees, License Ranges, Compliance Standard fees, Integration fees, Add-On Catalog fees, Maintenance Tiers).</w:t>
      </w:r>
    </w:p>
    <w:p>
      <w:pPr>
        <w:spacing w:after="160" w:line="276"/>
        <w:jc w:val="both"/>
      </w:pPr>
      <w:r>
        <w:rPr>
          <w:rFonts w:ascii="Times New Roman" w:cs="Times New Roman" w:eastAsia="Times New Roman" w:hAnsi="Times New Roman"/>
          <w:color w:val="58595B"/>
          <w:sz w:val="24"/>
          <w:szCs w:val="24"/>
        </w:rPr>
        <w:t xml:space="preserve">Each Offer item was matched to a concrete, testable feature in the codebase — a database column, an API route, a UI page — rather than assessed narratively. Every claim of "Implemented" in this report was verified against a running instance: the SQLite schema, a live API call, or a Playwright-driven browser session.</w:t>
      </w:r>
    </w:p>
    <w:p>
      <w:pPr>
        <w:pStyle w:val="Heading3"/>
        <w:spacing w:after="100" w:before="200"/>
      </w:pPr>
      <w:r>
        <w:rPr>
          <w:rFonts w:ascii="Times New Roman" w:cs="Times New Roman" w:eastAsia="Times New Roman" w:hAnsi="Times New Roman"/>
          <w:b/>
          <w:bCs/>
          <w:color w:val="E07B00"/>
          <w:sz w:val="24"/>
          <w:szCs w:val="24"/>
        </w:rPr>
        <w:t xml:space="preserve">Verification performed for this report</w:t>
      </w:r>
    </w:p>
    <w:p>
      <w:pPr>
        <w:pStyle w:val="ListParagraph"/>
        <w:numPr>
          <w:ilvl w:val="0"/>
          <w:numId w:val="2"/>
        </w:numPr>
        <w:spacing w:after="90" w:line="276"/>
      </w:pPr>
      <w:r>
        <w:rPr>
          <w:rFonts w:ascii="Times New Roman" w:cs="Times New Roman" w:eastAsia="Times New Roman" w:hAnsi="Times New Roman"/>
          <w:color w:val="58595B"/>
          <w:sz w:val="24"/>
          <w:szCs w:val="24"/>
        </w:rPr>
        <w:t xml:space="preserve">Full database reset and re-seed from an empty state, confirming zero seed-time errors.</w:t>
      </w:r>
    </w:p>
    <w:p>
      <w:pPr>
        <w:pStyle w:val="ListParagraph"/>
        <w:numPr>
          <w:ilvl w:val="0"/>
          <w:numId w:val="2"/>
        </w:numPr>
        <w:spacing w:after="90" w:line="276"/>
      </w:pPr>
      <w:r>
        <w:rPr>
          <w:rFonts w:ascii="Times New Roman" w:cs="Times New Roman" w:eastAsia="Times New Roman" w:hAnsi="Times New Roman"/>
          <w:color w:val="58595B"/>
          <w:sz w:val="24"/>
          <w:szCs w:val="24"/>
        </w:rPr>
        <w:t xml:space="preserve">Backend API checks for the Resolve, Govern, and Assure Packs: login, Pack config (`GET /license/config`), quota usage (`GET /license/usage`), and both a success (200) and a denial (403 `pack_feature_not_included`) case for a Pack-gated route.</w:t>
      </w:r>
    </w:p>
    <w:p>
      <w:pPr>
        <w:pStyle w:val="ListParagraph"/>
        <w:numPr>
          <w:ilvl w:val="0"/>
          <w:numId w:val="2"/>
        </w:numPr>
        <w:spacing w:after="90" w:line="276"/>
      </w:pPr>
      <w:r>
        <w:rPr>
          <w:rFonts w:ascii="Times New Roman" w:cs="Times New Roman" w:eastAsia="Times New Roman" w:hAnsi="Times New Roman"/>
          <w:color w:val="58595B"/>
          <w:sz w:val="24"/>
          <w:szCs w:val="24"/>
        </w:rPr>
        <w:t xml:space="preserve">A production frontend build (`vite build`) with zero compile errors.</w:t>
      </w:r>
    </w:p>
    <w:p>
      <w:pPr>
        <w:pStyle w:val="ListParagraph"/>
        <w:numPr>
          <w:ilvl w:val="0"/>
          <w:numId w:val="2"/>
        </w:numPr>
        <w:spacing w:after="90" w:line="276"/>
      </w:pPr>
      <w:r>
        <w:rPr>
          <w:rFonts w:ascii="Times New Roman" w:cs="Times New Roman" w:eastAsia="Times New Roman" w:hAnsi="Times New Roman"/>
          <w:color w:val="58595B"/>
          <w:sz w:val="24"/>
          <w:szCs w:val="24"/>
        </w:rPr>
        <w:t xml:space="preserve">A Playwright regression pass covering every navigable module for one organization on each Solution Pack (Horizon on Resolve, Solaris on Govern, Meridian Industrial Manufacturing on Assure), with zero JavaScript console or page errors across all pages visited.</w:t>
      </w:r>
    </w:p>
    <w:p>
      <w:pPr>
        <w:pStyle w:val="ListParagraph"/>
        <w:numPr>
          <w:ilvl w:val="0"/>
          <w:numId w:val="2"/>
        </w:numPr>
        <w:spacing w:after="90" w:line="276"/>
      </w:pPr>
      <w:r>
        <w:rPr>
          <w:rFonts w:ascii="Times New Roman" w:cs="Times New Roman" w:eastAsia="Times New Roman" w:hAnsi="Times New Roman"/>
          <w:color w:val="58595B"/>
          <w:sz w:val="24"/>
          <w:szCs w:val="24"/>
        </w:rPr>
        <w:t xml:space="preserve">Visual verification via screenshots of the three newest UI surfaces: the redesigned BPMN editor, the floating chatbot widget, and the per-stage Governance panel on an NCP Sheet.</w:t>
      </w:r>
    </w:p>
    <w:p>
      <w:pPr>
        <w:pStyle w:val="Heading1"/>
        <w:pBdr>
          <w:bottom w:val="single" w:color="E07B00" w:sz="8" w:space="4"/>
        </w:pBdr>
        <w:spacing w:after="160" w:before="360"/>
      </w:pPr>
      <w:r>
        <w:rPr>
          <w:rFonts w:ascii="Times New Roman" w:cs="Times New Roman" w:eastAsia="Times New Roman" w:hAnsi="Times New Roman"/>
          <w:b/>
          <w:bCs/>
          <w:color w:val="E07B00"/>
          <w:sz w:val="34"/>
          <w:szCs w:val="34"/>
        </w:rPr>
        <w:t xml:space="preserve">3. Configuration Management: Solution Packs, Add-Ons, Deployment &amp; Compliance (Items 1, 4, 5)</w:t>
      </w:r>
    </w:p>
    <w:p>
      <w:pPr>
        <w:pStyle w:val="Heading2"/>
        <w:spacing w:after="120" w:before="260"/>
      </w:pPr>
      <w:r>
        <w:rPr>
          <w:rFonts w:ascii="Times New Roman" w:cs="Times New Roman" w:eastAsia="Times New Roman" w:hAnsi="Times New Roman"/>
          <w:b/>
          <w:bCs/>
          <w:color w:val="3A3A3C"/>
          <w:sz w:val="27"/>
          <w:szCs w:val="27"/>
        </w:rPr>
        <w:t xml:space="preserve">3.1 Solution Pack feature matrix</w:t>
      </w:r>
    </w:p>
    <w:p>
      <w:pPr>
        <w:spacing w:after="160" w:line="276"/>
        <w:jc w:val="both"/>
      </w:pPr>
      <w:r>
        <w:rPr>
          <w:rFonts w:ascii="Times New Roman" w:cs="Times New Roman" w:eastAsia="Times New Roman" w:hAnsi="Times New Roman"/>
          <w:color w:val="58595B"/>
          <w:sz w:val="24"/>
          <w:szCs w:val="24"/>
        </w:rPr>
        <w:t xml:space="preserve">The three Solution Packs described in the Technical Solution Offer are now modeled as a single source of truth (`server/src/services/packConfig.js`) and enforced server-side on every gated route, not just hidden in the UI. The table below matches the Offer’s Solution Packs Overview line-for-line.</w:t>
      </w:r>
    </w:p>
    <w:tbl>
      <w:tblPr>
        <w:tblW w:type="dxa" w:w="9360"/>
        <w:tblBorders>
          <w:top w:val="single" w:color="E3E3E4" w:sz="2"/>
          <w:left w:val="single" w:color="E3E3E4" w:sz="2"/>
          <w:bottom w:val="single" w:color="E3E3E4" w:sz="2"/>
          <w:right w:val="single" w:color="E3E3E4" w:sz="2"/>
          <w:insideH w:val="single" w:color="E3E3E4" w:sz="2"/>
          <w:insideV w:val="single" w:color="E3E3E4" w:sz="2"/>
        </w:tblBorders>
      </w:tblPr>
      <w:tblGrid>
        <w:gridCol w:w="3200"/>
        <w:gridCol w:w="2050"/>
        <w:gridCol w:w="2050"/>
        <w:gridCol w:w="2060"/>
      </w:tblGrid>
      <w:tr>
        <w:trPr>
          <w:tblHeader/>
        </w:trPr>
        <w:tc>
          <w:tcPr>
            <w:tcW w:type="dxa" w:w="3200"/>
            <w:shd w:fill="F8931D" w:val="clear"/>
            <w:tcMar>
              <w:top w:type="dxa" w:w="60"/>
              <w:left w:type="dxa" w:w="100"/>
              <w:bottom w:type="dxa" w:w="60"/>
              <w:right w:type="dxa" w:w="100"/>
            </w:tcMar>
          </w:tcPr>
          <w:p>
            <w:r>
              <w:rPr>
                <w:rFonts w:ascii="Times New Roman" w:cs="Times New Roman" w:eastAsia="Times New Roman" w:hAnsi="Times New Roman"/>
                <w:b/>
                <w:bCs/>
                <w:color w:val="FFFFFF"/>
                <w:sz w:val="19"/>
                <w:szCs w:val="19"/>
              </w:rPr>
              <w:t xml:space="preserve">Dimension</w:t>
            </w:r>
          </w:p>
        </w:tc>
        <w:tc>
          <w:tcPr>
            <w:tcW w:type="dxa" w:w="2050"/>
            <w:shd w:fill="F8931D" w:val="clear"/>
            <w:tcMar>
              <w:top w:type="dxa" w:w="60"/>
              <w:left w:type="dxa" w:w="100"/>
              <w:bottom w:type="dxa" w:w="60"/>
              <w:right w:type="dxa" w:w="100"/>
            </w:tcMar>
          </w:tcPr>
          <w:p>
            <w:r>
              <w:rPr>
                <w:rFonts w:ascii="Times New Roman" w:cs="Times New Roman" w:eastAsia="Times New Roman" w:hAnsi="Times New Roman"/>
                <w:b/>
                <w:bCs/>
                <w:color w:val="FFFFFF"/>
                <w:sz w:val="19"/>
                <w:szCs w:val="19"/>
              </w:rPr>
              <w:t xml:space="preserve">Resolve (Essentials)</w:t>
            </w:r>
          </w:p>
        </w:tc>
        <w:tc>
          <w:tcPr>
            <w:tcW w:type="dxa" w:w="2050"/>
            <w:shd w:fill="F8931D" w:val="clear"/>
            <w:tcMar>
              <w:top w:type="dxa" w:w="60"/>
              <w:left w:type="dxa" w:w="100"/>
              <w:bottom w:type="dxa" w:w="60"/>
              <w:right w:type="dxa" w:w="100"/>
            </w:tcMar>
          </w:tcPr>
          <w:p>
            <w:r>
              <w:rPr>
                <w:rFonts w:ascii="Times New Roman" w:cs="Times New Roman" w:eastAsia="Times New Roman" w:hAnsi="Times New Roman"/>
                <w:b/>
                <w:bCs/>
                <w:color w:val="FFFFFF"/>
                <w:sz w:val="19"/>
                <w:szCs w:val="19"/>
              </w:rPr>
              <w:t xml:space="preserve">Govern (Professional)</w:t>
            </w:r>
          </w:p>
        </w:tc>
        <w:tc>
          <w:tcPr>
            <w:tcW w:type="dxa" w:w="2060"/>
            <w:shd w:fill="F8931D" w:val="clear"/>
            <w:tcMar>
              <w:top w:type="dxa" w:w="60"/>
              <w:left w:type="dxa" w:w="100"/>
              <w:bottom w:type="dxa" w:w="60"/>
              <w:right w:type="dxa" w:w="100"/>
            </w:tcMar>
          </w:tcPr>
          <w:p>
            <w:r>
              <w:rPr>
                <w:rFonts w:ascii="Times New Roman" w:cs="Times New Roman" w:eastAsia="Times New Roman" w:hAnsi="Times New Roman"/>
                <w:b/>
                <w:bCs/>
                <w:color w:val="FFFFFF"/>
                <w:sz w:val="19"/>
                <w:szCs w:val="19"/>
              </w:rPr>
              <w:t xml:space="preserve">Assure (Enterprise)</w:t>
            </w:r>
          </w:p>
        </w:tc>
      </w:tr>
      <w:tr>
        <w:tc>
          <w:tcPr>
            <w:tcW w:type="dxa" w:w="3200"/>
            <w:tcMar>
              <w:top w:type="dxa" w:w="60"/>
              <w:left w:type="dxa" w:w="100"/>
              <w:bottom w:type="dxa" w:w="60"/>
              <w:right w:type="dxa" w:w="100"/>
            </w:tcMar>
          </w:tcPr>
          <w:p>
            <w:r>
              <w:rPr>
                <w:rFonts w:ascii="Times New Roman" w:cs="Times New Roman" w:eastAsia="Times New Roman" w:hAnsi="Times New Roman"/>
                <w:b w:val="false"/>
                <w:bCs w:val="false"/>
                <w:color w:val="58595B"/>
                <w:sz w:val="19"/>
                <w:szCs w:val="19"/>
              </w:rPr>
              <w:t xml:space="preserve">AI Use Cases included</w:t>
            </w:r>
          </w:p>
        </w:tc>
        <w:tc>
          <w:tcPr>
            <w:tcW w:type="dxa" w:w="2050"/>
            <w:tcMar>
              <w:top w:type="dxa" w:w="60"/>
              <w:left w:type="dxa" w:w="100"/>
              <w:bottom w:type="dxa" w:w="60"/>
              <w:right w:type="dxa" w:w="100"/>
            </w:tcMar>
          </w:tcPr>
          <w:p>
            <w:r>
              <w:rPr>
                <w:rFonts w:ascii="Times New Roman" w:cs="Times New Roman" w:eastAsia="Times New Roman" w:hAnsi="Times New Roman"/>
                <w:b w:val="false"/>
                <w:bCs w:val="false"/>
                <w:color w:val="58595B"/>
                <w:sz w:val="19"/>
                <w:szCs w:val="19"/>
              </w:rPr>
              <w:t xml:space="preserve">3</w:t>
            </w:r>
          </w:p>
        </w:tc>
        <w:tc>
          <w:tcPr>
            <w:tcW w:type="dxa" w:w="2050"/>
            <w:tcMar>
              <w:top w:type="dxa" w:w="60"/>
              <w:left w:type="dxa" w:w="100"/>
              <w:bottom w:type="dxa" w:w="60"/>
              <w:right w:type="dxa" w:w="100"/>
            </w:tcMar>
          </w:tcPr>
          <w:p>
            <w:r>
              <w:rPr>
                <w:rFonts w:ascii="Times New Roman" w:cs="Times New Roman" w:eastAsia="Times New Roman" w:hAnsi="Times New Roman"/>
                <w:b w:val="false"/>
                <w:bCs w:val="false"/>
                <w:color w:val="58595B"/>
                <w:sz w:val="19"/>
                <w:szCs w:val="19"/>
              </w:rPr>
              <w:t xml:space="preserve">7</w:t>
            </w:r>
          </w:p>
        </w:tc>
        <w:tc>
          <w:tcPr>
            <w:tcW w:type="dxa" w:w="2060"/>
            <w:tcMar>
              <w:top w:type="dxa" w:w="60"/>
              <w:left w:type="dxa" w:w="100"/>
              <w:bottom w:type="dxa" w:w="60"/>
              <w:right w:type="dxa" w:w="100"/>
            </w:tcMar>
          </w:tcPr>
          <w:p>
            <w:r>
              <w:rPr>
                <w:rFonts w:ascii="Times New Roman" w:cs="Times New Roman" w:eastAsia="Times New Roman" w:hAnsi="Times New Roman"/>
                <w:b w:val="false"/>
                <w:bCs w:val="false"/>
                <w:color w:val="58595B"/>
                <w:sz w:val="19"/>
                <w:szCs w:val="19"/>
              </w:rPr>
              <w:t xml:space="preserve">14</w:t>
            </w:r>
          </w:p>
        </w:tc>
      </w:tr>
      <w:tr>
        <w:tc>
          <w:tcPr>
            <w:tcW w:type="dxa" w:w="32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9"/>
                <w:szCs w:val="19"/>
              </w:rPr>
              <w:t xml:space="preserve">Custom AI Use Cases allowed</w:t>
            </w:r>
          </w:p>
        </w:tc>
        <w:tc>
          <w:tcPr>
            <w:tcW w:type="dxa" w:w="205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9"/>
                <w:szCs w:val="19"/>
              </w:rPr>
              <w:t xml:space="preserve">0</w:t>
            </w:r>
          </w:p>
        </w:tc>
        <w:tc>
          <w:tcPr>
            <w:tcW w:type="dxa" w:w="205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9"/>
                <w:szCs w:val="19"/>
              </w:rPr>
              <w:t xml:space="preserve">5</w:t>
            </w:r>
          </w:p>
        </w:tc>
        <w:tc>
          <w:tcPr>
            <w:tcW w:type="dxa" w:w="20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9"/>
                <w:szCs w:val="19"/>
              </w:rPr>
              <w:t xml:space="preserve">25</w:t>
            </w:r>
          </w:p>
        </w:tc>
      </w:tr>
      <w:tr>
        <w:tc>
          <w:tcPr>
            <w:tcW w:type="dxa" w:w="3200"/>
            <w:tcMar>
              <w:top w:type="dxa" w:w="60"/>
              <w:left w:type="dxa" w:w="100"/>
              <w:bottom w:type="dxa" w:w="60"/>
              <w:right w:type="dxa" w:w="100"/>
            </w:tcMar>
          </w:tcPr>
          <w:p>
            <w:r>
              <w:rPr>
                <w:rFonts w:ascii="Times New Roman" w:cs="Times New Roman" w:eastAsia="Times New Roman" w:hAnsi="Times New Roman"/>
                <w:b w:val="false"/>
                <w:bCs w:val="false"/>
                <w:color w:val="58595B"/>
                <w:sz w:val="19"/>
                <w:szCs w:val="19"/>
              </w:rPr>
              <w:t xml:space="preserve">Max AI Use Cases (combined)</w:t>
            </w:r>
          </w:p>
        </w:tc>
        <w:tc>
          <w:tcPr>
            <w:tcW w:type="dxa" w:w="2050"/>
            <w:tcMar>
              <w:top w:type="dxa" w:w="60"/>
              <w:left w:type="dxa" w:w="100"/>
              <w:bottom w:type="dxa" w:w="60"/>
              <w:right w:type="dxa" w:w="100"/>
            </w:tcMar>
          </w:tcPr>
          <w:p>
            <w:r>
              <w:rPr>
                <w:rFonts w:ascii="Times New Roman" w:cs="Times New Roman" w:eastAsia="Times New Roman" w:hAnsi="Times New Roman"/>
                <w:b w:val="false"/>
                <w:bCs w:val="false"/>
                <w:color w:val="58595B"/>
                <w:sz w:val="19"/>
                <w:szCs w:val="19"/>
              </w:rPr>
              <w:t xml:space="preserve">3</w:t>
            </w:r>
          </w:p>
        </w:tc>
        <w:tc>
          <w:tcPr>
            <w:tcW w:type="dxa" w:w="2050"/>
            <w:tcMar>
              <w:top w:type="dxa" w:w="60"/>
              <w:left w:type="dxa" w:w="100"/>
              <w:bottom w:type="dxa" w:w="60"/>
              <w:right w:type="dxa" w:w="100"/>
            </w:tcMar>
          </w:tcPr>
          <w:p>
            <w:r>
              <w:rPr>
                <w:rFonts w:ascii="Times New Roman" w:cs="Times New Roman" w:eastAsia="Times New Roman" w:hAnsi="Times New Roman"/>
                <w:b w:val="false"/>
                <w:bCs w:val="false"/>
                <w:color w:val="58595B"/>
                <w:sz w:val="19"/>
                <w:szCs w:val="19"/>
              </w:rPr>
              <w:t xml:space="preserve">12</w:t>
            </w:r>
          </w:p>
        </w:tc>
        <w:tc>
          <w:tcPr>
            <w:tcW w:type="dxa" w:w="2060"/>
            <w:tcMar>
              <w:top w:type="dxa" w:w="60"/>
              <w:left w:type="dxa" w:w="100"/>
              <w:bottom w:type="dxa" w:w="60"/>
              <w:right w:type="dxa" w:w="100"/>
            </w:tcMar>
          </w:tcPr>
          <w:p>
            <w:r>
              <w:rPr>
                <w:rFonts w:ascii="Times New Roman" w:cs="Times New Roman" w:eastAsia="Times New Roman" w:hAnsi="Times New Roman"/>
                <w:b w:val="false"/>
                <w:bCs w:val="false"/>
                <w:color w:val="58595B"/>
                <w:sz w:val="19"/>
                <w:szCs w:val="19"/>
              </w:rPr>
              <w:t xml:space="preserve">Unlimited</w:t>
            </w:r>
          </w:p>
        </w:tc>
      </w:tr>
      <w:tr>
        <w:tc>
          <w:tcPr>
            <w:tcW w:type="dxa" w:w="32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9"/>
                <w:szCs w:val="19"/>
              </w:rPr>
              <w:t xml:space="preserve">GRC modules (Business Rules / Controls / Risks / RACSI)</w:t>
            </w:r>
          </w:p>
        </w:tc>
        <w:tc>
          <w:tcPr>
            <w:tcW w:type="dxa" w:w="205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9"/>
                <w:szCs w:val="19"/>
              </w:rPr>
              <w:t xml:space="preserve">No</w:t>
            </w:r>
          </w:p>
        </w:tc>
        <w:tc>
          <w:tcPr>
            <w:tcW w:type="dxa" w:w="205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9"/>
                <w:szCs w:val="19"/>
              </w:rPr>
              <w:t xml:space="preserve">Yes</w:t>
            </w:r>
          </w:p>
        </w:tc>
        <w:tc>
          <w:tcPr>
            <w:tcW w:type="dxa" w:w="20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9"/>
                <w:szCs w:val="19"/>
              </w:rPr>
              <w:t xml:space="preserve">Yes</w:t>
            </w:r>
          </w:p>
        </w:tc>
      </w:tr>
      <w:tr>
        <w:tc>
          <w:tcPr>
            <w:tcW w:type="dxa" w:w="3200"/>
            <w:tcMar>
              <w:top w:type="dxa" w:w="60"/>
              <w:left w:type="dxa" w:w="100"/>
              <w:bottom w:type="dxa" w:w="60"/>
              <w:right w:type="dxa" w:w="100"/>
            </w:tcMar>
          </w:tcPr>
          <w:p>
            <w:r>
              <w:rPr>
                <w:rFonts w:ascii="Times New Roman" w:cs="Times New Roman" w:eastAsia="Times New Roman" w:hAnsi="Times New Roman"/>
                <w:b w:val="false"/>
                <w:bCs w:val="false"/>
                <w:color w:val="58595B"/>
                <w:sz w:val="19"/>
                <w:szCs w:val="19"/>
              </w:rPr>
              <w:t xml:space="preserve">Capitalization Library &amp; RAG</w:t>
            </w:r>
          </w:p>
        </w:tc>
        <w:tc>
          <w:tcPr>
            <w:tcW w:type="dxa" w:w="2050"/>
            <w:tcMar>
              <w:top w:type="dxa" w:w="60"/>
              <w:left w:type="dxa" w:w="100"/>
              <w:bottom w:type="dxa" w:w="60"/>
              <w:right w:type="dxa" w:w="100"/>
            </w:tcMar>
          </w:tcPr>
          <w:p>
            <w:r>
              <w:rPr>
                <w:rFonts w:ascii="Times New Roman" w:cs="Times New Roman" w:eastAsia="Times New Roman" w:hAnsi="Times New Roman"/>
                <w:b w:val="false"/>
                <w:bCs w:val="false"/>
                <w:color w:val="58595B"/>
                <w:sz w:val="19"/>
                <w:szCs w:val="19"/>
              </w:rPr>
              <w:t xml:space="preserve">No</w:t>
            </w:r>
          </w:p>
        </w:tc>
        <w:tc>
          <w:tcPr>
            <w:tcW w:type="dxa" w:w="2050"/>
            <w:tcMar>
              <w:top w:type="dxa" w:w="60"/>
              <w:left w:type="dxa" w:w="100"/>
              <w:bottom w:type="dxa" w:w="60"/>
              <w:right w:type="dxa" w:w="100"/>
            </w:tcMar>
          </w:tcPr>
          <w:p>
            <w:r>
              <w:rPr>
                <w:rFonts w:ascii="Times New Roman" w:cs="Times New Roman" w:eastAsia="Times New Roman" w:hAnsi="Times New Roman"/>
                <w:b w:val="false"/>
                <w:bCs w:val="false"/>
                <w:color w:val="58595B"/>
                <w:sz w:val="19"/>
                <w:szCs w:val="19"/>
              </w:rPr>
              <w:t xml:space="preserve">Yes</w:t>
            </w:r>
          </w:p>
        </w:tc>
        <w:tc>
          <w:tcPr>
            <w:tcW w:type="dxa" w:w="2060"/>
            <w:tcMar>
              <w:top w:type="dxa" w:w="60"/>
              <w:left w:type="dxa" w:w="100"/>
              <w:bottom w:type="dxa" w:w="60"/>
              <w:right w:type="dxa" w:w="100"/>
            </w:tcMar>
          </w:tcPr>
          <w:p>
            <w:r>
              <w:rPr>
                <w:rFonts w:ascii="Times New Roman" w:cs="Times New Roman" w:eastAsia="Times New Roman" w:hAnsi="Times New Roman"/>
                <w:b w:val="false"/>
                <w:bCs w:val="false"/>
                <w:color w:val="58595B"/>
                <w:sz w:val="19"/>
                <w:szCs w:val="19"/>
              </w:rPr>
              <w:t xml:space="preserve">Yes</w:t>
            </w:r>
          </w:p>
        </w:tc>
      </w:tr>
      <w:tr>
        <w:tc>
          <w:tcPr>
            <w:tcW w:type="dxa" w:w="32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9"/>
                <w:szCs w:val="19"/>
              </w:rPr>
              <w:t xml:space="preserve">BPMN mode</w:t>
            </w:r>
          </w:p>
        </w:tc>
        <w:tc>
          <w:tcPr>
            <w:tcW w:type="dxa" w:w="205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9"/>
                <w:szCs w:val="19"/>
              </w:rPr>
              <w:t xml:space="preserve">None</w:t>
            </w:r>
          </w:p>
        </w:tc>
        <w:tc>
          <w:tcPr>
            <w:tcW w:type="dxa" w:w="205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9"/>
                <w:szCs w:val="19"/>
              </w:rPr>
              <w:t xml:space="preserve">View only</w:t>
            </w:r>
          </w:p>
        </w:tc>
        <w:tc>
          <w:tcPr>
            <w:tcW w:type="dxa" w:w="20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9"/>
                <w:szCs w:val="19"/>
              </w:rPr>
              <w:t xml:space="preserve">Full edit</w:t>
            </w:r>
          </w:p>
        </w:tc>
      </w:tr>
      <w:tr>
        <w:tc>
          <w:tcPr>
            <w:tcW w:type="dxa" w:w="3200"/>
            <w:tcMar>
              <w:top w:type="dxa" w:w="60"/>
              <w:left w:type="dxa" w:w="100"/>
              <w:bottom w:type="dxa" w:w="60"/>
              <w:right w:type="dxa" w:w="100"/>
            </w:tcMar>
          </w:tcPr>
          <w:p>
            <w:r>
              <w:rPr>
                <w:rFonts w:ascii="Times New Roman" w:cs="Times New Roman" w:eastAsia="Times New Roman" w:hAnsi="Times New Roman"/>
                <w:b w:val="false"/>
                <w:bCs w:val="false"/>
                <w:color w:val="58595B"/>
                <w:sz w:val="19"/>
                <w:szCs w:val="19"/>
              </w:rPr>
              <w:t xml:space="preserve">AI Assistant (chat)</w:t>
            </w:r>
          </w:p>
        </w:tc>
        <w:tc>
          <w:tcPr>
            <w:tcW w:type="dxa" w:w="2050"/>
            <w:tcMar>
              <w:top w:type="dxa" w:w="60"/>
              <w:left w:type="dxa" w:w="100"/>
              <w:bottom w:type="dxa" w:w="60"/>
              <w:right w:type="dxa" w:w="100"/>
            </w:tcMar>
          </w:tcPr>
          <w:p>
            <w:r>
              <w:rPr>
                <w:rFonts w:ascii="Times New Roman" w:cs="Times New Roman" w:eastAsia="Times New Roman" w:hAnsi="Times New Roman"/>
                <w:b w:val="false"/>
                <w:bCs w:val="false"/>
                <w:color w:val="58595B"/>
                <w:sz w:val="19"/>
                <w:szCs w:val="19"/>
              </w:rPr>
              <w:t xml:space="preserve">No</w:t>
            </w:r>
          </w:p>
        </w:tc>
        <w:tc>
          <w:tcPr>
            <w:tcW w:type="dxa" w:w="2050"/>
            <w:tcMar>
              <w:top w:type="dxa" w:w="60"/>
              <w:left w:type="dxa" w:w="100"/>
              <w:bottom w:type="dxa" w:w="60"/>
              <w:right w:type="dxa" w:w="100"/>
            </w:tcMar>
          </w:tcPr>
          <w:p>
            <w:r>
              <w:rPr>
                <w:rFonts w:ascii="Times New Roman" w:cs="Times New Roman" w:eastAsia="Times New Roman" w:hAnsi="Times New Roman"/>
                <w:b w:val="false"/>
                <w:bCs w:val="false"/>
                <w:color w:val="58595B"/>
                <w:sz w:val="19"/>
                <w:szCs w:val="19"/>
              </w:rPr>
              <w:t xml:space="preserve">No</w:t>
            </w:r>
          </w:p>
        </w:tc>
        <w:tc>
          <w:tcPr>
            <w:tcW w:type="dxa" w:w="2060"/>
            <w:tcMar>
              <w:top w:type="dxa" w:w="60"/>
              <w:left w:type="dxa" w:w="100"/>
              <w:bottom w:type="dxa" w:w="60"/>
              <w:right w:type="dxa" w:w="100"/>
            </w:tcMar>
          </w:tcPr>
          <w:p>
            <w:r>
              <w:rPr>
                <w:rFonts w:ascii="Times New Roman" w:cs="Times New Roman" w:eastAsia="Times New Roman" w:hAnsi="Times New Roman"/>
                <w:b w:val="false"/>
                <w:bCs w:val="false"/>
                <w:color w:val="58595B"/>
                <w:sz w:val="19"/>
                <w:szCs w:val="19"/>
              </w:rPr>
              <w:t xml:space="preserve">Yes</w:t>
            </w:r>
          </w:p>
        </w:tc>
      </w:tr>
      <w:tr>
        <w:tc>
          <w:tcPr>
            <w:tcW w:type="dxa" w:w="32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9"/>
                <w:szCs w:val="19"/>
              </w:rPr>
              <w:t xml:space="preserve">Custom Roles</w:t>
            </w:r>
          </w:p>
        </w:tc>
        <w:tc>
          <w:tcPr>
            <w:tcW w:type="dxa" w:w="205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9"/>
                <w:szCs w:val="19"/>
              </w:rPr>
              <w:t xml:space="preserve">No</w:t>
            </w:r>
          </w:p>
        </w:tc>
        <w:tc>
          <w:tcPr>
            <w:tcW w:type="dxa" w:w="205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9"/>
                <w:szCs w:val="19"/>
              </w:rPr>
              <w:t xml:space="preserve">Yes</w:t>
            </w:r>
          </w:p>
        </w:tc>
        <w:tc>
          <w:tcPr>
            <w:tcW w:type="dxa" w:w="20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9"/>
                <w:szCs w:val="19"/>
              </w:rPr>
              <w:t xml:space="preserve">Yes</w:t>
            </w:r>
          </w:p>
        </w:tc>
      </w:tr>
      <w:tr>
        <w:tc>
          <w:tcPr>
            <w:tcW w:type="dxa" w:w="3200"/>
            <w:tcMar>
              <w:top w:type="dxa" w:w="60"/>
              <w:left w:type="dxa" w:w="100"/>
              <w:bottom w:type="dxa" w:w="60"/>
              <w:right w:type="dxa" w:w="100"/>
            </w:tcMar>
          </w:tcPr>
          <w:p>
            <w:r>
              <w:rPr>
                <w:rFonts w:ascii="Times New Roman" w:cs="Times New Roman" w:eastAsia="Times New Roman" w:hAnsi="Times New Roman"/>
                <w:b w:val="false"/>
                <w:bCs w:val="false"/>
                <w:color w:val="58595B"/>
                <w:sz w:val="19"/>
                <w:szCs w:val="19"/>
              </w:rPr>
              <w:t xml:space="preserve">Integrations included</w:t>
            </w:r>
          </w:p>
        </w:tc>
        <w:tc>
          <w:tcPr>
            <w:tcW w:type="dxa" w:w="2050"/>
            <w:tcMar>
              <w:top w:type="dxa" w:w="60"/>
              <w:left w:type="dxa" w:w="100"/>
              <w:bottom w:type="dxa" w:w="60"/>
              <w:right w:type="dxa" w:w="100"/>
            </w:tcMar>
          </w:tcPr>
          <w:p>
            <w:r>
              <w:rPr>
                <w:rFonts w:ascii="Times New Roman" w:cs="Times New Roman" w:eastAsia="Times New Roman" w:hAnsi="Times New Roman"/>
                <w:b w:val="false"/>
                <w:bCs w:val="false"/>
                <w:color w:val="58595B"/>
                <w:sz w:val="19"/>
                <w:szCs w:val="19"/>
              </w:rPr>
              <w:t xml:space="preserve">0</w:t>
            </w:r>
          </w:p>
        </w:tc>
        <w:tc>
          <w:tcPr>
            <w:tcW w:type="dxa" w:w="2050"/>
            <w:tcMar>
              <w:top w:type="dxa" w:w="60"/>
              <w:left w:type="dxa" w:w="100"/>
              <w:bottom w:type="dxa" w:w="60"/>
              <w:right w:type="dxa" w:w="100"/>
            </w:tcMar>
          </w:tcPr>
          <w:p>
            <w:r>
              <w:rPr>
                <w:rFonts w:ascii="Times New Roman" w:cs="Times New Roman" w:eastAsia="Times New Roman" w:hAnsi="Times New Roman"/>
                <w:b w:val="false"/>
                <w:bCs w:val="false"/>
                <w:color w:val="58595B"/>
                <w:sz w:val="19"/>
                <w:szCs w:val="19"/>
              </w:rPr>
              <w:t xml:space="preserve">2</w:t>
            </w:r>
          </w:p>
        </w:tc>
        <w:tc>
          <w:tcPr>
            <w:tcW w:type="dxa" w:w="2060"/>
            <w:tcMar>
              <w:top w:type="dxa" w:w="60"/>
              <w:left w:type="dxa" w:w="100"/>
              <w:bottom w:type="dxa" w:w="60"/>
              <w:right w:type="dxa" w:w="100"/>
            </w:tcMar>
          </w:tcPr>
          <w:p>
            <w:r>
              <w:rPr>
                <w:rFonts w:ascii="Times New Roman" w:cs="Times New Roman" w:eastAsia="Times New Roman" w:hAnsi="Times New Roman"/>
                <w:b w:val="false"/>
                <w:bCs w:val="false"/>
                <w:color w:val="58595B"/>
                <w:sz w:val="19"/>
                <w:szCs w:val="19"/>
              </w:rPr>
              <w:t xml:space="preserve">5</w:t>
            </w:r>
          </w:p>
        </w:tc>
      </w:tr>
      <w:tr>
        <w:tc>
          <w:tcPr>
            <w:tcW w:type="dxa" w:w="32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9"/>
                <w:szCs w:val="19"/>
              </w:rPr>
              <w:t xml:space="preserve">Standards included</w:t>
            </w:r>
          </w:p>
        </w:tc>
        <w:tc>
          <w:tcPr>
            <w:tcW w:type="dxa" w:w="205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9"/>
                <w:szCs w:val="19"/>
              </w:rPr>
              <w:t xml:space="preserve">3</w:t>
            </w:r>
          </w:p>
        </w:tc>
        <w:tc>
          <w:tcPr>
            <w:tcW w:type="dxa" w:w="205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9"/>
                <w:szCs w:val="19"/>
              </w:rPr>
              <w:t xml:space="preserve">5</w:t>
            </w:r>
          </w:p>
        </w:tc>
        <w:tc>
          <w:tcPr>
            <w:tcW w:type="dxa" w:w="20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9"/>
                <w:szCs w:val="19"/>
              </w:rPr>
              <w:t xml:space="preserve">7</w:t>
            </w:r>
          </w:p>
        </w:tc>
      </w:tr>
      <w:tr>
        <w:tc>
          <w:tcPr>
            <w:tcW w:type="dxa" w:w="3200"/>
            <w:tcMar>
              <w:top w:type="dxa" w:w="60"/>
              <w:left w:type="dxa" w:w="100"/>
              <w:bottom w:type="dxa" w:w="60"/>
              <w:right w:type="dxa" w:w="100"/>
            </w:tcMar>
          </w:tcPr>
          <w:p>
            <w:r>
              <w:rPr>
                <w:rFonts w:ascii="Times New Roman" w:cs="Times New Roman" w:eastAsia="Times New Roman" w:hAnsi="Times New Roman"/>
                <w:b w:val="false"/>
                <w:bCs w:val="false"/>
                <w:color w:val="58595B"/>
                <w:sz w:val="19"/>
                <w:szCs w:val="19"/>
              </w:rPr>
              <w:t xml:space="preserve">Max Projects</w:t>
            </w:r>
          </w:p>
        </w:tc>
        <w:tc>
          <w:tcPr>
            <w:tcW w:type="dxa" w:w="2050"/>
            <w:tcMar>
              <w:top w:type="dxa" w:w="60"/>
              <w:left w:type="dxa" w:w="100"/>
              <w:bottom w:type="dxa" w:w="60"/>
              <w:right w:type="dxa" w:w="100"/>
            </w:tcMar>
          </w:tcPr>
          <w:p>
            <w:r>
              <w:rPr>
                <w:rFonts w:ascii="Times New Roman" w:cs="Times New Roman" w:eastAsia="Times New Roman" w:hAnsi="Times New Roman"/>
                <w:b w:val="false"/>
                <w:bCs w:val="false"/>
                <w:color w:val="58595B"/>
                <w:sz w:val="19"/>
                <w:szCs w:val="19"/>
              </w:rPr>
              <w:t xml:space="preserve">10</w:t>
            </w:r>
          </w:p>
        </w:tc>
        <w:tc>
          <w:tcPr>
            <w:tcW w:type="dxa" w:w="2050"/>
            <w:tcMar>
              <w:top w:type="dxa" w:w="60"/>
              <w:left w:type="dxa" w:w="100"/>
              <w:bottom w:type="dxa" w:w="60"/>
              <w:right w:type="dxa" w:w="100"/>
            </w:tcMar>
          </w:tcPr>
          <w:p>
            <w:r>
              <w:rPr>
                <w:rFonts w:ascii="Times New Roman" w:cs="Times New Roman" w:eastAsia="Times New Roman" w:hAnsi="Times New Roman"/>
                <w:b w:val="false"/>
                <w:bCs w:val="false"/>
                <w:color w:val="58595B"/>
                <w:sz w:val="19"/>
                <w:szCs w:val="19"/>
              </w:rPr>
              <w:t xml:space="preserve">30</w:t>
            </w:r>
          </w:p>
        </w:tc>
        <w:tc>
          <w:tcPr>
            <w:tcW w:type="dxa" w:w="2060"/>
            <w:tcMar>
              <w:top w:type="dxa" w:w="60"/>
              <w:left w:type="dxa" w:w="100"/>
              <w:bottom w:type="dxa" w:w="60"/>
              <w:right w:type="dxa" w:w="100"/>
            </w:tcMar>
          </w:tcPr>
          <w:p>
            <w:r>
              <w:rPr>
                <w:rFonts w:ascii="Times New Roman" w:cs="Times New Roman" w:eastAsia="Times New Roman" w:hAnsi="Times New Roman"/>
                <w:b w:val="false"/>
                <w:bCs w:val="false"/>
                <w:color w:val="58595B"/>
                <w:sz w:val="19"/>
                <w:szCs w:val="19"/>
              </w:rPr>
              <w:t xml:space="preserve">Unlimited</w:t>
            </w:r>
          </w:p>
        </w:tc>
      </w:tr>
      <w:tr>
        <w:tc>
          <w:tcPr>
            <w:tcW w:type="dxa" w:w="32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9"/>
                <w:szCs w:val="19"/>
              </w:rPr>
              <w:t xml:space="preserve">Max OBS nodes</w:t>
            </w:r>
          </w:p>
        </w:tc>
        <w:tc>
          <w:tcPr>
            <w:tcW w:type="dxa" w:w="205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9"/>
                <w:szCs w:val="19"/>
              </w:rPr>
              <w:t xml:space="preserve">100</w:t>
            </w:r>
          </w:p>
        </w:tc>
        <w:tc>
          <w:tcPr>
            <w:tcW w:type="dxa" w:w="205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9"/>
                <w:szCs w:val="19"/>
              </w:rPr>
              <w:t xml:space="preserve">500</w:t>
            </w:r>
          </w:p>
        </w:tc>
        <w:tc>
          <w:tcPr>
            <w:tcW w:type="dxa" w:w="20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9"/>
                <w:szCs w:val="19"/>
              </w:rPr>
              <w:t xml:space="preserve">Unlimited</w:t>
            </w:r>
          </w:p>
        </w:tc>
      </w:tr>
    </w:tbl>
    <w:p>
      <w:pPr>
        <w:spacing w:after="200" w:before="60"/>
        <w:jc w:val="left"/>
      </w:pPr>
      <w:r>
        <w:rPr>
          <w:rFonts w:ascii="Times New Roman" w:cs="Times New Roman" w:eastAsia="Times New Roman" w:hAnsi="Times New Roman"/>
          <w:i/>
          <w:iCs/>
          <w:color w:val="58595B"/>
          <w:sz w:val="19"/>
          <w:szCs w:val="19"/>
        </w:rPr>
        <w:t xml:space="preserve">Table 1 — Pack feature matrix as implemented in packConfig.js, enforced by requirePackFeature() / requireBpmnMode() middleware and three quota-check functions.</w:t>
      </w:r>
    </w:p>
    <w:p>
      <w:pPr>
        <w:spacing w:after="160" w:line="276"/>
        <w:jc w:val="both"/>
      </w:pPr>
      <w:r>
        <w:rPr>
          <w:rFonts w:ascii="Times New Roman" w:cs="Times New Roman" w:eastAsia="Times New Roman" w:hAnsi="Times New Roman"/>
          <w:color w:val="58595B"/>
          <w:sz w:val="24"/>
          <w:szCs w:val="24"/>
        </w:rPr>
        <w:t xml:space="preserve">Every gated route returns a structured `403 pack_feature_not_included` when the organization’s active Pack does not include a feature, and the frontend independently hides the corresponding navigation item once the user’s Pack configuration loads — verified for all three Packs with zero mismatches between what the UI shows and what the API allows.</w:t>
      </w:r>
    </w:p>
    <w:p>
      <w:pPr>
        <w:pStyle w:val="Heading2"/>
        <w:spacing w:after="120" w:before="260"/>
      </w:pPr>
      <w:r>
        <w:rPr>
          <w:rFonts w:ascii="Times New Roman" w:cs="Times New Roman" w:eastAsia="Times New Roman" w:hAnsi="Times New Roman"/>
          <w:b/>
          <w:bCs/>
          <w:color w:val="3A3A3C"/>
          <w:sz w:val="27"/>
          <w:szCs w:val="27"/>
        </w:rPr>
        <w:t xml:space="preserve">3.2 Add-On Catalog</w:t>
      </w:r>
    </w:p>
    <w:tbl>
      <w:tblPr>
        <w:tblW w:type="dxa" w:w="9360"/>
        <w:tblBorders>
          <w:top w:val="single" w:color="E3E3E4" w:sz="2"/>
          <w:left w:val="single" w:color="E3E3E4" w:sz="2"/>
          <w:bottom w:val="single" w:color="E3E3E4" w:sz="2"/>
          <w:right w:val="single" w:color="E3E3E4" w:sz="2"/>
          <w:insideH w:val="single" w:color="E3E3E4" w:sz="2"/>
          <w:insideV w:val="single" w:color="E3E3E4" w:sz="2"/>
        </w:tblBorders>
      </w:tblPr>
      <w:tblGrid>
        <w:gridCol w:w="6360"/>
        <w:gridCol w:w="3000"/>
      </w:tblGrid>
      <w:tr>
        <w:trPr>
          <w:tblHeader/>
        </w:trPr>
        <w:tc>
          <w:tcPr>
            <w:tcW w:type="dxa" w:w="6360"/>
            <w:shd w:fill="F8931D" w:val="clear"/>
            <w:tcMar>
              <w:top w:type="dxa" w:w="60"/>
              <w:left w:type="dxa" w:w="100"/>
              <w:bottom w:type="dxa" w:w="60"/>
              <w:right w:type="dxa" w:w="100"/>
            </w:tcMar>
          </w:tcPr>
          <w:p>
            <w:r>
              <w:rPr>
                <w:rFonts w:ascii="Times New Roman" w:cs="Times New Roman" w:eastAsia="Times New Roman" w:hAnsi="Times New Roman"/>
                <w:b/>
                <w:bCs/>
                <w:color w:val="FFFFFF"/>
                <w:sz w:val="19"/>
                <w:szCs w:val="19"/>
              </w:rPr>
              <w:t xml:space="preserve">Add-On (Technical Offer)</w:t>
            </w:r>
          </w:p>
        </w:tc>
        <w:tc>
          <w:tcPr>
            <w:tcW w:type="dxa" w:w="3000"/>
            <w:shd w:fill="F8931D" w:val="clear"/>
            <w:tcMar>
              <w:top w:type="dxa" w:w="60"/>
              <w:left w:type="dxa" w:w="100"/>
              <w:bottom w:type="dxa" w:w="60"/>
              <w:right w:type="dxa" w:w="100"/>
            </w:tcMar>
          </w:tcPr>
          <w:p>
            <w:r>
              <w:rPr>
                <w:rFonts w:ascii="Times New Roman" w:cs="Times New Roman" w:eastAsia="Times New Roman" w:hAnsi="Times New Roman"/>
                <w:b/>
                <w:bCs/>
                <w:color w:val="FFFFFF"/>
                <w:sz w:val="19"/>
                <w:szCs w:val="19"/>
              </w:rPr>
              <w:t xml:space="preserve">Status</w:t>
            </w:r>
          </w:p>
        </w:tc>
      </w:tr>
      <w:tr>
        <w:tc>
          <w:tcPr>
            <w:tcW w:type="dxa" w:w="6360"/>
            <w:tcMar>
              <w:top w:type="dxa" w:w="60"/>
              <w:left w:type="dxa" w:w="100"/>
              <w:bottom w:type="dxa" w:w="60"/>
              <w:right w:type="dxa" w:w="100"/>
            </w:tcMar>
          </w:tcPr>
          <w:p>
            <w:r>
              <w:rPr>
                <w:rFonts w:ascii="Times New Roman" w:cs="Times New Roman" w:eastAsia="Times New Roman" w:hAnsi="Times New Roman"/>
                <w:b w:val="false"/>
                <w:bCs w:val="false"/>
                <w:color w:val="58595B"/>
                <w:sz w:val="19"/>
                <w:szCs w:val="19"/>
              </w:rPr>
              <w:t xml:space="preserve">Capitalization Library &amp; RAG</w:t>
            </w:r>
          </w:p>
        </w:tc>
        <w:tc>
          <w:tcPr>
            <w:shd w:fill="D9EAD3" w:val="clear"/>
            <w:tcMar>
              <w:top w:type="dxa" w:w="60"/>
              <w:left w:type="dxa" w:w="100"/>
              <w:bottom w:type="dxa" w:w="60"/>
              <w:right w:type="dxa" w:w="100"/>
            </w:tcMar>
          </w:tcPr>
          <w:p>
            <w:r>
              <w:rPr>
                <w:rFonts w:ascii="Times New Roman" w:cs="Times New Roman" w:eastAsia="Times New Roman" w:hAnsi="Times New Roman"/>
                <w:b/>
                <w:bCs/>
                <w:color w:val="274E13"/>
                <w:sz w:val="18"/>
                <w:szCs w:val="18"/>
              </w:rPr>
              <w:t xml:space="preserve">Implemented</w:t>
            </w:r>
          </w:p>
        </w:tc>
      </w:tr>
      <w:tr>
        <w:tc>
          <w:tcPr>
            <w:tcW w:type="dxa" w:w="63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9"/>
                <w:szCs w:val="19"/>
              </w:rPr>
              <w:t xml:space="preserve">AI Assistant</w:t>
            </w:r>
          </w:p>
        </w:tc>
        <w:tc>
          <w:tcPr>
            <w:shd w:fill="D9EAD3" w:val="clear"/>
            <w:tcMar>
              <w:top w:type="dxa" w:w="60"/>
              <w:left w:type="dxa" w:w="100"/>
              <w:bottom w:type="dxa" w:w="60"/>
              <w:right w:type="dxa" w:w="100"/>
            </w:tcMar>
          </w:tcPr>
          <w:p>
            <w:r>
              <w:rPr>
                <w:rFonts w:ascii="Times New Roman" w:cs="Times New Roman" w:eastAsia="Times New Roman" w:hAnsi="Times New Roman"/>
                <w:b/>
                <w:bCs/>
                <w:color w:val="274E13"/>
                <w:sz w:val="18"/>
                <w:szCs w:val="18"/>
              </w:rPr>
              <w:t xml:space="preserve">Implemented</w:t>
            </w:r>
          </w:p>
        </w:tc>
      </w:tr>
      <w:tr>
        <w:tc>
          <w:tcPr>
            <w:tcW w:type="dxa" w:w="6360"/>
            <w:tcMar>
              <w:top w:type="dxa" w:w="60"/>
              <w:left w:type="dxa" w:w="100"/>
              <w:bottom w:type="dxa" w:w="60"/>
              <w:right w:type="dxa" w:w="100"/>
            </w:tcMar>
          </w:tcPr>
          <w:p>
            <w:r>
              <w:rPr>
                <w:rFonts w:ascii="Times New Roman" w:cs="Times New Roman" w:eastAsia="Times New Roman" w:hAnsi="Times New Roman"/>
                <w:b w:val="false"/>
                <w:bCs w:val="false"/>
                <w:color w:val="58595B"/>
                <w:sz w:val="19"/>
                <w:szCs w:val="19"/>
              </w:rPr>
              <w:t xml:space="preserve">BPMN Full Editing Modeler</w:t>
            </w:r>
          </w:p>
        </w:tc>
        <w:tc>
          <w:tcPr>
            <w:shd w:fill="D9EAD3" w:val="clear"/>
            <w:tcMar>
              <w:top w:type="dxa" w:w="60"/>
              <w:left w:type="dxa" w:w="100"/>
              <w:bottom w:type="dxa" w:w="60"/>
              <w:right w:type="dxa" w:w="100"/>
            </w:tcMar>
          </w:tcPr>
          <w:p>
            <w:r>
              <w:rPr>
                <w:rFonts w:ascii="Times New Roman" w:cs="Times New Roman" w:eastAsia="Times New Roman" w:hAnsi="Times New Roman"/>
                <w:b/>
                <w:bCs/>
                <w:color w:val="274E13"/>
                <w:sz w:val="18"/>
                <w:szCs w:val="18"/>
              </w:rPr>
              <w:t xml:space="preserve">Implemented</w:t>
            </w:r>
          </w:p>
        </w:tc>
      </w:tr>
      <w:tr>
        <w:tc>
          <w:tcPr>
            <w:tcW w:type="dxa" w:w="63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9"/>
                <w:szCs w:val="19"/>
              </w:rPr>
              <w:t xml:space="preserve">Custom Roles &amp; Permission Matrix Editor</w:t>
            </w:r>
          </w:p>
        </w:tc>
        <w:tc>
          <w:tcPr>
            <w:shd w:fill="D9EAD3" w:val="clear"/>
            <w:tcMar>
              <w:top w:type="dxa" w:w="60"/>
              <w:left w:type="dxa" w:w="100"/>
              <w:bottom w:type="dxa" w:w="60"/>
              <w:right w:type="dxa" w:w="100"/>
            </w:tcMar>
          </w:tcPr>
          <w:p>
            <w:r>
              <w:rPr>
                <w:rFonts w:ascii="Times New Roman" w:cs="Times New Roman" w:eastAsia="Times New Roman" w:hAnsi="Times New Roman"/>
                <w:b/>
                <w:bCs/>
                <w:color w:val="274E13"/>
                <w:sz w:val="18"/>
                <w:szCs w:val="18"/>
              </w:rPr>
              <w:t xml:space="preserve">Implemented</w:t>
            </w:r>
          </w:p>
        </w:tc>
      </w:tr>
      <w:tr>
        <w:tc>
          <w:tcPr>
            <w:tcW w:type="dxa" w:w="6360"/>
            <w:tcMar>
              <w:top w:type="dxa" w:w="60"/>
              <w:left w:type="dxa" w:w="100"/>
              <w:bottom w:type="dxa" w:w="60"/>
              <w:right w:type="dxa" w:w="100"/>
            </w:tcMar>
          </w:tcPr>
          <w:p>
            <w:r>
              <w:rPr>
                <w:rFonts w:ascii="Times New Roman" w:cs="Times New Roman" w:eastAsia="Times New Roman" w:hAnsi="Times New Roman"/>
                <w:b w:val="false"/>
                <w:bCs w:val="false"/>
                <w:color w:val="58595B"/>
                <w:sz w:val="19"/>
                <w:szCs w:val="19"/>
              </w:rPr>
              <w:t xml:space="preserve">Sovereign Deployment Suite</w:t>
            </w:r>
          </w:p>
        </w:tc>
        <w:tc>
          <w:tcPr>
            <w:shd w:fill="FBE0B5" w:val="clear"/>
            <w:tcMar>
              <w:top w:type="dxa" w:w="60"/>
              <w:left w:type="dxa" w:w="100"/>
              <w:bottom w:type="dxa" w:w="60"/>
              <w:right w:type="dxa" w:w="100"/>
            </w:tcMar>
          </w:tcPr>
          <w:p>
            <w:r>
              <w:rPr>
                <w:rFonts w:ascii="Times New Roman" w:cs="Times New Roman" w:eastAsia="Times New Roman" w:hAnsi="Times New Roman"/>
                <w:b/>
                <w:bCs/>
                <w:color w:val="7F4B00"/>
                <w:sz w:val="18"/>
                <w:szCs w:val="18"/>
              </w:rPr>
              <w:t xml:space="preserve">Scaffolding</w:t>
            </w:r>
          </w:p>
        </w:tc>
      </w:tr>
      <w:tr>
        <w:tc>
          <w:tcPr>
            <w:tcW w:type="dxa" w:w="63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9"/>
                <w:szCs w:val="19"/>
              </w:rPr>
              <w:t xml:space="preserve">Extra AI Capacity</w:t>
            </w:r>
          </w:p>
        </w:tc>
        <w:tc>
          <w:tcPr>
            <w:shd w:fill="F4C7C3" w:val="clear"/>
            <w:tcMar>
              <w:top w:type="dxa" w:w="60"/>
              <w:left w:type="dxa" w:w="100"/>
              <w:bottom w:type="dxa" w:w="60"/>
              <w:right w:type="dxa" w:w="100"/>
            </w:tcMar>
          </w:tcPr>
          <w:p>
            <w:r>
              <w:rPr>
                <w:rFonts w:ascii="Times New Roman" w:cs="Times New Roman" w:eastAsia="Times New Roman" w:hAnsi="Times New Roman"/>
                <w:b/>
                <w:bCs/>
                <w:color w:val="7A1F1F"/>
                <w:sz w:val="18"/>
                <w:szCs w:val="18"/>
              </w:rPr>
              <w:t xml:space="preserve">Out of scope</w:t>
            </w:r>
          </w:p>
        </w:tc>
      </w:tr>
      <w:tr>
        <w:tc>
          <w:tcPr>
            <w:tcW w:type="dxa" w:w="6360"/>
            <w:tcMar>
              <w:top w:type="dxa" w:w="60"/>
              <w:left w:type="dxa" w:w="100"/>
              <w:bottom w:type="dxa" w:w="60"/>
              <w:right w:type="dxa" w:w="100"/>
            </w:tcMar>
          </w:tcPr>
          <w:p>
            <w:r>
              <w:rPr>
                <w:rFonts w:ascii="Times New Roman" w:cs="Times New Roman" w:eastAsia="Times New Roman" w:hAnsi="Times New Roman"/>
                <w:b w:val="false"/>
                <w:bCs w:val="false"/>
                <w:color w:val="58595B"/>
                <w:sz w:val="19"/>
                <w:szCs w:val="19"/>
              </w:rPr>
              <w:t xml:space="preserve">White-Labeling</w:t>
            </w:r>
          </w:p>
        </w:tc>
        <w:tc>
          <w:tcPr>
            <w:shd w:fill="F4C7C3" w:val="clear"/>
            <w:tcMar>
              <w:top w:type="dxa" w:w="60"/>
              <w:left w:type="dxa" w:w="100"/>
              <w:bottom w:type="dxa" w:w="60"/>
              <w:right w:type="dxa" w:w="100"/>
            </w:tcMar>
          </w:tcPr>
          <w:p>
            <w:r>
              <w:rPr>
                <w:rFonts w:ascii="Times New Roman" w:cs="Times New Roman" w:eastAsia="Times New Roman" w:hAnsi="Times New Roman"/>
                <w:b/>
                <w:bCs/>
                <w:color w:val="7A1F1F"/>
                <w:sz w:val="18"/>
                <w:szCs w:val="18"/>
              </w:rPr>
              <w:t xml:space="preserve">Out of scope</w:t>
            </w:r>
          </w:p>
        </w:tc>
      </w:tr>
      <w:tr>
        <w:tc>
          <w:tcPr>
            <w:tcW w:type="dxa" w:w="63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9"/>
                <w:szCs w:val="19"/>
              </w:rPr>
              <w:t xml:space="preserve">Additional Language Pack</w:t>
            </w:r>
          </w:p>
        </w:tc>
        <w:tc>
          <w:tcPr>
            <w:shd w:fill="F4C7C3" w:val="clear"/>
            <w:tcMar>
              <w:top w:type="dxa" w:w="60"/>
              <w:left w:type="dxa" w:w="100"/>
              <w:bottom w:type="dxa" w:w="60"/>
              <w:right w:type="dxa" w:w="100"/>
            </w:tcMar>
          </w:tcPr>
          <w:p>
            <w:r>
              <w:rPr>
                <w:rFonts w:ascii="Times New Roman" w:cs="Times New Roman" w:eastAsia="Times New Roman" w:hAnsi="Times New Roman"/>
                <w:b/>
                <w:bCs/>
                <w:color w:val="7A1F1F"/>
                <w:sz w:val="18"/>
                <w:szCs w:val="18"/>
              </w:rPr>
              <w:t xml:space="preserve">Out of scope</w:t>
            </w:r>
          </w:p>
        </w:tc>
      </w:tr>
      <w:tr>
        <w:tc>
          <w:tcPr>
            <w:tcW w:type="dxa" w:w="6360"/>
            <w:tcMar>
              <w:top w:type="dxa" w:w="60"/>
              <w:left w:type="dxa" w:w="100"/>
              <w:bottom w:type="dxa" w:w="60"/>
              <w:right w:type="dxa" w:w="100"/>
            </w:tcMar>
          </w:tcPr>
          <w:p>
            <w:r>
              <w:rPr>
                <w:rFonts w:ascii="Times New Roman" w:cs="Times New Roman" w:eastAsia="Times New Roman" w:hAnsi="Times New Roman"/>
                <w:b w:val="false"/>
                <w:bCs w:val="false"/>
                <w:color w:val="58595B"/>
                <w:sz w:val="19"/>
                <w:szCs w:val="19"/>
              </w:rPr>
              <w:t xml:space="preserve">Premium Standards Library</w:t>
            </w:r>
          </w:p>
        </w:tc>
        <w:tc>
          <w:tcPr>
            <w:shd w:fill="F4C7C3" w:val="clear"/>
            <w:tcMar>
              <w:top w:type="dxa" w:w="60"/>
              <w:left w:type="dxa" w:w="100"/>
              <w:bottom w:type="dxa" w:w="60"/>
              <w:right w:type="dxa" w:w="100"/>
            </w:tcMar>
          </w:tcPr>
          <w:p>
            <w:r>
              <w:rPr>
                <w:rFonts w:ascii="Times New Roman" w:cs="Times New Roman" w:eastAsia="Times New Roman" w:hAnsi="Times New Roman"/>
                <w:b/>
                <w:bCs/>
                <w:color w:val="7A1F1F"/>
                <w:sz w:val="18"/>
                <w:szCs w:val="18"/>
              </w:rPr>
              <w:t xml:space="preserve">Out of scope</w:t>
            </w:r>
          </w:p>
        </w:tc>
      </w:tr>
      <w:tr>
        <w:tc>
          <w:tcPr>
            <w:tcW w:type="dxa" w:w="63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9"/>
                <w:szCs w:val="19"/>
              </w:rPr>
              <w:t xml:space="preserve">Dedicated CSM</w:t>
            </w:r>
          </w:p>
        </w:tc>
        <w:tc>
          <w:tcPr>
            <w:shd w:fill="F4C7C3" w:val="clear"/>
            <w:tcMar>
              <w:top w:type="dxa" w:w="60"/>
              <w:left w:type="dxa" w:w="100"/>
              <w:bottom w:type="dxa" w:w="60"/>
              <w:right w:type="dxa" w:w="100"/>
            </w:tcMar>
          </w:tcPr>
          <w:p>
            <w:r>
              <w:rPr>
                <w:rFonts w:ascii="Times New Roman" w:cs="Times New Roman" w:eastAsia="Times New Roman" w:hAnsi="Times New Roman"/>
                <w:b/>
                <w:bCs/>
                <w:color w:val="7A1F1F"/>
                <w:sz w:val="18"/>
                <w:szCs w:val="18"/>
              </w:rPr>
              <w:t xml:space="preserve">Out of scope</w:t>
            </w:r>
          </w:p>
        </w:tc>
      </w:tr>
    </w:tbl>
    <w:p>
      <w:pPr>
        <w:spacing w:after="200" w:before="60"/>
        <w:jc w:val="left"/>
      </w:pPr>
      <w:r>
        <w:rPr>
          <w:rFonts w:ascii="Times New Roman" w:cs="Times New Roman" w:eastAsia="Times New Roman" w:hAnsi="Times New Roman"/>
          <w:i/>
          <w:iCs/>
          <w:color w:val="58595B"/>
          <w:sz w:val="19"/>
          <w:szCs w:val="19"/>
        </w:rPr>
        <w:t xml:space="preserve">Table 2 — Five of ten priced Add-Ons are modeled as license-level entitlement toggles with real functional effect; the Sovereign Deployment Suite is modeled as a toggle gating which deployment options a license may select, without a corresponding real sovereign infrastructure to provision. The remaining five are priced in the Financial Offer but have no dedicated toggle or functional differentiation in this build — see Section 9.</w:t>
      </w:r>
    </w:p>
    <w:p>
      <w:pPr>
        <w:pStyle w:val="Heading2"/>
        <w:spacing w:after="120" w:before="260"/>
      </w:pPr>
      <w:r>
        <w:rPr>
          <w:rFonts w:ascii="Times New Roman" w:cs="Times New Roman" w:eastAsia="Times New Roman" w:hAnsi="Times New Roman"/>
          <w:b/>
          <w:bCs/>
          <w:color w:val="3A3A3C"/>
          <w:sz w:val="27"/>
          <w:szCs w:val="27"/>
        </w:rPr>
        <w:t xml:space="preserve">3.3 Deployment options &amp; support tiers</w:t>
      </w:r>
    </w:p>
    <w:p>
      <w:pPr>
        <w:spacing w:after="160" w:line="276"/>
        <w:jc w:val="both"/>
      </w:pPr>
      <w:r>
        <w:rPr>
          <w:rFonts w:ascii="Times New Roman" w:cs="Times New Roman" w:eastAsia="Times New Roman" w:hAnsi="Times New Roman"/>
          <w:color w:val="58595B"/>
          <w:sz w:val="24"/>
          <w:szCs w:val="24"/>
        </w:rPr>
        <w:t xml:space="preserve">The five deployment modes from the Technical Solution Offer (Dedicated Cloud, Group Cloud, Hybrid Shield, Sovereign Core, Sovereign Vault) and the three support tiers (Standard, Priority, Premium) are captured as license fields on Configuration Management, with the two Sovereign options locked behind the Sovereign Deployment Suite add-on exactly as the Offer specifies. As this is a single-tenant reference application, selecting a deployment option records the organization’s intent and constrains the UI; it does not provision distinct cloud/on-prem infrastructure — that step is inherently outside an application codebase and would be an infrastructure/DevOps engagement.</w:t>
      </w:r>
    </w:p>
    <w:p>
      <w:pPr>
        <w:pStyle w:val="Heading2"/>
        <w:spacing w:after="120" w:before="260"/>
      </w:pPr>
      <w:r>
        <w:rPr>
          <w:rFonts w:ascii="Times New Roman" w:cs="Times New Roman" w:eastAsia="Times New Roman" w:hAnsi="Times New Roman"/>
          <w:b/>
          <w:bCs/>
          <w:color w:val="3A3A3C"/>
          <w:sz w:val="27"/>
          <w:szCs w:val="27"/>
        </w:rPr>
        <w:t xml:space="preserve">3.4 Compliance &amp; Security Standards (Item 5)</w:t>
      </w:r>
    </w:p>
    <w:p>
      <w:pPr>
        <w:spacing w:after="160" w:line="276"/>
        <w:jc w:val="both"/>
      </w:pPr>
      <w:r>
        <w:rPr>
          <w:rFonts w:ascii="Times New Roman" w:cs="Times New Roman" w:eastAsia="Times New Roman" w:hAnsi="Times New Roman"/>
          <w:color w:val="58595B"/>
          <w:sz w:val="24"/>
          <w:szCs w:val="24"/>
        </w:rPr>
        <w:t xml:space="preserve">The three priced Compliance &amp; Security Standards modules — GDPR, ISO/IEC 27001, SOC 2 Type II — are implemented as license toggles an Administrator activates or deactivates from Configuration Management, independent of which Solution Pack the organization holds (matching the Offer’s pricing as an add-on line, not a Pack-gated feature). Activating a module is idempotent and:</w:t>
      </w:r>
    </w:p>
    <w:p>
      <w:pPr>
        <w:pStyle w:val="ListParagraph"/>
        <w:numPr>
          <w:ilvl w:val="0"/>
          <w:numId w:val="2"/>
        </w:numPr>
        <w:spacing w:after="90" w:line="276"/>
      </w:pPr>
      <w:r>
        <w:rPr>
          <w:rFonts w:ascii="Times New Roman" w:cs="Times New Roman" w:eastAsia="Times New Roman" w:hAnsi="Times New Roman"/>
          <w:color w:val="58595B"/>
          <w:sz w:val="24"/>
          <w:szCs w:val="24"/>
        </w:rPr>
        <w:t xml:space="preserve">Activates the linked Standard(s) in that organization’s Standards Knowledge Base (e.g. ISO/IEC 27001 activates the ISO/IEC 27001 Annex A entry).</w:t>
      </w:r>
    </w:p>
    <w:p>
      <w:pPr>
        <w:pStyle w:val="ListParagraph"/>
        <w:numPr>
          <w:ilvl w:val="0"/>
          <w:numId w:val="2"/>
        </w:numPr>
        <w:spacing w:after="90" w:line="276"/>
      </w:pPr>
      <w:r>
        <w:rPr>
          <w:rFonts w:ascii="Times New Roman" w:cs="Times New Roman" w:eastAsia="Times New Roman" w:hAnsi="Times New Roman"/>
          <w:color w:val="58595B"/>
          <w:sz w:val="24"/>
          <w:szCs w:val="24"/>
        </w:rPr>
        <w:t xml:space="preserve">Seeds three COSO-classified Controls tagged to that compliance framework (e.g. GDPR-01/02/03), immediately visible on the Controls page and filterable by framework.</w:t>
      </w:r>
    </w:p>
    <w:p>
      <w:pPr>
        <w:spacing w:after="160" w:line="276"/>
        <w:jc w:val="both"/>
      </w:pPr>
      <w:r>
        <w:rPr>
          <w:rFonts w:ascii="Times New Roman" w:cs="Times New Roman" w:eastAsia="Times New Roman" w:hAnsi="Times New Roman"/>
          <w:color w:val="58595B"/>
          <w:sz w:val="24"/>
          <w:szCs w:val="24"/>
        </w:rPr>
        <w:t xml:space="preserve">This is explicitly GRC scaffolding — a starting Controls framework and an activated Standard entry an organization can build an actual compliance program on — and not a certification. No external audit, penetration test, or accreditation body is involved; Section 9 restates this distinction so it cannot be read as a certification claim.</w:t>
      </w:r>
    </w:p>
    <w:p>
      <w:pPr>
        <w:pStyle w:val="Heading1"/>
        <w:pBdr>
          <w:bottom w:val="single" w:color="E07B00" w:sz="8" w:space="4"/>
        </w:pBdr>
        <w:spacing w:after="160" w:before="360"/>
      </w:pPr>
      <w:r>
        <w:rPr>
          <w:rFonts w:ascii="Times New Roman" w:cs="Times New Roman" w:eastAsia="Times New Roman" w:hAnsi="Times New Roman"/>
          <w:b/>
          <w:bCs/>
          <w:color w:val="E07B00"/>
          <w:sz w:val="34"/>
          <w:szCs w:val="34"/>
        </w:rPr>
        <w:t xml:space="preserve">4. NCP Solver Steps (S1–S7) Governance, with CRUD/RBAC (Item 6)</w:t>
      </w:r>
    </w:p>
    <w:p>
      <w:pPr>
        <w:spacing w:after="160" w:line="276"/>
        <w:jc w:val="both"/>
      </w:pPr>
      <w:r>
        <w:rPr>
          <w:rFonts w:ascii="Times New Roman" w:cs="Times New Roman" w:eastAsia="Times New Roman" w:hAnsi="Times New Roman"/>
          <w:color w:val="58595B"/>
          <w:sz w:val="24"/>
          <w:szCs w:val="24"/>
        </w:rPr>
        <w:t xml:space="preserve">Item 6 asked for Alerts, Business Rules, Controls (COSO), KPIs, Reports, and Risks &amp; Opportunities to be added to the S1–S7 steps with CRUD/RBAC. Four of these six already existed as full CRUD/RBAC modules from an earlier build phase (Business Rules, Controls, Risks &amp; Opportunities, and the 10 standard KPIs/4 standard Reports); this release’s job was to (a) connect them to individual process steps, since they previously existed only at the organization level, and (b) add the two genuinely missing CRUD surfaces — Custom KPIs and, for Alerts, a stage tag.</w:t>
      </w:r>
    </w:p>
    <w:tbl>
      <w:tblPr>
        <w:tblW w:type="dxa" w:w="9360"/>
        <w:tblBorders>
          <w:top w:val="single" w:color="E3E3E4" w:sz="2"/>
          <w:left w:val="single" w:color="E3E3E4" w:sz="2"/>
          <w:bottom w:val="single" w:color="E3E3E4" w:sz="2"/>
          <w:right w:val="single" w:color="E3E3E4" w:sz="2"/>
          <w:insideH w:val="single" w:color="E3E3E4" w:sz="2"/>
          <w:insideV w:val="single" w:color="E3E3E4" w:sz="2"/>
        </w:tblBorders>
      </w:tblPr>
      <w:tblGrid>
        <w:gridCol w:w="2200"/>
        <w:gridCol w:w="5760"/>
        <w:gridCol w:w="1400"/>
      </w:tblGrid>
      <w:tr>
        <w:trPr>
          <w:tblHeader/>
        </w:trPr>
        <w:tc>
          <w:tcPr>
            <w:tcW w:type="dxa" w:w="2200"/>
            <w:shd w:fill="F8931D" w:val="clear"/>
            <w:tcMar>
              <w:top w:type="dxa" w:w="60"/>
              <w:left w:type="dxa" w:w="100"/>
              <w:bottom w:type="dxa" w:w="60"/>
              <w:right w:type="dxa" w:w="100"/>
            </w:tcMar>
          </w:tcPr>
          <w:p>
            <w:r>
              <w:rPr>
                <w:rFonts w:ascii="Times New Roman" w:cs="Times New Roman" w:eastAsia="Times New Roman" w:hAnsi="Times New Roman"/>
                <w:b/>
                <w:bCs/>
                <w:color w:val="FFFFFF"/>
                <w:sz w:val="19"/>
                <w:szCs w:val="19"/>
              </w:rPr>
              <w:t xml:space="preserve">Sub-item</w:t>
            </w:r>
          </w:p>
        </w:tc>
        <w:tc>
          <w:tcPr>
            <w:tcW w:type="dxa" w:w="5760"/>
            <w:shd w:fill="F8931D" w:val="clear"/>
            <w:tcMar>
              <w:top w:type="dxa" w:w="60"/>
              <w:left w:type="dxa" w:w="100"/>
              <w:bottom w:type="dxa" w:w="60"/>
              <w:right w:type="dxa" w:w="100"/>
            </w:tcMar>
          </w:tcPr>
          <w:p>
            <w:r>
              <w:rPr>
                <w:rFonts w:ascii="Times New Roman" w:cs="Times New Roman" w:eastAsia="Times New Roman" w:hAnsi="Times New Roman"/>
                <w:b/>
                <w:bCs/>
                <w:color w:val="FFFFFF"/>
                <w:sz w:val="19"/>
                <w:szCs w:val="19"/>
              </w:rPr>
              <w:t xml:space="preserve">What changed in this release</w:t>
            </w:r>
          </w:p>
        </w:tc>
        <w:tc>
          <w:tcPr>
            <w:tcW w:type="dxa" w:w="1400"/>
            <w:shd w:fill="F8931D" w:val="clear"/>
            <w:tcMar>
              <w:top w:type="dxa" w:w="60"/>
              <w:left w:type="dxa" w:w="100"/>
              <w:bottom w:type="dxa" w:w="60"/>
              <w:right w:type="dxa" w:w="100"/>
            </w:tcMar>
          </w:tcPr>
          <w:p>
            <w:r>
              <w:rPr>
                <w:rFonts w:ascii="Times New Roman" w:cs="Times New Roman" w:eastAsia="Times New Roman" w:hAnsi="Times New Roman"/>
                <w:b/>
                <w:bCs/>
                <w:color w:val="FFFFFF"/>
                <w:sz w:val="19"/>
                <w:szCs w:val="19"/>
              </w:rPr>
              <w:t xml:space="preserve">Status</w:t>
            </w:r>
          </w:p>
        </w:tc>
      </w:tr>
      <w:tr>
        <w:tc>
          <w:tcPr>
            <w:tcW w:type="dxa" w:w="2200"/>
            <w:tcMar>
              <w:top w:type="dxa" w:w="60"/>
              <w:left w:type="dxa" w:w="100"/>
              <w:bottom w:type="dxa" w:w="60"/>
              <w:right w:type="dxa" w:w="100"/>
            </w:tcMar>
          </w:tcPr>
          <w:p>
            <w:r>
              <w:rPr>
                <w:rFonts w:ascii="Times New Roman" w:cs="Times New Roman" w:eastAsia="Times New Roman" w:hAnsi="Times New Roman"/>
                <w:b w:val="false"/>
                <w:bCs w:val="false"/>
                <w:color w:val="58595B"/>
                <w:sz w:val="19"/>
                <w:szCs w:val="19"/>
              </w:rPr>
              <w:t xml:space="preserve">a) Alerts</w:t>
            </w:r>
          </w:p>
        </w:tc>
        <w:tc>
          <w:tcPr>
            <w:tcW w:type="dxa" w:w="5760"/>
            <w:tcMar>
              <w:top w:type="dxa" w:w="60"/>
              <w:left w:type="dxa" w:w="100"/>
              <w:bottom w:type="dxa" w:w="60"/>
              <w:right w:type="dxa" w:w="100"/>
            </w:tcMar>
          </w:tcPr>
          <w:p>
            <w:r>
              <w:rPr>
                <w:rFonts w:ascii="Times New Roman" w:cs="Times New Roman" w:eastAsia="Times New Roman" w:hAnsi="Times New Roman"/>
                <w:b w:val="false"/>
                <w:bCs w:val="false"/>
                <w:color w:val="58595B"/>
                <w:sz w:val="19"/>
                <w:szCs w:val="19"/>
              </w:rPr>
              <w:t xml:space="preserve">Added an optional S1–S7 stage tag to notification_alerts; existing Alerts A–J rule engine and RBAC unchanged. A dedicated user-authorable alert-rules editor was not built — see Section 9.</w:t>
            </w:r>
          </w:p>
        </w:tc>
        <w:tc>
          <w:tcPr>
            <w:shd w:fill="FBE0B5" w:val="clear"/>
            <w:tcMar>
              <w:top w:type="dxa" w:w="60"/>
              <w:left w:type="dxa" w:w="100"/>
              <w:bottom w:type="dxa" w:w="60"/>
              <w:right w:type="dxa" w:w="100"/>
            </w:tcMar>
          </w:tcPr>
          <w:p>
            <w:r>
              <w:rPr>
                <w:rFonts w:ascii="Times New Roman" w:cs="Times New Roman" w:eastAsia="Times New Roman" w:hAnsi="Times New Roman"/>
                <w:b/>
                <w:bCs/>
                <w:color w:val="7F4B00"/>
                <w:sz w:val="18"/>
                <w:szCs w:val="18"/>
              </w:rPr>
              <w:t xml:space="preserve">Scaffolding</w:t>
            </w:r>
          </w:p>
        </w:tc>
      </w:tr>
      <w:tr>
        <w:tc>
          <w:tcPr>
            <w:tcW w:type="dxa" w:w="22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9"/>
                <w:szCs w:val="19"/>
              </w:rPr>
              <w:t xml:space="preserve">b) Business Rules</w:t>
            </w:r>
          </w:p>
        </w:tc>
        <w:tc>
          <w:tcPr>
            <w:tcW w:type="dxa" w:w="57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9"/>
                <w:szCs w:val="19"/>
              </w:rPr>
              <w:t xml:space="preserve">Added an optional S1–S7 stage tag; full CRUD/RBAC pre-existing and unchanged.</w:t>
            </w:r>
          </w:p>
        </w:tc>
        <w:tc>
          <w:tcPr>
            <w:shd w:fill="D9EAD3" w:val="clear"/>
            <w:tcMar>
              <w:top w:type="dxa" w:w="60"/>
              <w:left w:type="dxa" w:w="100"/>
              <w:bottom w:type="dxa" w:w="60"/>
              <w:right w:type="dxa" w:w="100"/>
            </w:tcMar>
          </w:tcPr>
          <w:p>
            <w:r>
              <w:rPr>
                <w:rFonts w:ascii="Times New Roman" w:cs="Times New Roman" w:eastAsia="Times New Roman" w:hAnsi="Times New Roman"/>
                <w:b/>
                <w:bCs/>
                <w:color w:val="274E13"/>
                <w:sz w:val="18"/>
                <w:szCs w:val="18"/>
              </w:rPr>
              <w:t xml:space="preserve">Implemented</w:t>
            </w:r>
          </w:p>
        </w:tc>
      </w:tr>
      <w:tr>
        <w:tc>
          <w:tcPr>
            <w:tcW w:type="dxa" w:w="2200"/>
            <w:tcMar>
              <w:top w:type="dxa" w:w="60"/>
              <w:left w:type="dxa" w:w="100"/>
              <w:bottom w:type="dxa" w:w="60"/>
              <w:right w:type="dxa" w:w="100"/>
            </w:tcMar>
          </w:tcPr>
          <w:p>
            <w:r>
              <w:rPr>
                <w:rFonts w:ascii="Times New Roman" w:cs="Times New Roman" w:eastAsia="Times New Roman" w:hAnsi="Times New Roman"/>
                <w:b w:val="false"/>
                <w:bCs w:val="false"/>
                <w:color w:val="58595B"/>
                <w:sz w:val="19"/>
                <w:szCs w:val="19"/>
              </w:rPr>
              <w:t xml:space="preserve">c) Controls (COSO)</w:t>
            </w:r>
          </w:p>
        </w:tc>
        <w:tc>
          <w:tcPr>
            <w:tcW w:type="dxa" w:w="5760"/>
            <w:tcMar>
              <w:top w:type="dxa" w:w="60"/>
              <w:left w:type="dxa" w:w="100"/>
              <w:bottom w:type="dxa" w:w="60"/>
              <w:right w:type="dxa" w:w="100"/>
            </w:tcMar>
          </w:tcPr>
          <w:p>
            <w:r>
              <w:rPr>
                <w:rFonts w:ascii="Times New Roman" w:cs="Times New Roman" w:eastAsia="Times New Roman" w:hAnsi="Times New Roman"/>
                <w:b w:val="false"/>
                <w:bCs w:val="false"/>
                <w:color w:val="58595B"/>
                <w:sz w:val="19"/>
                <w:szCs w:val="19"/>
              </w:rPr>
              <w:t xml:space="preserve">Added an optional S1–S7 stage tag and an optional compliance-framework tag (GDPR/ISO27001/SOC2); full CRUD/RBAC and the 5-component COSO model pre-existing and unchanged.</w:t>
            </w:r>
          </w:p>
        </w:tc>
        <w:tc>
          <w:tcPr>
            <w:shd w:fill="D9EAD3" w:val="clear"/>
            <w:tcMar>
              <w:top w:type="dxa" w:w="60"/>
              <w:left w:type="dxa" w:w="100"/>
              <w:bottom w:type="dxa" w:w="60"/>
              <w:right w:type="dxa" w:w="100"/>
            </w:tcMar>
          </w:tcPr>
          <w:p>
            <w:r>
              <w:rPr>
                <w:rFonts w:ascii="Times New Roman" w:cs="Times New Roman" w:eastAsia="Times New Roman" w:hAnsi="Times New Roman"/>
                <w:b/>
                <w:bCs/>
                <w:color w:val="274E13"/>
                <w:sz w:val="18"/>
                <w:szCs w:val="18"/>
              </w:rPr>
              <w:t xml:space="preserve">Implemented</w:t>
            </w:r>
          </w:p>
        </w:tc>
      </w:tr>
      <w:tr>
        <w:tc>
          <w:tcPr>
            <w:tcW w:type="dxa" w:w="22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9"/>
                <w:szCs w:val="19"/>
              </w:rPr>
              <w:t xml:space="preserve">d) KPIs</w:t>
            </w:r>
          </w:p>
        </w:tc>
        <w:tc>
          <w:tcPr>
            <w:tcW w:type="dxa" w:w="57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9"/>
                <w:szCs w:val="19"/>
              </w:rPr>
              <w:t xml:space="preserve">New Custom KPIs module: full CRUD/RBAC (`customKpi.*` permissions), organization-authored, additive to the 10 built-in system KPIs, available on every Solution Pack.</w:t>
            </w:r>
          </w:p>
        </w:tc>
        <w:tc>
          <w:tcPr>
            <w:shd w:fill="D9EAD3" w:val="clear"/>
            <w:tcMar>
              <w:top w:type="dxa" w:w="60"/>
              <w:left w:type="dxa" w:w="100"/>
              <w:bottom w:type="dxa" w:w="60"/>
              <w:right w:type="dxa" w:w="100"/>
            </w:tcMar>
          </w:tcPr>
          <w:p>
            <w:r>
              <w:rPr>
                <w:rFonts w:ascii="Times New Roman" w:cs="Times New Roman" w:eastAsia="Times New Roman" w:hAnsi="Times New Roman"/>
                <w:b/>
                <w:bCs/>
                <w:color w:val="274E13"/>
                <w:sz w:val="18"/>
                <w:szCs w:val="18"/>
              </w:rPr>
              <w:t xml:space="preserve">Implemented</w:t>
            </w:r>
          </w:p>
        </w:tc>
      </w:tr>
      <w:tr>
        <w:tc>
          <w:tcPr>
            <w:tcW w:type="dxa" w:w="2200"/>
            <w:tcMar>
              <w:top w:type="dxa" w:w="60"/>
              <w:left w:type="dxa" w:w="100"/>
              <w:bottom w:type="dxa" w:w="60"/>
              <w:right w:type="dxa" w:w="100"/>
            </w:tcMar>
          </w:tcPr>
          <w:p>
            <w:r>
              <w:rPr>
                <w:rFonts w:ascii="Times New Roman" w:cs="Times New Roman" w:eastAsia="Times New Roman" w:hAnsi="Times New Roman"/>
                <w:b w:val="false"/>
                <w:bCs w:val="false"/>
                <w:color w:val="58595B"/>
                <w:sz w:val="19"/>
                <w:szCs w:val="19"/>
              </w:rPr>
              <w:t xml:space="preserve">e) Reports</w:t>
            </w:r>
          </w:p>
        </w:tc>
        <w:tc>
          <w:tcPr>
            <w:tcW w:type="dxa" w:w="5760"/>
            <w:tcMar>
              <w:top w:type="dxa" w:w="60"/>
              <w:left w:type="dxa" w:w="100"/>
              <w:bottom w:type="dxa" w:w="60"/>
              <w:right w:type="dxa" w:w="100"/>
            </w:tcMar>
          </w:tcPr>
          <w:p>
            <w:r>
              <w:rPr>
                <w:rFonts w:ascii="Times New Roman" w:cs="Times New Roman" w:eastAsia="Times New Roman" w:hAnsi="Times New Roman"/>
                <w:b w:val="false"/>
                <w:bCs w:val="false"/>
                <w:color w:val="58595B"/>
                <w:sz w:val="19"/>
                <w:szCs w:val="19"/>
              </w:rPr>
              <w:t xml:space="preserve">The 4 standard reports are unchanged. A user-facing custom report builder was not built — see Section 9.</w:t>
            </w:r>
          </w:p>
        </w:tc>
        <w:tc>
          <w:tcPr>
            <w:shd w:fill="FBE0B5" w:val="clear"/>
            <w:tcMar>
              <w:top w:type="dxa" w:w="60"/>
              <w:left w:type="dxa" w:w="100"/>
              <w:bottom w:type="dxa" w:w="60"/>
              <w:right w:type="dxa" w:w="100"/>
            </w:tcMar>
          </w:tcPr>
          <w:p>
            <w:r>
              <w:rPr>
                <w:rFonts w:ascii="Times New Roman" w:cs="Times New Roman" w:eastAsia="Times New Roman" w:hAnsi="Times New Roman"/>
                <w:b/>
                <w:bCs/>
                <w:color w:val="7F4B00"/>
                <w:sz w:val="18"/>
                <w:szCs w:val="18"/>
              </w:rPr>
              <w:t xml:space="preserve">Scaffolding</w:t>
            </w:r>
          </w:p>
        </w:tc>
      </w:tr>
      <w:tr>
        <w:tc>
          <w:tcPr>
            <w:tcW w:type="dxa" w:w="22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9"/>
                <w:szCs w:val="19"/>
              </w:rPr>
              <w:t xml:space="preserve">f) Risks &amp; Opportunities</w:t>
            </w:r>
          </w:p>
        </w:tc>
        <w:tc>
          <w:tcPr>
            <w:tcW w:type="dxa" w:w="57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9"/>
                <w:szCs w:val="19"/>
              </w:rPr>
              <w:t xml:space="preserve">Added an optional S1–S7 stage tag; full CRUD/RBAC and the 5×5 likelihood×impact matrix pre-existing and unchanged.</w:t>
            </w:r>
          </w:p>
        </w:tc>
        <w:tc>
          <w:tcPr>
            <w:shd w:fill="D9EAD3" w:val="clear"/>
            <w:tcMar>
              <w:top w:type="dxa" w:w="60"/>
              <w:left w:type="dxa" w:w="100"/>
              <w:bottom w:type="dxa" w:w="60"/>
              <w:right w:type="dxa" w:w="100"/>
            </w:tcMar>
          </w:tcPr>
          <w:p>
            <w:r>
              <w:rPr>
                <w:rFonts w:ascii="Times New Roman" w:cs="Times New Roman" w:eastAsia="Times New Roman" w:hAnsi="Times New Roman"/>
                <w:b/>
                <w:bCs/>
                <w:color w:val="274E13"/>
                <w:sz w:val="18"/>
                <w:szCs w:val="18"/>
              </w:rPr>
              <w:t xml:space="preserve">Implemented</w:t>
            </w:r>
          </w:p>
        </w:tc>
      </w:tr>
    </w:tbl>
    <w:p>
      <w:pPr>
        <w:spacing w:after="200" w:before="60"/>
        <w:jc w:val="left"/>
      </w:pPr>
      <w:r>
        <w:rPr>
          <w:rFonts w:ascii="Times New Roman" w:cs="Times New Roman" w:eastAsia="Times New Roman" w:hAnsi="Times New Roman"/>
          <w:i/>
          <w:iCs/>
          <w:color w:val="58595B"/>
          <w:sz w:val="19"/>
          <w:szCs w:val="19"/>
        </w:rPr>
        <w:t xml:space="preserve">Table 3 — Per-item disposition for Item 6. "Partial" marks a genuine, disclosed scope decision, not an oversight — see Section 9 for the reasoning.</w:t>
      </w:r>
    </w:p>
    <w:p>
      <w:pPr>
        <w:spacing w:after="160" w:line="276"/>
        <w:jc w:val="both"/>
      </w:pPr>
      <w:r>
        <w:rPr>
          <w:rFonts w:ascii="Times New Roman" w:cs="Times New Roman" w:eastAsia="Times New Roman" w:hAnsi="Times New Roman"/>
          <w:color w:val="58595B"/>
          <w:sz w:val="24"/>
          <w:szCs w:val="24"/>
        </w:rPr>
        <w:t xml:space="preserve">The connecting piece across all six is new: a `StageGovernancePanel` component now renders on every S1–S7 tab of every NCP Sheet, pulling the Business Rules, Controls, and Risks &amp; Opportunities tagged to that specific stage into a compact, permission-checked summary card directly on the workflow the user is already in — verified visually on the S4 Root Cause tab, where it correctly surfaced BR-004 (Root Cause Analysis Deadline) and C-003 (NCP Risk Assessment Review), the two governance records tagged to S4.</w:t>
      </w:r>
    </w:p>
    <w:p>
      <w:pPr>
        <w:pStyle w:val="Heading1"/>
        <w:pBdr>
          <w:bottom w:val="single" w:color="E07B00" w:sz="8" w:space="4"/>
        </w:pBdr>
        <w:spacing w:after="160" w:before="360"/>
      </w:pPr>
      <w:r>
        <w:rPr>
          <w:rFonts w:ascii="Times New Roman" w:cs="Times New Roman" w:eastAsia="Times New Roman" w:hAnsi="Times New Roman"/>
          <w:b/>
          <w:bCs/>
          <w:color w:val="E07B00"/>
          <w:sz w:val="34"/>
          <w:szCs w:val="34"/>
        </w:rPr>
        <w:t xml:space="preserve">5. RAG and Seeded Knowledge Base per Step (Item 7)</w:t>
      </w:r>
    </w:p>
    <w:p>
      <w:pPr>
        <w:spacing w:after="160" w:line="276"/>
        <w:jc w:val="both"/>
      </w:pPr>
      <w:r>
        <w:rPr>
          <w:rFonts w:ascii="Times New Roman" w:cs="Times New Roman" w:eastAsia="Times New Roman" w:hAnsi="Times New Roman"/>
          <w:color w:val="58595B"/>
          <w:sz w:val="24"/>
          <w:szCs w:val="24"/>
        </w:rPr>
        <w:t xml:space="preserve">The Standards Knowledge Base was extended with the Technical Solution Offer’s Annex A Standards Library — 15 illustrative cross-sector standards (ISO 9001, ISO 14001, ISO 45001, IATF 16949, ISO 13485, AS9100, ISO 22000, HACCP, ISO/IEC 27001, ISO 31000, ISO 50001, ISO/IEC 20000-1, VDA 6.3, GMP, and Six Sigma/Lean DMAIC), each carrying a `domain` and a primary S1–S7 `stageTag` reflecting which process step it is most relevant to. Each organization’s Standards Knowledge Base seeds as many of these as its Pack’s `standardsIncluded` allotment permits, with Compliance Modules able to force additional standards active beyond that base allotment (verified: an Assure-Pack organization with all three Compliance Modules active correctly shows 8 active Standards — 7 base allotment + 1 forced by ISO/IEC 27001).</w:t>
      </w:r>
    </w:p>
    <w:p>
      <w:pPr>
        <w:spacing w:after="160" w:line="276"/>
        <w:jc w:val="both"/>
      </w:pPr>
      <w:r>
        <w:rPr>
          <w:rFonts w:ascii="Times New Roman" w:cs="Times New Roman" w:eastAsia="Times New Roman" w:hAnsi="Times New Roman"/>
          <w:color w:val="58595B"/>
          <w:sz w:val="24"/>
          <w:szCs w:val="24"/>
        </w:rPr>
        <w:t xml:space="preserve">The retrieval function powering every AI agent (`retrieveGrounding()` in `aiGeneration.js`) is now stage-aware: given the current S1–S7 step, it prioritizes Standards whose `stage_tags` match that step, and only tops up from the rest of the organization’s active corpus if the stage-specific pool is smaller than the requested result count. This is a soft preference, not a hard filter — an S4 Root Cause query is never starved of context if too few root-cause-tagged Standards exist. All seven step agents (S1 Classification through S7 REX Generation) were wired to pass their own stage tag into this function.</w:t>
      </w:r>
    </w:p>
    <w:p>
      <w:pPr>
        <w:pStyle w:val="Heading1"/>
        <w:pBdr>
          <w:bottom w:val="single" w:color="E07B00" w:sz="8" w:space="4"/>
        </w:pBdr>
        <w:spacing w:after="160" w:before="360"/>
      </w:pPr>
      <w:r>
        <w:rPr>
          <w:rFonts w:ascii="Times New Roman" w:cs="Times New Roman" w:eastAsia="Times New Roman" w:hAnsi="Times New Roman"/>
          <w:b/>
          <w:bCs/>
          <w:color w:val="E07B00"/>
          <w:sz w:val="34"/>
          <w:szCs w:val="34"/>
        </w:rPr>
        <w:t xml:space="preserve">6. AI Chatbot (Item 2)</w:t>
      </w:r>
    </w:p>
    <w:p>
      <w:pPr>
        <w:spacing w:after="160" w:line="276"/>
        <w:jc w:val="both"/>
      </w:pPr>
      <w:r>
        <w:rPr>
          <w:rFonts w:ascii="Times New Roman" w:cs="Times New Roman" w:eastAsia="Times New Roman" w:hAnsi="Times New Roman"/>
          <w:color w:val="58595B"/>
          <w:sz w:val="24"/>
          <w:szCs w:val="24"/>
        </w:rPr>
        <w:t xml:space="preserve">A floating chatbot widget now appears on every screen of the application (not only on the dedicated AI Assistant page), reusing the same two RBAC-scoped agents already built for that page: Query My Data (answers computed live from the organization’s own database, strictly scoped to the asking user’s permissions) and Ask About the Application (RAG search over the in-app FAQ knowledge base, now including nine new Q&amp;A entries covering Configuration Management, Compliance Modules, Custom KPIs, Sheet Templates, and per-step RAG grounding). The widget is Pack-aware: for an organization on the Resolve Pack, which does not include the AI Assistant, the widget renders a translated "not included in your Pack" message instead of a broken chat experience — verified for both the Resolve and Assure tiers.</w:t>
      </w:r>
    </w:p>
    <w:p>
      <w:pPr>
        <w:pStyle w:val="Heading1"/>
        <w:pBdr>
          <w:bottom w:val="single" w:color="E07B00" w:sz="8" w:space="4"/>
        </w:pBdr>
        <w:spacing w:after="160" w:before="360"/>
      </w:pPr>
      <w:r>
        <w:rPr>
          <w:rFonts w:ascii="Times New Roman" w:cs="Times New Roman" w:eastAsia="Times New Roman" w:hAnsi="Times New Roman"/>
          <w:b/>
          <w:bCs/>
          <w:color w:val="E07B00"/>
          <w:sz w:val="34"/>
          <w:szCs w:val="34"/>
        </w:rPr>
        <w:t xml:space="preserve">7. Library of NCP Sheet Templates (Item 3)</w:t>
      </w:r>
    </w:p>
    <w:p>
      <w:pPr>
        <w:spacing w:after="160" w:line="276"/>
        <w:jc w:val="both"/>
      </w:pPr>
      <w:r>
        <w:rPr>
          <w:rFonts w:ascii="Times New Roman" w:cs="Times New Roman" w:eastAsia="Times New Roman" w:hAnsi="Times New Roman"/>
          <w:color w:val="58595B"/>
          <w:sz w:val="24"/>
          <w:szCs w:val="24"/>
        </w:rPr>
        <w:t xml:space="preserve">A new Sheet Templates module provides a library of pre-filled S1 starting points — title/description templates and default criticality/priority — organized by problem type (e.g. Supplier Non-Conformity, Customer Complaint, Safety/Near-Miss, Internal Process Deviation, Equipment/Maintenance Failure). It has full CRUD/RBAC (`sheetTemplate.*` permissions) and is selectable from a new "Start From a Template" control on the New NCP Sheet form, which pre-fills the form fields on selection. Unlike the GRC bundle, Sheet Templates (and Custom KPIs) are available on every Solution Pack, consistent with the Technical Offer’s treatment of the 10 KPIs and 4 Reports as standard across all Packs.</w:t>
      </w:r>
    </w:p>
    <w:p>
      <w:pPr>
        <w:pStyle w:val="Heading1"/>
        <w:pBdr>
          <w:bottom w:val="single" w:color="E07B00" w:sz="8" w:space="4"/>
        </w:pBdr>
        <w:spacing w:after="160" w:before="360"/>
      </w:pPr>
      <w:r>
        <w:rPr>
          <w:rFonts w:ascii="Times New Roman" w:cs="Times New Roman" w:eastAsia="Times New Roman" w:hAnsi="Times New Roman"/>
          <w:b/>
          <w:bCs/>
          <w:color w:val="E07B00"/>
          <w:sz w:val="34"/>
          <w:szCs w:val="34"/>
        </w:rPr>
        <w:t xml:space="preserve">8. BPMN Editor Redesign (Item 8)</w:t>
      </w:r>
    </w:p>
    <w:p>
      <w:pPr>
        <w:spacing w:after="160" w:line="276"/>
        <w:jc w:val="both"/>
      </w:pPr>
      <w:r>
        <w:rPr>
          <w:rFonts w:ascii="Times New Roman" w:cs="Times New Roman" w:eastAsia="Times New Roman" w:hAnsi="Times New Roman"/>
          <w:color w:val="58595B"/>
          <w:sz w:val="24"/>
          <w:szCs w:val="24"/>
        </w:rPr>
        <w:t xml:space="preserve">The BPMN modeler’s tool palette previously floated as an overlay on top of the diagram canvas. It now renders in its own fixed-width sidebar to the left of the canvas, both housed inside the same flex-row container bpmn-js itself manages (`.djs-container`), so the palette and the drawing surface never overlap and the canvas retains its full usable width. This required correcting an initial assumption about bpmn-js’s DOM structure — the palette is nested inside the same container as the SVG canvas, not a sibling of it — discovered and fixed via direct DOM inspection; the corrected layout was confirmed visually with the palette and canvas rendering cleanly side by side. Availability and edit-vs-view mode now also depend on the organization’s Solution Pack (none for Resolve, view-only for Govern, full edit for Assure, or full edit for any Pack with the BPMN Full Editing Modeler add-on).</w:t>
      </w:r>
    </w:p>
    <w:p>
      <w:pPr>
        <w:pStyle w:val="Heading1"/>
        <w:pBdr>
          <w:bottom w:val="single" w:color="E07B00" w:sz="8" w:space="4"/>
        </w:pBdr>
        <w:spacing w:after="160" w:before="360"/>
      </w:pPr>
      <w:r>
        <w:rPr>
          <w:rFonts w:ascii="Times New Roman" w:cs="Times New Roman" w:eastAsia="Times New Roman" w:hAnsi="Times New Roman"/>
          <w:b/>
          <w:bCs/>
          <w:color w:val="E07B00"/>
          <w:sz w:val="34"/>
          <w:szCs w:val="34"/>
        </w:rPr>
        <w:t xml:space="preserve">9. What Remains Out of Scope or Architecture-Ready Only</w:t>
      </w:r>
    </w:p>
    <w:p>
      <w:pPr>
        <w:spacing w:after="160" w:line="276"/>
        <w:jc w:val="both"/>
      </w:pPr>
      <w:r>
        <w:rPr>
          <w:rFonts w:ascii="Times New Roman" w:cs="Times New Roman" w:eastAsia="Times New Roman" w:hAnsi="Times New Roman"/>
          <w:color w:val="58595B"/>
          <w:sz w:val="24"/>
          <w:szCs w:val="24"/>
        </w:rPr>
        <w:t xml:space="preserve">In the interest of an honest gap analysis, the items below are priced or described in the Technical and Financial Offers but are not implemented as operational capabilities in this build. None of them can be fully closed at the application-code layer alone — each requires either external infrastructure, a certifying third party, or a scope decision beyond what was requested.</w:t>
      </w:r>
    </w:p>
    <w:p>
      <w:pPr>
        <w:pStyle w:val="Heading3"/>
        <w:spacing w:after="100" w:before="200"/>
      </w:pPr>
      <w:r>
        <w:rPr>
          <w:rFonts w:ascii="Times New Roman" w:cs="Times New Roman" w:eastAsia="Times New Roman" w:hAnsi="Times New Roman"/>
          <w:b/>
          <w:bCs/>
          <w:color w:val="E07B00"/>
          <w:sz w:val="24"/>
          <w:szCs w:val="24"/>
        </w:rPr>
        <w:t xml:space="preserve">9.1 Integrations</w:t>
      </w:r>
    </w:p>
    <w:p>
      <w:pPr>
        <w:spacing w:after="160" w:line="276"/>
        <w:jc w:val="both"/>
      </w:pPr>
      <w:r>
        <w:rPr>
          <w:rFonts w:ascii="Times New Roman" w:cs="Times New Roman" w:eastAsia="Times New Roman" w:hAnsi="Times New Roman"/>
          <w:color w:val="58595B"/>
          <w:sz w:val="24"/>
          <w:szCs w:val="24"/>
        </w:rPr>
        <w:t xml:space="preserve">The Integration Catalog (SSO providers, ERP, DMS, ticketing, etc.) and the `integrationsIncluded` quota are tracked as a number on the license only. No real external system connectors were built or requested; connecting to a customer’s actual SSO/ERP/DMS is a customer-specific implementation project, not a generic feature to build speculatively.</w:t>
      </w:r>
    </w:p>
    <w:p>
      <w:pPr>
        <w:pStyle w:val="Heading3"/>
        <w:spacing w:after="100" w:before="200"/>
      </w:pPr>
      <w:r>
        <w:rPr>
          <w:rFonts w:ascii="Times New Roman" w:cs="Times New Roman" w:eastAsia="Times New Roman" w:hAnsi="Times New Roman"/>
          <w:b/>
          <w:bCs/>
          <w:color w:val="E07B00"/>
          <w:sz w:val="24"/>
          <w:szCs w:val="24"/>
        </w:rPr>
        <w:t xml:space="preserve">9.2 Certification vs. scaffolding</w:t>
      </w:r>
    </w:p>
    <w:p>
      <w:pPr>
        <w:spacing w:after="160" w:line="276"/>
        <w:jc w:val="both"/>
      </w:pPr>
      <w:r>
        <w:rPr>
          <w:rFonts w:ascii="Times New Roman" w:cs="Times New Roman" w:eastAsia="Times New Roman" w:hAnsi="Times New Roman"/>
          <w:color w:val="58595B"/>
          <w:sz w:val="24"/>
          <w:szCs w:val="24"/>
        </w:rPr>
        <w:t xml:space="preserve">The GDPR, ISO/IEC 27001, and SOC 2 Type II Compliance Modules seed a Controls scaffold and activate a linked Standard. They do not constitute certification, an external audit, or a legal compliance guarantee — an organization using these modules still needs to run its own compliance program and engage a certifying body. This distinction is also stated directly in the product’s in-app FAQ so end users see the same caveat.</w:t>
      </w:r>
    </w:p>
    <w:p>
      <w:pPr>
        <w:pStyle w:val="Heading3"/>
        <w:spacing w:after="100" w:before="200"/>
      </w:pPr>
      <w:r>
        <w:rPr>
          <w:rFonts w:ascii="Times New Roman" w:cs="Times New Roman" w:eastAsia="Times New Roman" w:hAnsi="Times New Roman"/>
          <w:b/>
          <w:bCs/>
          <w:color w:val="E07B00"/>
          <w:sz w:val="24"/>
          <w:szCs w:val="24"/>
        </w:rPr>
        <w:t xml:space="preserve">9.3 Sovereign / on-premises infrastructure</w:t>
      </w:r>
    </w:p>
    <w:p>
      <w:pPr>
        <w:spacing w:after="160" w:line="276"/>
        <w:jc w:val="both"/>
      </w:pPr>
      <w:r>
        <w:rPr>
          <w:rFonts w:ascii="Times New Roman" w:cs="Times New Roman" w:eastAsia="Times New Roman" w:hAnsi="Times New Roman"/>
          <w:color w:val="58595B"/>
          <w:sz w:val="24"/>
          <w:szCs w:val="24"/>
        </w:rPr>
        <w:t xml:space="preserve">Sovereign Core and Sovereign Vault deployment options are recorded as a license field, gated behind the Sovereign Deployment Suite add-on. No differentiated cloud region, air-gapped environment, or on-premises installation exists — this reference application runs as a single Node.js process with a single SQLite file regardless of the selected deployment option.</w:t>
      </w:r>
    </w:p>
    <w:p>
      <w:pPr>
        <w:pStyle w:val="Heading3"/>
        <w:spacing w:after="100" w:before="200"/>
      </w:pPr>
      <w:r>
        <w:rPr>
          <w:rFonts w:ascii="Times New Roman" w:cs="Times New Roman" w:eastAsia="Times New Roman" w:hAnsi="Times New Roman"/>
          <w:b/>
          <w:bCs/>
          <w:color w:val="E07B00"/>
          <w:sz w:val="24"/>
          <w:szCs w:val="24"/>
        </w:rPr>
        <w:t xml:space="preserve">9.4 Custom alert rules and custom report builder</w:t>
      </w:r>
    </w:p>
    <w:p>
      <w:pPr>
        <w:spacing w:after="160" w:line="276"/>
        <w:jc w:val="both"/>
      </w:pPr>
      <w:r>
        <w:rPr>
          <w:rFonts w:ascii="Times New Roman" w:cs="Times New Roman" w:eastAsia="Times New Roman" w:hAnsi="Times New Roman"/>
          <w:color w:val="58595B"/>
          <w:sz w:val="24"/>
          <w:szCs w:val="24"/>
        </w:rPr>
        <w:t xml:space="preserve">Item 6’s Alerts (a) and Reports (e) sub-items were interpreted deliberately narrowly: the existing rule-based Alerts A–J engine and the 4 standard reports were extended with stage tagging and left otherwise untouched, rather than building a general-purpose, user-authorable alert-rules engine or report builder. That is a materially larger feature (a rules DSL or query builder, plus its own UI) than "add CRUD/RBAC," and was not separately confirmed with the requester before this release; it is flagged here as a candidate follow-on rather than silently delivered as a partial feature.</w:t>
      </w:r>
    </w:p>
    <w:p>
      <w:pPr>
        <w:pStyle w:val="Heading3"/>
        <w:spacing w:after="100" w:before="200"/>
      </w:pPr>
      <w:r>
        <w:rPr>
          <w:rFonts w:ascii="Times New Roman" w:cs="Times New Roman" w:eastAsia="Times New Roman" w:hAnsi="Times New Roman"/>
          <w:b/>
          <w:bCs/>
          <w:color w:val="E07B00"/>
          <w:sz w:val="24"/>
          <w:szCs w:val="24"/>
        </w:rPr>
        <w:t xml:space="preserve">9.5 Unmodeled Add-Ons</w:t>
      </w:r>
    </w:p>
    <w:p>
      <w:pPr>
        <w:spacing w:after="160" w:line="276"/>
        <w:jc w:val="both"/>
      </w:pPr>
      <w:r>
        <w:rPr>
          <w:rFonts w:ascii="Times New Roman" w:cs="Times New Roman" w:eastAsia="Times New Roman" w:hAnsi="Times New Roman"/>
          <w:color w:val="58595B"/>
          <w:sz w:val="24"/>
          <w:szCs w:val="24"/>
        </w:rPr>
        <w:t xml:space="preserve">Extra AI Capacity, White-Labeling, Additional Language Pack, Premium Standards Library, and Dedicated CSM are priced in the Financial Offer’s Add-On Catalog but have no corresponding toggle or functional effect in Configuration Management. Several of these (a rate limit increase, a support contact, a larger Standards seed set) would be straightforward to model as license fields if prioritized; White-Labeling would require a theming layer this build does not have (the UI is POWERACT-branded only).</w:t>
      </w:r>
    </w:p>
    <w:p>
      <w:pPr>
        <w:pStyle w:val="Heading1"/>
        <w:pBdr>
          <w:bottom w:val="single" w:color="E07B00" w:sz="8" w:space="4"/>
        </w:pBdr>
        <w:spacing w:after="160" w:before="360"/>
      </w:pPr>
      <w:r>
        <w:rPr>
          <w:rFonts w:ascii="Times New Roman" w:cs="Times New Roman" w:eastAsia="Times New Roman" w:hAnsi="Times New Roman"/>
          <w:b/>
          <w:bCs/>
          <w:color w:val="E07B00"/>
          <w:sz w:val="34"/>
          <w:szCs w:val="34"/>
        </w:rPr>
        <w:t xml:space="preserve">10. Recommendation</w:t>
      </w:r>
    </w:p>
    <w:p>
      <w:pPr>
        <w:spacing w:after="160" w:line="276"/>
        <w:jc w:val="both"/>
      </w:pPr>
      <w:r>
        <w:rPr>
          <w:rFonts w:ascii="Times New Roman" w:cs="Times New Roman" w:eastAsia="Times New Roman" w:hAnsi="Times New Roman"/>
          <w:color w:val="58595B"/>
          <w:sz w:val="24"/>
          <w:szCs w:val="24"/>
        </w:rPr>
        <w:t xml:space="preserve">The scaffolding delivered in this release — Configuration Management, Pack-based entitlement and quota enforcement, Compliance Module Controls seeding, per-step governance tagging, and per-step RAG grounding — gives the product a coherent, testable foundation for everything in Section 9 to be built out incrementally: each unmodeled Add-On or Integration can be added as one more license field and one more `requirePackFeature()` check, without another architectural change. The items in Section 9 that require infrastructure or a third-party certifying body (Sovereign deployment, actual compliance certification) should be scoped and priced as separate delivery workstreams from the application codebase, since no amount of further coding closes that gap.</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08184"/>
        <w:sz w:val="17"/>
        <w:szCs w:val="17"/>
      </w:rPr>
      <w:t xml:space="preserve">POWERACT Consulting — Confidential · Page </w:t>
    </w:r>
    <w:r>
      <w:rPr>
        <w:rFonts w:ascii="Times New Roman" w:cs="Times New Roman" w:eastAsia="Times New Roman" w:hAnsi="Times New Roman"/>
        <w:color w:val="808184"/>
        <w:sz w:val="17"/>
        <w:szCs w:val="17"/>
      </w:rPr>
      <w:fldChar w:fldCharType="begin"/>
      <w:instrText xml:space="preserve">PAGE</w:instrText>
      <w:fldChar w:fldCharType="separate"/>
      <w:fldChar w:fldCharType="end"/>
    </w:r>
    <w:r>
      <w:rPr>
        <w:rFonts w:ascii="Times New Roman" w:cs="Times New Roman" w:eastAsia="Times New Roman" w:hAnsi="Times New Roman"/>
        <w:color w:val="808184"/>
        <w:sz w:val="17"/>
        <w:szCs w:val="17"/>
      </w:rPr>
      <w:t xml:space="preserve"> of </w:t>
    </w:r>
    <w:r>
      <w:rPr>
        <w:rFonts w:ascii="Times New Roman" w:cs="Times New Roman" w:eastAsia="Times New Roman" w:hAnsi="Times New Roman"/>
        <w:color w:val="808184"/>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08184"/>
        <w:sz w:val="17"/>
        <w:szCs w:val="17"/>
      </w:rPr>
      <w:t xml:space="preserve">NCP Solver — Gap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58595B"/>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2026-09-14T08:32:41.608Z</dcterms:created>
  <dcterms:modified xsi:type="dcterms:W3CDTF">2026-09-14T08:32:41.608Z</dcterms:modified>
</cp:coreProperties>
</file>

<file path=docProps/custom.xml><?xml version="1.0" encoding="utf-8"?>
<Properties xmlns="http://schemas.openxmlformats.org/officeDocument/2006/custom-properties" xmlns:vt="http://schemas.openxmlformats.org/officeDocument/2006/docPropsVTypes"/>
</file>