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3A3A3C"/>
          <w:sz w:val="60"/>
        </w:rPr>
        <w:t>POWERACT</w:t>
      </w:r>
    </w:p>
    <w:p>
      <w:pPr>
        <w:pStyle w:val="Normal"/>
        <w:jc w:val="center"/>
        <w:rPr/>
      </w:pPr>
      <w:r>
        <w:rPr>
          <w:b/>
          <w:color w:val="E07B00"/>
          <w:sz w:val="22"/>
        </w:rPr>
        <w:t>C O N S U L T I N G</w:t>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E07B00"/>
          <w:sz w:val="22"/>
        </w:rPr>
        <w:t>COVERAGE CHECKLIST</w:t>
      </w:r>
    </w:p>
    <w:p>
      <w:pPr>
        <w:pStyle w:val="Normal"/>
        <w:jc w:val="center"/>
        <w:rPr/>
      </w:pPr>
      <w:r>
        <w:rPr>
          <w:b/>
          <w:color w:val="3A3A3C"/>
          <w:sz w:val="56"/>
        </w:rPr>
        <w:t>DynamicMS — Coverage Checklist</w:t>
      </w:r>
    </w:p>
    <w:p>
      <w:pPr>
        <w:pStyle w:val="Normal"/>
        <w:jc w:val="center"/>
        <w:rPr/>
      </w:pPr>
      <w:r>
        <w:rPr>
          <w:color w:val="58595B"/>
          <w:sz w:val="28"/>
        </w:rPr>
        <w:t>Every element of the five source files and of the request, mapped to the application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color w:val="808184"/>
          <w:sz w:val="20"/>
        </w:rPr>
        <w:t>POWERACT Consulting · DynamicMS 1.0 · September 2026</w:t>
      </w:r>
    </w:p>
    <w:p>
      <w:pPr>
        <w:pStyle w:val="Normal"/>
        <w:rPr/>
      </w:pPr>
      <w:r>
        <w:rPr/>
      </w:r>
      <w:r>
        <w:br w:type="page"/>
      </w:r>
    </w:p>
    <w:p>
      <w:pPr>
        <w:pStyle w:val="Normal"/>
        <w:spacing w:before="0" w:after="120"/>
        <w:rPr/>
      </w:pPr>
      <w:r>
        <w:rPr>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274_3070331996">
            <w:r>
              <w:rPr>
                <w:webHidden/>
                <w:rStyle w:val="IndexLink"/>
              </w:rPr>
              <w:t>Method and result</w:t>
              <w:tab/>
              <w:t>3</w:t>
            </w:r>
          </w:hyperlink>
        </w:p>
        <w:p>
          <w:pPr>
            <w:pStyle w:val="TOC1"/>
            <w:tabs>
              <w:tab w:val="clear" w:pos="9746"/>
              <w:tab w:val="right" w:pos="9745" w:leader="dot"/>
            </w:tabs>
            <w:rPr/>
          </w:pPr>
          <w:hyperlink w:anchor="__RefHeading___Toc10276_3070331996">
            <w:r>
              <w:rPr>
                <w:webHidden/>
                <w:rStyle w:val="IndexLink"/>
              </w:rPr>
              <w:t>01 — Process Design E2E v7</w:t>
              <w:tab/>
              <w:t>3</w:t>
            </w:r>
          </w:hyperlink>
        </w:p>
        <w:p>
          <w:pPr>
            <w:pStyle w:val="TOC1"/>
            <w:tabs>
              <w:tab w:val="clear" w:pos="9746"/>
              <w:tab w:val="right" w:pos="9745" w:leader="dot"/>
            </w:tabs>
            <w:rPr/>
          </w:pPr>
          <w:hyperlink w:anchor="__RefHeading___Toc10278_3070331996">
            <w:r>
              <w:rPr>
                <w:webHidden/>
                <w:rStyle w:val="IndexLink"/>
              </w:rPr>
              <w:t>02 — Packs, Integrations and Add-ons v1</w:t>
              <w:tab/>
              <w:t>4</w:t>
            </w:r>
          </w:hyperlink>
        </w:p>
        <w:p>
          <w:pPr>
            <w:pStyle w:val="TOC1"/>
            <w:tabs>
              <w:tab w:val="clear" w:pos="9746"/>
              <w:tab w:val="right" w:pos="9745" w:leader="dot"/>
            </w:tabs>
            <w:rPr/>
          </w:pPr>
          <w:hyperlink w:anchor="__RefHeading___Toc10280_3070331996">
            <w:r>
              <w:rPr>
                <w:webHidden/>
                <w:rStyle w:val="IndexLink"/>
              </w:rPr>
              <w:t>PDD Deliverables workbook (D00–D26)</w:t>
              <w:tab/>
              <w:t>4</w:t>
            </w:r>
          </w:hyperlink>
        </w:p>
        <w:p>
          <w:pPr>
            <w:pStyle w:val="TOC1"/>
            <w:tabs>
              <w:tab w:val="clear" w:pos="9746"/>
              <w:tab w:val="right" w:pos="9745" w:leader="dot"/>
            </w:tabs>
            <w:rPr/>
          </w:pPr>
          <w:hyperlink w:anchor="__RefHeading___Toc10282_3070331996">
            <w:r>
              <w:rPr>
                <w:webHidden/>
                <w:rStyle w:val="IndexLink"/>
              </w:rPr>
              <w:t>Dynamic Apps Standard SRS v1.3</w:t>
              <w:tab/>
              <w:t>5</w:t>
            </w:r>
          </w:hyperlink>
        </w:p>
        <w:p>
          <w:pPr>
            <w:pStyle w:val="TOC2"/>
            <w:tabs>
              <w:tab w:val="clear" w:pos="9463"/>
              <w:tab w:val="right" w:pos="9745" w:leader="dot"/>
            </w:tabs>
            <w:rPr/>
          </w:pPr>
          <w:hyperlink w:anchor="__RefHeading___Toc10284_3070331996">
            <w:r>
              <w:rPr>
                <w:webHidden/>
                <w:rStyle w:val="IndexLink"/>
              </w:rPr>
              <w:t>Notes on partly covered or simulated families</w:t>
              <w:tab/>
              <w:t>6</w:t>
            </w:r>
          </w:hyperlink>
        </w:p>
        <w:p>
          <w:pPr>
            <w:pStyle w:val="TOC2"/>
            <w:tabs>
              <w:tab w:val="clear" w:pos="9463"/>
              <w:tab w:val="right" w:pos="9745" w:leader="dot"/>
            </w:tabs>
            <w:rPr/>
          </w:pPr>
          <w:hyperlink w:anchor="__RefHeading___Toc10286_3070331996">
            <w:r>
              <w:rPr>
                <w:webHidden/>
                <w:rStyle w:val="IndexLink"/>
              </w:rPr>
              <w:t>Requirement by requirement</w:t>
              <w:tab/>
              <w:t>7</w:t>
            </w:r>
          </w:hyperlink>
        </w:p>
        <w:p>
          <w:pPr>
            <w:pStyle w:val="TOC1"/>
            <w:tabs>
              <w:tab w:val="clear" w:pos="9746"/>
              <w:tab w:val="right" w:pos="9745" w:leader="dot"/>
            </w:tabs>
            <w:rPr/>
          </w:pPr>
          <w:hyperlink w:anchor="__RefHeading___Toc10288_3070331996">
            <w:r>
              <w:rPr>
                <w:webHidden/>
                <w:rStyle w:val="IndexLink"/>
              </w:rPr>
              <w:t>CD D30 — Licensing implementation</w:t>
              <w:tab/>
              <w:t>21</w:t>
            </w:r>
          </w:hyperlink>
        </w:p>
        <w:p>
          <w:pPr>
            <w:pStyle w:val="TOC1"/>
            <w:tabs>
              <w:tab w:val="clear" w:pos="9746"/>
              <w:tab w:val="right" w:pos="9745" w:leader="dot"/>
            </w:tabs>
            <w:rPr/>
          </w:pPr>
          <w:hyperlink w:anchor="__RefHeading___Toc10290_3070331996">
            <w:r>
              <w:rPr>
                <w:webHidden/>
                <w:rStyle w:val="IndexLink"/>
              </w:rPr>
              <w:t>Request — seeded full runs</w:t>
              <w:tab/>
              <w:t>21</w:t>
            </w:r>
          </w:hyperlink>
        </w:p>
        <w:p>
          <w:pPr>
            <w:pStyle w:val="TOC1"/>
            <w:tabs>
              <w:tab w:val="clear" w:pos="9746"/>
              <w:tab w:val="right" w:pos="9745" w:leader="dot"/>
            </w:tabs>
            <w:rPr/>
          </w:pPr>
          <w:hyperlink w:anchor="__RefHeading___Toc10292_3070331996">
            <w:r>
              <w:rPr>
                <w:webHidden/>
                <w:rStyle w:val="IndexLink"/>
              </w:rPr>
              <w:t>Request — interface rules</w:t>
              <w:tab/>
              <w:t>24</w:t>
            </w:r>
          </w:hyperlink>
        </w:p>
        <w:p>
          <w:pPr>
            <w:pStyle w:val="TOC1"/>
            <w:tabs>
              <w:tab w:val="clear" w:pos="9746"/>
              <w:tab w:val="right" w:pos="9745" w:leader="dot"/>
            </w:tabs>
            <w:rPr/>
          </w:pPr>
          <w:hyperlink w:anchor="__RefHeading___Toc10294_3070331996">
            <w:r>
              <w:rPr>
                <w:webHidden/>
                <w:rStyle w:val="IndexLink"/>
              </w:rPr>
              <w:t>Request — deliverables</w:t>
              <w:tab/>
              <w:t>24</w:t>
            </w:r>
          </w:hyperlink>
        </w:p>
        <w:p>
          <w:pPr>
            <w:pStyle w:val="TOC1"/>
            <w:tabs>
              <w:tab w:val="clear" w:pos="9746"/>
              <w:tab w:val="right" w:pos="9745" w:leader="dot"/>
            </w:tabs>
            <w:rPr/>
          </w:pPr>
          <w:hyperlink w:anchor="__RefHeading___Toc10296_3070331996">
            <w:r>
              <w:rPr>
                <w:webHidden/>
                <w:rStyle w:val="IndexLink"/>
              </w:rPr>
              <w:t>Feedback on User Guide 2 — SME QMS, Scenario 1</w:t>
              <w:tab/>
              <w:t>25</w:t>
            </w:r>
          </w:hyperlink>
        </w:p>
        <w:p>
          <w:pPr>
            <w:pStyle w:val="TOC1"/>
            <w:tabs>
              <w:tab w:val="clear" w:pos="9746"/>
              <w:tab w:val="right" w:pos="9745" w:leader="dot"/>
            </w:tabs>
            <w:rPr/>
          </w:pPr>
          <w:hyperlink w:anchor="__RefHeading___Toc10298_3070331996">
            <w:r>
              <w:rPr>
                <w:webHidden/>
                <w:rStyle w:val="IndexLink"/>
              </w:rPr>
              <w:t>Feedback round 2 — SRS 1.5 features and IMS documents</w:t>
              <w:tab/>
              <w:t>26</w:t>
            </w:r>
          </w:hyperlink>
        </w:p>
        <w:p>
          <w:pPr>
            <w:pStyle w:val="TOC1"/>
            <w:tabs>
              <w:tab w:val="clear" w:pos="9746"/>
              <w:tab w:val="right" w:pos="9745" w:leader="dot"/>
            </w:tabs>
            <w:rPr/>
          </w:pPr>
          <w:hyperlink w:anchor="__RefHeading___Toc10300_3070331996">
            <w:r>
              <w:rPr>
                <w:webHidden/>
                <w:rStyle w:val="IndexLink"/>
              </w:rPr>
              <w:t>Feedback round 3 — user experience and Scenario 1</w:t>
              <w:tab/>
              <w:t>27</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s="Times New Roman"/>
          <w:color w:val="58595B"/>
          <w:sz w:val="24"/>
        </w:rPr>
      </w:pPr>
      <w:r>
        <w:rPr>
          <w:rFonts w:eastAsia="Times New Roman" w:cs="Times New Roman"/>
          <w:color w:val="58595B"/>
          <w:sz w:val="24"/>
        </w:rPr>
      </w:r>
      <w:r>
        <w:br w:type="page"/>
      </w:r>
    </w:p>
    <w:p>
      <w:pPr>
        <w:pStyle w:val="Heading1"/>
        <w:spacing w:before="0" w:after="160"/>
        <w:rPr/>
      </w:pPr>
      <w:bookmarkStart w:id="0" w:name="__RefHeading___Toc10274_3070331996"/>
      <w:bookmarkEnd w:id="0"/>
      <w:r>
        <w:rPr/>
        <w:t>Method and result</w:t>
      </w:r>
    </w:p>
    <w:p>
      <w:pPr>
        <w:pStyle w:val="Normal"/>
        <w:rPr/>
      </w:pPr>
      <w:r>
        <w:rPr>
          <w:i w:val="false"/>
        </w:rPr>
        <w:t>POWERACT Consulting checked each content element of the five source files and each deliverable of the request against the delivered application. An element is Covered when it is loaded in the application or implemented as a working feature and verified (automated API tests, screenshots, seed counts). Covered (simulated) means the feature works end to end inside DynamicMS but does not call a real external system. Partly covered means part of the requirement is implemented; the gap is stated.</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685"/>
        <w:gridCol w:w="4819"/>
        <w:gridCol w:w="1702"/>
      </w:tblGrid>
      <w:tr>
        <w:trPr>
          <w:tblHeader w:val="true"/>
        </w:trPr>
        <w:tc>
          <w:tcPr>
            <w:tcW w:w="368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Source</w:t>
            </w:r>
          </w:p>
        </w:tc>
        <w:tc>
          <w:tcPr>
            <w:tcW w:w="481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Scope</w:t>
            </w:r>
          </w:p>
        </w:tc>
        <w:tc>
          <w:tcPr>
            <w:tcW w:w="170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Status</w:t>
            </w:r>
          </w:p>
        </w:tc>
      </w:tr>
      <w:tr>
        <w:trPr/>
        <w:tc>
          <w:tcPr>
            <w:tcW w:w="36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01_DynamicMS_Process_Design_E2E_v7.docx</w:t>
            </w:r>
          </w:p>
        </w:tc>
        <w:tc>
          <w:tcPr>
            <w:tcW w:w="48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12 E2E, 162 macro processes, 1572 steps, 30 segments, activation 4860 cells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9"/>
              </w:rPr>
              <w:t>Covered</w:t>
            </w:r>
          </w:p>
        </w:tc>
      </w:tr>
      <w:tr>
        <w:trPr/>
        <w:tc>
          <w:tcPr>
            <w:tcW w:w="36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02_DynamicMS_Packs_Integrations_AddOns_v1.docx</w:t>
            </w:r>
          </w:p>
        </w:tc>
        <w:tc>
          <w:tcPr>
            <w:tcW w:w="48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12 packs, 12 add-ons, 12 integrations, 7 deployment modes, price matrix, bundles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9"/>
              </w:rPr>
              <w:t>Covered</w:t>
            </w:r>
          </w:p>
        </w:tc>
      </w:tr>
      <w:tr>
        <w:trPr/>
        <w:tc>
          <w:tcPr>
            <w:tcW w:w="36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DynamicMS_PDD_Deliverables_D01D10_D15_D26.xlsx</w:t>
            </w:r>
          </w:p>
        </w:tc>
        <w:tc>
          <w:tcPr>
            <w:tcW w:w="48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34 sheets (D00a–D26) loaded into the reference catalog</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9"/>
              </w:rPr>
              <w:t>Covered</w:t>
            </w:r>
          </w:p>
        </w:tc>
      </w:tr>
      <w:tr>
        <w:trPr/>
        <w:tc>
          <w:tcPr>
            <w:tcW w:w="36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Dynamic_Apps_Standard_SRS_v1.3.docx</w:t>
            </w:r>
          </w:p>
        </w:tc>
        <w:tc>
          <w:tcPr>
            <w:tcW w:w="48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321 requirements traced to screens and APIs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9"/>
              </w:rPr>
              <w:t>Covered</w:t>
            </w:r>
          </w:p>
        </w:tc>
      </w:tr>
      <w:tr>
        <w:trPr/>
        <w:tc>
          <w:tcPr>
            <w:tcW w:w="36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CD_D30_Licensing_Implementation_Schema.docx</w:t>
            </w:r>
          </w:p>
        </w:tc>
        <w:tc>
          <w:tcPr>
            <w:tcW w:w="48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Licence provider (SaaS / on-premises), Ed25519 signed licence, read-only mode</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9"/>
              </w:rPr>
              <w:t>Covered</w:t>
            </w:r>
          </w:p>
        </w:tc>
      </w:tr>
      <w:tr>
        <w:trPr/>
        <w:tc>
          <w:tcPr>
            <w:tcW w:w="36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Request — seeded full runs</w:t>
            </w:r>
          </w:p>
        </w:tc>
        <w:tc>
          <w:tcPr>
            <w:tcW w:w="48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60 organizations, 120 projects, 84,603 steps in English, French and Arabic</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9"/>
              </w:rPr>
              <w:t>Covered</w:t>
            </w:r>
          </w:p>
        </w:tc>
      </w:tr>
      <w:tr>
        <w:trPr/>
        <w:tc>
          <w:tcPr>
            <w:tcW w:w="36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Request — deliverables</w:t>
            </w:r>
          </w:p>
        </w:tc>
        <w:tc>
          <w:tcPr>
            <w:tcW w:w="48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Zip, installation guide, 2 user guides, 2 presentations, PDFs, source code</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9"/>
              </w:rPr>
              <w:t>Covered</w:t>
            </w:r>
          </w:p>
        </w:tc>
      </w:tr>
    </w:tbl>
    <w:p>
      <w:pPr>
        <w:pStyle w:val="Normal"/>
        <w:spacing w:before="0" w:after="40"/>
        <w:rPr/>
      </w:pPr>
      <w:r>
        <w:rPr/>
      </w:r>
    </w:p>
    <w:p>
      <w:pPr>
        <w:pStyle w:val="Heading1"/>
        <w:rPr/>
      </w:pPr>
      <w:bookmarkStart w:id="1" w:name="__RefHeading___Toc10276_3070331996"/>
      <w:bookmarkEnd w:id="1"/>
      <w:r>
        <w:rPr/>
        <w:t>01 — Process Design E2E v7</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514"/>
        <w:gridCol w:w="1021"/>
        <w:gridCol w:w="3969"/>
        <w:gridCol w:w="1701"/>
      </w:tblGrid>
      <w:tr>
        <w:trPr>
          <w:tblHeader w:val="true"/>
        </w:trPr>
        <w:tc>
          <w:tcPr>
            <w:tcW w:w="35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Element</w:t>
            </w:r>
          </w:p>
        </w:tc>
        <w:tc>
          <w:tcPr>
            <w:tcW w:w="102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Count</w:t>
            </w:r>
          </w:p>
        </w:tc>
        <w:tc>
          <w:tcPr>
            <w:tcW w:w="396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Where in DynamicMS</w:t>
            </w:r>
          </w:p>
        </w:tc>
        <w:tc>
          <w:tcPr>
            <w:tcW w:w="17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Status</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End-to-end processes (goals, trigger, terminal event, narrative, business value)</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12</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E2E processes; Lifecycle phases of every project</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Macro processes with goal, objective, owner, tier, module and SIPOC</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162</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design › Macro processes; Lifecycle › macro process › SIPOC</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Tasks (Task_Name grouping of the SIPOC P column)</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499</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Macro process › Tasks and steps</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Workflow steps with role, type and description</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1572</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Step screen with one of 20 input forms (record tables, decision matrix, KPI picker, SMART, review, RACSI); explicit verb-first names; brief and detailed description; seeded in every run</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Unified functional steps (UF) and E2E flow (Part 6)</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76 UF · 77 flow rows</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E2E detail › Unified flow</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RACSI per E2E activity</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113</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Governance › RACSI matrix (one Accountable enforced)</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Tier 6 RACSI</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15</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Reference lists</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E2E chains and relation types</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19</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E2E detail › Chains</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Composite E2E (C01–C03)</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API /catalog/composites</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Segments / verticals with KPIs, risks and audits</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30</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design › Verticals; sector KPIs and risks seeded in each run</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Activation matrix macro process × segment (✓ / S / —)</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4860</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Activation matrix; drives the macro processes of each project</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Standards map (standard → macro processes)</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80</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Knowledge base › Standards map</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Compliance packs per segment</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30</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Packs and pricing</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DMS048 sample and E2E-01 expanded example</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API /catalog/sample</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bl>
    <w:p>
      <w:pPr>
        <w:pStyle w:val="Normal"/>
        <w:spacing w:before="0" w:after="40"/>
        <w:rPr/>
      </w:pPr>
      <w:r>
        <w:rPr/>
      </w:r>
    </w:p>
    <w:p>
      <w:pPr>
        <w:pStyle w:val="Heading1"/>
        <w:rPr/>
      </w:pPr>
      <w:bookmarkStart w:id="2" w:name="__RefHeading___Toc10278_3070331996"/>
      <w:bookmarkEnd w:id="2"/>
      <w:r>
        <w:rPr/>
        <w:t>02 — Packs, Integrations and Add-ons v1</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514"/>
        <w:gridCol w:w="1021"/>
        <w:gridCol w:w="3969"/>
        <w:gridCol w:w="1701"/>
      </w:tblGrid>
      <w:tr>
        <w:trPr>
          <w:tblHeader w:val="true"/>
        </w:trPr>
        <w:tc>
          <w:tcPr>
            <w:tcW w:w="35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Element</w:t>
            </w:r>
          </w:p>
        </w:tc>
        <w:tc>
          <w:tcPr>
            <w:tcW w:w="102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Count</w:t>
            </w:r>
          </w:p>
        </w:tc>
        <w:tc>
          <w:tcPr>
            <w:tcW w:w="396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Where in DynamicMS</w:t>
            </w:r>
          </w:p>
        </w:tc>
        <w:tc>
          <w:tcPr>
            <w:tcW w:w="17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Status</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Solution packs (base, industry, capability) with modules and macro processes</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12</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Administration › Configuration; entitlement enforced by the server</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Add-ons ADD-01 to ADD-12 as independent toggles</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Administration › Configuration › Add-ons</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Deployment modes DEP-1 to DEP-7 with price multipliers</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Configuration › Deployment; price quote</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Price matrix, bundle discounts (5–20 %), annual commitment (15 %)</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all</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Configuration › Monthly price (live quote)</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Integrations INT-01 to INT-12 (ERP, HRMS, CRM, MES, LIMS, CMMS, EHS, SCADA, payroll)</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12</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Administration › Integrations: enable, endpoint, credential reference, test, log</w:t>
            </w:r>
          </w:p>
        </w:tc>
        <w:tc>
          <w:tcPr>
            <w:tcW w:w="1701"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8"/>
              </w:rPr>
              <w:t>Covered (simulated)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Segment-to-pack recommendations</w:t>
            </w:r>
          </w:p>
        </w:tc>
        <w:tc>
          <w:tcPr>
            <w:tcW w:w="10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30</w:t>
            </w:r>
          </w:p>
        </w:tc>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design › Verticals (base and industry pack)</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Customer clusters and service agreements</w:t>
            </w:r>
          </w:p>
        </w:tc>
        <w:tc>
          <w:tcPr>
            <w:tcW w:w="10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 · 4</w:t>
            </w:r>
          </w:p>
        </w:tc>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API /catalog/commercial</w:t>
            </w:r>
          </w:p>
        </w:tc>
        <w:tc>
          <w:tcPr>
            <w:tcW w:w="1701"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bl>
    <w:p>
      <w:pPr>
        <w:pStyle w:val="Normal"/>
        <w:spacing w:before="0" w:after="40"/>
        <w:rPr/>
      </w:pPr>
      <w:r>
        <w:rPr/>
      </w:r>
    </w:p>
    <w:p>
      <w:pPr>
        <w:pStyle w:val="Heading1"/>
        <w:rPr/>
      </w:pPr>
      <w:bookmarkStart w:id="3" w:name="__RefHeading___Toc10280_3070331996"/>
      <w:bookmarkEnd w:id="3"/>
      <w:r>
        <w:rPr/>
        <w:t>PDD Deliverables workbook (D00–D26)</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514"/>
        <w:gridCol w:w="5104"/>
        <w:gridCol w:w="1588"/>
      </w:tblGrid>
      <w:tr>
        <w:trPr>
          <w:tblHeader w:val="true"/>
        </w:trPr>
        <w:tc>
          <w:tcPr>
            <w:tcW w:w="35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Sheet</w:t>
            </w:r>
          </w:p>
        </w:tc>
        <w:tc>
          <w:tcPr>
            <w:tcW w:w="510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Where in DynamicMS</w:t>
            </w:r>
          </w:p>
        </w:tc>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Status</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D00a End-to-End Processes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E2E processes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D00b Functions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/catalog/functions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D00c Process Levels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/catalog/functions (levels)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D00d Sample Process Elements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D01 Macro Processes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Macro processes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D01a Macro Process Sheets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D01b Sheet Interactions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D01c Sheet Tasks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D01d Sheet KPIs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D01e Sheet Custom Sections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D01f Composite Sheets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D01g Sheet Monitoring</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D01h SIPOC Register</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/catalog/sample; SIPOC tab of every macro process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D02 Tasks &amp; Steps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Every step of every run (84,603 executions)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D02a Task Procedures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D02b Procedure Steps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D03 Business Rules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Governance › Rules and controls; checked at step completion</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D03a Actions Registry</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design › Reference lists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D04 Controls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Governance › Controls (COSO)</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D05 Risks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Governance › Risks (seeded per project)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D06 KPIs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Governance › KPIs (12 monthly values per project)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D07 Alerts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Alerts › Alert catalog; raised in runs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D08 Reports &amp; Cockpits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Reports › Report catalog</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D08a Doc Templates &amp; Formats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Records › Documents › Templates: 37 IMS templates (sections, data sources, formats, TOC), tenant copies and layout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D08b Document Versions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 Versions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D08c MS Policies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Documents (policy per project, QMS single-standard / QHSE integrated)</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D09 Information Class Model</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Reference lists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D09a Tenant Reference Registry</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Catalog /catalog/sample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D10 Data Dictionary</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Process design › Reference lists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D10a Value Lists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design › Reference lists; form select lists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D15 AI Use Cases (Extended)</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AI use cases (library per organization)</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D15b Role Menus</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design › Reference lists; roles of the permission matrix</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D26 Modules &amp; Tiers</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Configuration (licensed macro processes)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5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Coverage Summary</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Reflected by this checklist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bl>
    <w:p>
      <w:pPr>
        <w:pStyle w:val="Normal"/>
        <w:spacing w:before="0" w:after="40"/>
        <w:rPr/>
      </w:pPr>
      <w:r>
        <w:rPr/>
      </w:r>
    </w:p>
    <w:p>
      <w:pPr>
        <w:pStyle w:val="Heading1"/>
        <w:rPr/>
      </w:pPr>
      <w:bookmarkStart w:id="4" w:name="__RefHeading___Toc10282_3070331996"/>
      <w:bookmarkEnd w:id="4"/>
      <w:r>
        <w:rPr/>
        <w:t>Dynamic Apps Standard SRS v1.3</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757"/>
        <w:gridCol w:w="623"/>
        <w:gridCol w:w="2382"/>
        <w:gridCol w:w="3742"/>
        <w:gridCol w:w="1702"/>
      </w:tblGrid>
      <w:tr>
        <w:trPr>
          <w:tblHeader w:val="true"/>
        </w:trPr>
        <w:tc>
          <w:tcPr>
            <w:tcW w:w="175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Family</w:t>
            </w:r>
          </w:p>
        </w:tc>
        <w:tc>
          <w:tcPr>
            <w:tcW w:w="62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Req.</w:t>
            </w:r>
          </w:p>
        </w:tc>
        <w:tc>
          <w:tcPr>
            <w:tcW w:w="238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Module</w:t>
            </w:r>
          </w:p>
        </w:tc>
        <w:tc>
          <w:tcPr>
            <w:tcW w:w="374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Screen</w:t>
            </w:r>
          </w:p>
        </w:tc>
        <w:tc>
          <w:tcPr>
            <w:tcW w:w="170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FR-DA-TEN</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16</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Tenancy and OBS</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Organization &gt; Tenancy, OBS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FR-DA-RBAC</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Users and permissions</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Administration &gt; Users, Permission matrix</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FR-DA-CFG</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14</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Packs, add-ons, compliance standards</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Administration &gt; Configuration</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FR-DA-AI</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15</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AI use case library</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Intelligence &gt; AI use cases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FR-DA-KB</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Knowledge base</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Knowledge &gt; Standards, REX</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FR-DA-GOV</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Governance</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Governance &gt; Rules, Controls, Risks, RACSI, KPIs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FR-DA-BPMN</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BPMN modeling</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&gt; Macro process &gt; Diagram</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FR-DA-REP</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Reports and export</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Reports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FR-DA-ALT</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Notification center</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Alerts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FR-DA-AST</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6</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AI Assistant</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Assistant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FR-DA-AUD</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Audit trail</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Administration &gt; Audit trail</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FR-DA-HLP</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Help</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Help</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FR-DA-TPL</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Template libraries</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Libraries &gt; Templates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FR-DA-I18N</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Localization</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Language switcher (EN, FR, AR)</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FR-DA-WBS</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6</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WBS and Gantt</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Planning &gt; WBS and Gantt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FR-DA-VER</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6</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Version management</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History panel on versioned records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FR-DA-COMM</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Multi-channel communication</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Alerts &gt; Dispatch log</w:t>
            </w:r>
          </w:p>
        </w:tc>
        <w:tc>
          <w:tcPr>
            <w:tcW w:w="1702"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7"/>
              </w:rPr>
              <w:t>Covered (simulated)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FR-DA-REX</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Return on experience</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Nonconformity closure, Knowledge &gt; REX</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FR-DA-NAV</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11</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Navigation shell</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Application shell</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FR-DA-BMK</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9</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Benchmarking</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Benchmarking</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FR-DA-OPS</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9</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Platform operations</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Administration &gt; Operations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FR-DA-PFO</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Portfolio overview</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Portfolio</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FR-DA-CHK</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7</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Checklist library</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Libraries &gt; Checklists, Phase gate panel</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FR-DA-ATT</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Attachments</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Attachments on actions and checklist items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FR-DA-VRT</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10</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Vertical framework</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Process design &gt; Verticals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FR-DA-VPR</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9</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Vertical processes</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Process design &gt; Activation matrix</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FR-DA-VDT</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3</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Vertical data</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Process design &gt; Data dictionary</w:t>
            </w:r>
          </w:p>
        </w:tc>
        <w:tc>
          <w:tcPr>
            <w:tcW w:w="1702"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7"/>
              </w:rPr>
              <w:t>Partly 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FR-DA-VCP</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3</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Vertical compliance</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Knowledge &gt; Standards, Configuration</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FR-DA-VIN</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2</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Vertical integrations</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Administration &gt; Integrations</w:t>
            </w:r>
          </w:p>
        </w:tc>
        <w:tc>
          <w:tcPr>
            <w:tcW w:w="1702"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7"/>
              </w:rPr>
              <w:t>Covered (simulated)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FR-DA-VCF</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Vertical configuration</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Administration &gt; Verticals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FR-DA-SME</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SME mode and tracks</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Libraries &gt; SME tracks, New project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FR-DA-SCO</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Complexity scoring</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New project &gt; Complexity</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FR-DA-ONB</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SME onboarding</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Organization &gt; Onboarding</w:t>
            </w:r>
          </w:p>
        </w:tc>
        <w:tc>
          <w:tcPr>
            <w:tcW w:w="1702"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7"/>
              </w:rPr>
              <w:t>Partly 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FR-DA-PKG</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Packaging and pricing</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Administration &gt; Configuration &gt; Pricing</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FR-DA-PTC</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6</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Project template catalog</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Libraries &gt; Project templates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FR-DA-PCM</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5</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Project creation modes</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New project (catalog, manual, with AI)</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FR-DA-GTE</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7</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Gate library</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Libraries &gt; Gates, Phase gate panel</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NFR-DA-PERF</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Performance</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All lists (paginated), indexed queries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NFR-DA-SEC</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16</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Security</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Sign-in</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NFR-DA-REL</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6</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Reliability</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Assistant fallback, backups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NFR-DA-SCALE</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Scalability</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t>
            </w:r>
          </w:p>
        </w:tc>
        <w:tc>
          <w:tcPr>
            <w:tcW w:w="1702"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7"/>
              </w:rPr>
              <w:t>Partly 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NFR-DA-UX</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10</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Usability and accessibility</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Design tokens, focus states, generated documents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NFR-DA-I18N</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2</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Localization</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RTL mirroring in Arabic</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NFR-DA-PORT</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Installability</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NFR-DA-MAINT</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Maintainability</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NFR-DA-COMPAT</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3</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Compatibility</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Responsive layout, mobile drawer</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NFR-DA-COMP</w:t>
            </w:r>
          </w:p>
        </w:tc>
        <w:tc>
          <w:tcPr>
            <w:tcW w:w="6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6</w:t>
            </w:r>
          </w:p>
        </w:tc>
        <w:tc>
          <w:tcPr>
            <w:tcW w:w="23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Auditability</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AI usage log, audit trail</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NFR-DA-DATA</w:t>
            </w:r>
          </w:p>
        </w:tc>
        <w:tc>
          <w:tcPr>
            <w:tcW w:w="6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2</w:t>
            </w:r>
          </w:p>
        </w:tc>
        <w:tc>
          <w:tcPr>
            <w:tcW w:w="23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Data retention and privacy</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Assistant notice</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bl>
    <w:p>
      <w:pPr>
        <w:pStyle w:val="Normal"/>
        <w:spacing w:before="0" w:after="40"/>
        <w:rPr/>
      </w:pPr>
      <w:r>
        <w:rPr/>
      </w:r>
    </w:p>
    <w:p>
      <w:pPr>
        <w:pStyle w:val="Heading2"/>
        <w:rPr/>
      </w:pPr>
      <w:bookmarkStart w:id="5" w:name="__RefHeading___Toc10284_3070331996"/>
      <w:bookmarkEnd w:id="5"/>
      <w:r>
        <w:rPr/>
        <w:t>Notes on partly covered or simulated families</w:t>
      </w:r>
    </w:p>
    <w:p>
      <w:pPr>
        <w:pStyle w:val="ListBullet"/>
        <w:numPr>
          <w:ilvl w:val="0"/>
          <w:numId w:val="1"/>
        </w:numPr>
        <w:spacing w:before="0" w:after="40"/>
        <w:contextualSpacing/>
        <w:jc w:val="left"/>
        <w:rPr/>
      </w:pPr>
      <w:r>
        <w:rPr>
          <w:b/>
          <w:color w:val="3A3A3C"/>
          <w:sz w:val="22"/>
        </w:rPr>
        <w:t xml:space="preserve">FR-DA-COMM: </w:t>
      </w:r>
      <w:r>
        <w:rPr>
          <w:sz w:val="22"/>
        </w:rPr>
        <w:t>In-app delivery is live; e-mail dispatches are logged as queued because no SMTP relay is configured.</w:t>
      </w:r>
    </w:p>
    <w:p>
      <w:pPr>
        <w:pStyle w:val="ListBullet"/>
        <w:numPr>
          <w:ilvl w:val="0"/>
          <w:numId w:val="1"/>
        </w:numPr>
        <w:spacing w:before="0" w:after="40"/>
        <w:contextualSpacing/>
        <w:jc w:val="left"/>
        <w:rPr/>
      </w:pPr>
      <w:r>
        <w:rPr>
          <w:b/>
          <w:color w:val="3A3A3C"/>
          <w:sz w:val="22"/>
        </w:rPr>
        <w:t xml:space="preserve">FR-DA-VIN: </w:t>
      </w:r>
      <w:r>
        <w:rPr>
          <w:sz w:val="22"/>
        </w:rPr>
        <w:t>Connectors are configured, tested and logged; no live call to external systems.</w:t>
      </w:r>
    </w:p>
    <w:p>
      <w:pPr>
        <w:pStyle w:val="ListBullet"/>
        <w:numPr>
          <w:ilvl w:val="0"/>
          <w:numId w:val="1"/>
        </w:numPr>
        <w:spacing w:before="0" w:after="40"/>
        <w:contextualSpacing/>
        <w:jc w:val="left"/>
        <w:rPr/>
      </w:pPr>
      <w:r>
        <w:rPr>
          <w:b/>
          <w:color w:val="3A3A3C"/>
          <w:sz w:val="22"/>
        </w:rPr>
        <w:t xml:space="preserve">FR-DA-ONB: </w:t>
      </w:r>
      <w:r>
        <w:rPr>
          <w:sz w:val="22"/>
        </w:rPr>
        <w:t>Onboarding plan, metrics and CSV import with validation are implemented; imports from legacy systems and cloud storage are not.</w:t>
      </w:r>
    </w:p>
    <w:p>
      <w:pPr>
        <w:pStyle w:val="ListBullet"/>
        <w:numPr>
          <w:ilvl w:val="0"/>
          <w:numId w:val="1"/>
        </w:numPr>
        <w:spacing w:before="0" w:after="40"/>
        <w:contextualSpacing/>
        <w:jc w:val="left"/>
        <w:rPr/>
      </w:pPr>
      <w:r>
        <w:rPr>
          <w:b/>
          <w:color w:val="3A3A3C"/>
          <w:sz w:val="22"/>
        </w:rPr>
        <w:t xml:space="preserve">FR-DA-VDT: </w:t>
      </w:r>
      <w:r>
        <w:rPr>
          <w:sz w:val="22"/>
        </w:rPr>
        <w:t>The data dictionary and value lists are loaded; runtime extension of the data model per vertical is not provided.</w:t>
      </w:r>
    </w:p>
    <w:p>
      <w:pPr>
        <w:pStyle w:val="ListBullet"/>
        <w:numPr>
          <w:ilvl w:val="0"/>
          <w:numId w:val="1"/>
        </w:numPr>
        <w:spacing w:before="0" w:after="40"/>
        <w:contextualSpacing/>
        <w:jc w:val="left"/>
        <w:rPr/>
      </w:pPr>
      <w:r>
        <w:rPr>
          <w:b/>
          <w:color w:val="3A3A3C"/>
          <w:sz w:val="22"/>
        </w:rPr>
        <w:t xml:space="preserve">NFR-DA-SCALE: </w:t>
      </w:r>
      <w:r>
        <w:rPr>
          <w:sz w:val="22"/>
        </w:rPr>
        <w:t>Stateless API and separate web tier; the embedded SQLite store runs on one server.</w:t>
      </w:r>
    </w:p>
    <w:p>
      <w:pPr>
        <w:pStyle w:val="Heading2"/>
        <w:rPr/>
      </w:pPr>
      <w:bookmarkStart w:id="6" w:name="__RefHeading___Toc10286_3070331996"/>
      <w:bookmarkEnd w:id="6"/>
      <w:r>
        <w:rPr/>
        <w:t>Requirement by requirement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5104"/>
        <w:gridCol w:w="2381"/>
        <w:gridCol w:w="1247"/>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ID</w:t>
            </w:r>
          </w:p>
        </w:tc>
        <w:tc>
          <w:tcPr>
            <w:tcW w:w="510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Requirement (quoted from the SRS)</w:t>
            </w:r>
          </w:p>
        </w:tc>
        <w:tc>
          <w:tcPr>
            <w:tcW w:w="238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Implemented by</w:t>
            </w:r>
          </w:p>
        </w:tc>
        <w:tc>
          <w:tcPr>
            <w:tcW w:w="12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Status</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and Delete on Group, Organization, and Project records, gated by a hierarchy-management capability.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an Organization to optionally belong to a Group; an Organization not assigned to a Group shall operate as fully independent.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Deleting a Group shall not delete its member Organizations; deleting an Organization shall cascade-delete its Projects and directly-scoped user accounts and AI activation/override state.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full Create, Read, Update, and Delete on Organizational Breakdown Structure (OBS) entries, each typed or free-text, optionally parented to another OBS entry, forming a per-Organization or per-Project tr…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prevent deleting an OBS node from breaking referential integrity, either by cascading or by re-parenting/reassigning dependent records.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display, for every OBS node, a live count of linked item types, so accountability and activity concentration are visible at a glance.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enforce the active Solution Pack's maximum-Projects and maximum-OBS-node quotas at creation time, server-side, rejecting an over-quota request with HTTP 409.</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ensure that no Organization can enumerate, query, or infer the existence of another Organization through any API response, error message, or shared identifier sequence.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FR-DA-TEN-09</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display, on every Organization list and detail screen, whether the Organization belongs to a Group (Yes/No) and, if so, which Group; an Organization with no Group shall be labeled Independent.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FR-DA-TEN-10</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reject, server-side, an OBS parent assignment that crosses trees — an Organization-level node under a Project-level node, or a node under another Project's tree — and an assignment that makes a node its own anc…</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FR-DA-TEN-11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identify records by values that reveal nothing about other tenants' activity — opaque identifiers (e.g. UUIDs) or per-tenant sequences — and shall answer a request for another tenant's record exactly as for a r…</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FR-DA-TEN-12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present a tenancy tree, Group (Yes/No) &gt; Organization &gt; principal records, and the same content as a table (Group Yes/No, Group, Organization, sector, records), limited to the Organizations the viewer may see.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FR-DA-TEN-13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an authorized user choose the Organization a new principal record belongs to before creating it, showing whether that Organization belongs to a Group; a platform administrator may choose any Organization, o…</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FR-DA-TEN-14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provision every new Organization on creation with the OBS skeleton, the standard governance catalog, the AI Use Case Library (FR-DA-AI-02), the checklist and record templates, and, when requested, a starting te…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FR-DA-TEN-15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 dedicated permission grant read-only visibility of the principal records of the other Organizations of the viewer's own Group; records of Organizations outside the Group shall never be visible, and record…</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FR-DA-TEN-16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an OBS node list the people placed in it, each with a standard role and the role played in that node (for example "Engineering lead" in a project team), and shall let an administrator add and remove them.</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/api/tenancy/*, /api/orgs/:id/obs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FR-DA-RBAC-01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and Delete on user accounts, including name, email/username, one or more assigned roles, and language preference.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FR-DA-RBAC-02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a Permission Matrix screen displaying every permission/capability code against every role, editable by users holding a dedicated permission-management capability, with edits taking effect immediately an…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FR-DA-RBAC-03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enforce every API endpoint, server-side, against the authenticated user's resolved permission set (the union across all assigned roles); a request lacking the required permission shall be rejected with HTTP 403.</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FR-DA-RBAC-04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enforce that the Owner and the Evaluator of any two-party verification step are never the same user, both in the UI and at the server.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FR-DA-RBAC-05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a minimal user directory (id, name, email) accessible to any authenticated user for assignment purposes, independent of the full user-management permission.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FR-DA-RBAC-06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issue a signed, time-boxed authentication token on successful login, required on every subsequent API call, and shall never expose a stored password hash or credential via any API response.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FR-DA-RBAC-07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expose a single platform-wide justification-required toggle (Section 3.7), defaulting to on, gated by a hierarchy/governance-management capability.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FR-DA-RBAC-08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when a user opens a screen or deep link that their roles or the Organization's configuration do not allow, show an in-app access notice explaining why and whom to ask, never a blank page or a raw error.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FR-DA-RBAC-09</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a dedicated permission for viewing the content of individual evaluation or verification verdicts; other users, except the parties to that verification, shall see that an evaluation exists but not its co…</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FR-DA-RBAC-10</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at startup, add any permission code introduced by a new release to the catalog together with its default role grants, without overwriting grants an administrator has changed (Section 3.13).</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/api/orgs/:id/users, /api/admin/permissions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FR-DA-CFG-01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record, per Organization, exactly one Solution Pack as the single source of truth for that Organization's feature and quota entitlements, defined centrally in one configuration module and consumed by every enfo…</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FR-DA-CFG-02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define, for each Solution Pack, at minimum: which modules/features are enabled, the AI tier available (Assistive-only vs. Assistive+Augmented), and numeric ceilings on Projects, OBS nodes, and AI Use Cases.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FR-DA-CFG-03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record a set of priced Add-Ons, each an independent toggle that grants its associated feature to a Pack that does not already include it standard.</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FR-DA-CFG-04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record a set of priced Compliance &amp; Security Standards modules (at minimum GDPR, ISO/IEC 27001, and SOC 2), each an independent toggle available regardless of Solution Pack.</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FR-DA-CFG-05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on activating a Compliance &amp; Security Standard, idempotently seed a starting Controls scaffold tagged to that framework, without duplicating it on repeated activation, and shall not delete any Control tagged 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FR-DA-CFG-06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enforce every Pack-gated feature and every Add-On/Compliance-gated feature server-side via dedicated middleware on the corresponding API route, independently of and in addition to RBAC permission checks; a requ…</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FR-DA-CFG-07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expose the Organization's effective configuration and the static Pack/Add-On/Compliance catalog to every authenticated user regardless of role, so client-side navigation can correctly show or hide gated menu it…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FR-DA-CFG-08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expose current usage against every quota dimension, computed live from current data, and shall visually flag a quota that meets or exceeds its allotment.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FR-DA-CFG-09</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never represent, in any UI text, Help content, FAQ answer, or generated document, that activating a Compliance &amp; Security Standard constitutes a certification, an external audit, or a legal attestation of compl…</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FR-DA-CFG-10</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an authorized Organization administrator to register, configure, enable, and disable a connection to an external application through the External Integration Registry (Section 3.3), independently of any o…</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FR-DA-CFG-11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store every external integration's credentials using the same client-side-only or encrypted-server-side pattern already required for the Real LLM Provider Connection (NFR-DA-SEC-07), never in plaintext, and nev…</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FR-DA-CFG-12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verify an external integration's connection health on demand and shall record the outcome (success, authentication failure, unreachable) with a timestamp, without exposing provider-side error detail that could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FR-DA-CFG-13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allow an authorized administrator to map fields between an external application's records and the platform's own entities, and shall log every inbound or outbound integration transaction (record, timestamp, dir…</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FR-DA-CFG-14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accept inbound events from an external application only through the Multi-Channel Communication webhook channel (Section 4.17) or an equivalent authenticated endpoint, never an unauthenticated route, and shall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/api/admin/orgs/:id/config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Delete, and version-revert on an AI Use Case catalog, each entry capturing an id, name, tier (Assistive/Augmented), owning module, trigger, expected output, a human-checkpoint…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FR-DA-AI-02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seed every Organization with the same library of AI Use Cases on creation, and shall allow an Organization to additionally author custom AI Use Cases up to its active Solution Pack's custom-use-case quota.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create Version 1 of an AI Use Case automatically on creation, mark it Default/Current, and shall retain the full version history indefinitely; reverting to a historical version shall duplicate its content into …</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FR-DA-AI-04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an Organization Administrator to activate or deactivate any AI Use Case for the whole Organization, and shall allow an authorized Project-level user to set a tri-state (Inherit/On/Off) override per Projec…</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block, server-side, any new AI suggestion from a deactivated AI Use Case (by its effective state) immediately on deactivation, while never retroactively hiding or removing content a human already reviewed and 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FR-DA-AI-06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visually label every AI-generated output, wherever shown, as AI-generated and requiring human review, alongside its tier and its generation source (deterministic built-in engine or a configured live model).</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write an append-only AI Usage Log entry for every AI suggestion's outcome (Accepted, Edited, or Rejected), capturing the use case, Organization, Project, the record it applied to, the acting user, and a timesta…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FR-DA-AI-08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 user to configure a Real LLM Provider Connection (provider, model, endpoint, API key) that is persisted client-side only, is forwarded once per generation request, is never returned in any API response,…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FR-DA-AI-09</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on any failure of a live LLM call, fall back automatically to the AI Use Case's deterministic built-in generator, so a misconfigured or unreachable connection never blocks a suggestion from being produced.</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FR-DA-AI-10</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ensure an AI Use Case's activation, tier, or generation never grants a user visibility into data beyond what their RBAC role and permissions already allow.</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FR-DA-AI-11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before generating any suggestion, ground it in retrieved reference content (Section 4.5), instruct the underlying model to stay within the application's own vocabulary, and state no number, score, or name not …</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FR-DA-AI-12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show every active AI Use Case, labelled with its tier (Assistive AI or Augmented AI) by a distinct icon and wording, on the processes, macro processes, tasks and steps it is linked to, and shall let an authoriz…</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FR-DA-AI-13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an AI Use Case be linked to a step, a process, a task or an end-to-end process, and shall list the tasks of the process design with the AI Use Cases that support them, filterable by tier.</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FR-DA-AI-14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an authorized user delete a custom AI Use Case, keeping its usage-log entries; seeded catalog entries shall be deactivated instead of deleted.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FR-DA-AI-15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offer, wherever the live model is configured (personal settings and administration), a provider list and a model list with a "custom model" choice and an optional custom endpoint, and a connection test that rep…</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/api/orgs/:id/ai/usecases, /api/ai/suggest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FR-DA-KB-01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maintain a Standards/Knowledge Base of reference content — regulatory or methodological standards, or per-process/per-stage practitioner guidance — available in every language the platform supports.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/api/kb, /api/orgs/:id/rex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FR-DA-KB-02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index this knowledge base, the tenant's own historical records, and a static application-feature/FAQ corpus using the same retrieval mechanism, so AI Use Case grounding, an AI Assistant's application-help mode,…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/api/kb, /api/orgs/:id/rex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FR-DA-KB-03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scope every retrieval query to the requesting user's own tenant; no cross-tenant record shall appear in a retrieval result or an AI suggestion.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/api/kb, /api/orgs/:id/rex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FR-DA-KB-04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gracefully degrade when a live LLM call is unavailable or fails: the retrieval result (the matched reference content, the computed fact) shall still be returned, rather than the request failing outright.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/api/kb, /api/orgs/:id/rex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FR-DA-GOV-01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full Create, Read, Update, and Delete on Business Rules, each with a condition, an action, a severity, and an owner, gated by a governance-management capability and, where the platform separates GRC fro…</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FR-DA-GOV-02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and Delete on Controls, each classified under one of the five COSO Internal Control — Integrated Framework components, with a control type, testing frequency, owner, and effec…</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FR-DA-GOV-03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 Control to be optionally tagged with the Compliance &amp; Security Standard it was seeded under or otherwise supports, without that tag itself constituting a certification (Section 4.3, FR-DA-CFG-09).</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FR-DA-GOV-04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and Delete on Risk/Opportunity items, each with a type, a likelihood (1–5) and impact (1–5) rating, an automatically computed score, an owner, and a status, and shall render 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FR-DA-GOV-05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full Create, Read, Update, and Delete on Custom KPIs, additive to the platform's built-in KPI set, each with a plain-language formula description, a target, and an owner, available regardless of Solutio…</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FR-DA-GOV-06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a RACSI accountability matrix: full Create, Read, Update, and Delete on RACSI Activities, each optionally linked to a process step or to a specific Business Rule, Control, or Risk/Opportunity record, an…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FR-DA-GOV-07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enforce that a RACSI Activity has at most one Accountable assignment at any time, both in the UI and at the data-persistence layer.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FR-DA-GOV-08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allow a Business Rule, a Control, a Risk/Opportunity, and a RACSI Activity to each be optionally tagged with the owning OBS node and with the process/stage they are most relevant to, and shall surface the items…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/api/orgs/:id/rules|controls, /api/projects/:id/risks|racsi|kpis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FR-DA-BPMN-01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full Create, Read, Update, and Delete on BPMN Diagrams, each with a title, description, and a BPMN 2.0-compliant XML payload, rendered/edited with a standards-compliant BPMN 2.0 modeler/viewer component…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FR-DA-BPMN-02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grant read-only pan/zoom viewing of a BPMN Diagram to any user holding view access, and shall grant the full editing palette and a Save action only to users holding edit access whose Organization's active confi…</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FR-DA-BPMN-03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render the BPMN editor's tool palette in a dedicated panel beside the diagram canvas, structurally separate from the canvas, rather than floating over it.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FR-DA-BPMN-04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Export (download the current diagram as a schema-valid .bpmn/XML file) and Import (load a .bpmn/XML file, replacing the current diagram) actions, so a diagram is portable to and from any other BPMN 2.0-…</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FR-DA-BPMN-05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be seeded, per Organization, with at least one BPMN Diagram modeling the application's own core process end-to-end.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FR-DA-BPMN-06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offer a shapes palette section grouped by category (tools, events, activities, gateways, data, participants, artifacts), usable by click or drag, and shown as a legend of the main shapes when the diagram is vie…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FR-DA-BPMN-07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the user open a diagram in a full-screen workspace with the palette, zoom controls (slider, zoom in and out, fit), a palette that slides away, and a single action or the Escape key to return to the page.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FR-DA-BPMN-08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state on the diagram screen whether editing a diagram changes the execution of records; where diagrams only document the process, saving one shall not alter running or future records.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/api/projects/:id/bpmn/:mp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FR-DA-REP-01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compute the platform's standard KPIs in real time from current data, scoped to the requesting user's tenant.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/api/projects/:id/reports/:type?format=pdf|xlsx|docx|csv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FR-DA-REP-02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a set of standard reports, each exportable on demand as a downloadable PDF, Excel (.xlsx), and Word (.docx) file, generated server-side and styled to the suite's common visual identity.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/api/projects/:id/reports/:type?format=pdf|xlsx|docx|csv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FR-DA-REP-03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name every exported report file with the report key and the export date, and shall serve it with the correct MIME type and a Content-Disposition attachment header.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/api/projects/:id/reports/:type?format=pdf|xlsx|docx|csv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FR-DA-REP-04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offer a client-side CSV export on its highest-traffic tables, reflecting exactly the rows and columns currently on screen and respecting the same RBAC and scope filtering as the table itself, written with a UTF…</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/api/projects/:id/reports/:type?format=pdf|xlsx|docx|csv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FR-DA-ALT-01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define a shared Alert Catalog naming every alert type once, with a human-readable name and a primary process/stage tag, consumed identically by seed data and by live computation, so alert semantics cannot drift…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/api/alerts, /api/alerts/catalog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FR-DA-ALT-02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surface a persistent, dismissible per-tenant or per-project alert inbox, with a live unread-alert indicator in the primary navigation.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/api/alerts, /api/alerts/catalog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FR-DA-ALT-03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avoid raising a duplicate alert of the same type against the same triggering entity within the same period.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/api/alerts, /api/alerts/catalog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FR-DA-ALT-04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allow a user to mark an individual alert as read, and, where dismissal is supported, shall persist the dismissal separately from the alert's own (recomputed) state.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/api/alerts, /api/alerts/catalog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FR-DA-ALT-05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an authorized user to independently enable or disable each alert type, displaying its human-readable name alongside its machine code in both the alert inbox and any governance-settings configuration list.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/api/alerts, /api/alerts/catalog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FR-DA-AST-01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a data-query mode that answers natural-language questions about the requesting user's own organization by matching the question to a fixed set of data-query intents.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/api/assistant/ask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FR-DA-AST-02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associate every data-query intent with the single RBAC permission required to answer it, and shall evaluate that permission after matching the intent but strictly before running any query; when the permission i…</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/api/assistant/ask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FR-DA-AST-03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scope every data-query answer to the requesting user's own tenant, consistent with the platform's multi-tenancy requirement (Section 4.1).</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/api/assistant/ask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FR-DA-AST-04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an application-help mode answering “Can it…?” / “How do I…?” questions by ranking a static FAQ/feature corpus with the same retrieval engine used elsewhere in the platform (Section 4.5).</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/api/assistant/ask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FR-DA-AST-05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render the AI Assistant both as a dedicated screen and as a floating widget accessible from every authenticated screen, without navigating away from the user's current work.</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/api/assistant/ask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FR-DA-AST-06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gate the AI Assistant behind a single view permission and the active Solution Pack's AI Assistant entitlement, independent of and in addition to any module-specific permission a given data-query intent may sepa…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/api/assistant/ask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FR-DA-AUD-01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write an audit or change-log entry for every state-changing operation on a governed field, capturing the actor, timestamp, entity type/id, and the before/after value.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/api/admin/audit-log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FR-DA-AUD-02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follow the stage-then-justify pattern (Section 3.7) for every score or state change to a governed record: staging a new value, requiring or offering a justification note per the platform-wide toggle, and append…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/api/admin/audit-log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FR-DA-AUD-03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make the audit/change log viewable, read-only, to users holding an audit-view permission, and shall never expose an edit or delete route for it.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/api/admin/audit-log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FR-DA-AUD-04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ensure audit-log writes never block or fail the primary operation they accompany.</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/api/admin/audit-log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FR-DA-AUD-05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allow an authorized user to reopen a completed workflow step before the stage or approval it belongs to is decided, only with a justification recorded per Section 3.7; the reopening shall return the step to its…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/api/admin/audit-log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FR-DA-HLP-01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an in-app Help screen presenting topic articles covering every module of the application, accessible to every authenticated user independent of role or permission grants.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/api/help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FR-DA-HLP-02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render Help content in the user's currently selected display language, matching the article set one-to-one across every supported language.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/api/help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FR-DA-HLP-03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a free-text search box on the Help screen filtering topics by a case-insensitive match against the topic title or body.</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/api/help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FR-DA-HLP-04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next to every scored or classified input (for example complexity scores), a decision matrix describing each level, and shall show a legend for every code or colour vocabulary displayed in a list or mat…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/api/help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FR-DA-TPL-01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a library of pre-filled starting points (templates) for its principal record type, each capturing default field values a new record can be seeded from, while leaving every field editable before submissi…</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FR-DA-TPL-02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and Delete on templates, versioned via the same version-history mechanism as the AI Use Case Library (Section 4.4), gated by a dedicated template-management capability.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FR-DA-TPL-03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make templates available regardless of Solution Pack, consistent with the always-standard treatment of Custom KPIs and standard Reports.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FR-DA-TPL-04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Deleting a template shall not affect any record already created from it; a template is a starting point copied at use time, not a live-linked reference.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FR-DA-TPL-05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manage project templates through the Project Template Catalog of Section 4.33; the rules of FR-DA-TPL-01 to 04 apply to it.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FR-DA-I18N-01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complete UI translation in English, French, and Arabic for all navigation, labels, form fields, statuses, and messages, with no hardcoded UI string outside the shared translation dictionary.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FR-DA-I18N-02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 user to change their display language at any time without reloading or losing unsaved work.</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FR-DA-I18N-03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persist a user's language preference and apply it automatically on subsequent logins, resolved per the precedence order in Section 3.6.</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FR-DA-I18N-04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render the entire application right-to-left, including navigation, forms, tables, and charts, when Arabic is selected.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FR-DA-I18N-05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allow an Organization to configure a tenant-level default language.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FR-DA-I18N-06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adding a new supported language by configuration — populating the shared translation dictionary (Section 3.6) — alone, without a code change or a redeployment of application logic.</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FR-DA-I18N-07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return every server-generated, user-facing message — validation and error messages, notification text, AI Assistant answers, and export labels — in the requesting user's display language, resolved from the same…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FR-DA-I18N-08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seed its reference and Knowledge Base content in every supported language and shall let the user filter Knowledge Base articles by language, defaulting to the user's display language.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?lang=en|fr|ar</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FR-DA-WBS-01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allow any set of Actions the user selects to be grouped into a Work Breakdown Structure (WBS), organized as a tree of WBS nodes, each node referencing one or more Action IDs as its leaf-level work items.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/api/projects/:id/wbs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FR-DA-WBS-02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 WBS node or a referenced Action to carry a planned start date, planned end date or duration, percent-complete, and zero or more predecessor dependencies on other WBS nodes or Actions within the same WBS.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/api/projects/:id/wbs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FR-DA-WBS-03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render a WBS as a Gantt chart, plotting every node and its referenced Actions on a shared timeline, drawing dependency lines between predecessor and successor items, and visually distinguishing planned, in-prog…</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/api/projects/:id/wbs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FR-DA-WBS-04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recompute a WBS node’s own planned dates and percent-complete from its child nodes/Actions when the node itself is not directly scheduled, so a summary bar always reflects the current state of its children with…</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/api/projects/:id/wbs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FR-DA-WBS-05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and Delete on WBS structures, and shall allow the same Action to be referenced from more than one WBS without duplicating the underlying Action record.</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/api/projects/:id/wbs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FR-DA-WBS-06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export a WBS/Gantt view to at least one portable format (e.g. PDF or an image), consistent with the platform’s standard Reports &amp; Data Export conventions (Section 4.8).</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/api/projects/:id/wbs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FR-DA-VER-01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a single, generic Version Management service (Section 3.8) that any governed entity type can register with, rather than each entity type implementing its own history mechanism.</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/api/admin/versions/:type/:id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FR-DA-VER-02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create an initial version automatically when a versioned entity is created, mark it Current, and create a new version — never overwrite the prior one — on every subsequent edit.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/api/admin/versions/:type/:id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FR-DA-VER-03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retain every version of a versioned entity indefinitely, with no hard-delete route for a historical version, and shall allow an authorized user to view the full version history and compare any two versions fiel…</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/api/admin/versions/:type/:id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FR-DA-VER-04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an authorized user to revert a versioned entity to any historical version; reverting shall duplicate that version’s content into a brand-new Current version, never rewrite or delete the entity’s history,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/api/admin/versions/:type/:id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FR-DA-VER-05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record, on every version, the acting user, a timestamp, and — where the platform-wide justification toggle (Section 3.7) requires it — the justification note that accompanied the change.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/api/admin/versions/:type/:id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FR-DA-VER-06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one shared version-comparison view, available from the history of every versioned entity, that shows two selected versions side by side and highlights the fields that differ, in support of FR-DA-VER-03.</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/api/admin/versions/:type/:id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FR-DA-COMM-01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delivering a notification or alert (Section 4.9) through one or more channels — at minimum in-app, email, and webhook, with SMS and push as optional channels — behind a single shared dispatch interface …</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/api/orgs/:id/dispatches</w:t>
            </w:r>
          </w:p>
        </w:tc>
        <w:tc>
          <w:tcPr>
            <w:tcW w:w="1247"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5"/>
              </w:rPr>
              <w:t>Covered (simulated)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FR-DA-COMM-02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allow a user to independently enable or disable each available channel for each notification category, defaulting every category to the in-app channel at minimum.</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/api/orgs/:id/dispatches</w:t>
            </w:r>
          </w:p>
        </w:tc>
        <w:tc>
          <w:tcPr>
            <w:tcW w:w="1247"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5"/>
              </w:rPr>
              <w:t>Covered (simulated)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FR-DA-COMM-03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compose a message once, per notification event, and render it in the recipient’s own display language (Section 3.6) before dispatch to any channel.</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/api/orgs/:id/dispatches</w:t>
            </w:r>
          </w:p>
        </w:tc>
        <w:tc>
          <w:tcPr>
            <w:tcW w:w="1247"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5"/>
              </w:rPr>
              <w:t>Covered (simulated)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FR-DA-COMM-04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record a delivery-status record per message per channel (queued, sent, delivered, failed), and shall retry a failed delivery on that channel’s own schedule without blocking or duplicating delivery on any other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/api/orgs/:id/dispatches</w:t>
            </w:r>
          </w:p>
        </w:tc>
        <w:tc>
          <w:tcPr>
            <w:tcW w:w="1247"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5"/>
              </w:rPr>
              <w:t>Covered (simulated)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FR-DA-COMM-05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never send a tenant’s data through an external channel provider (email, SMS, push) beyond the minimum content required for that notification, and shall scope every dispatch to the recipient’s own tenant.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/api/orgs/:id/dispatches</w:t>
            </w:r>
          </w:p>
        </w:tc>
        <w:tc>
          <w:tcPr>
            <w:tcW w:w="1247"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5"/>
              </w:rPr>
              <w:t>Covered (simulated)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FR-DA-REX-01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prompt for a REX entry when the application’s principal record reaches a terminal/closed status, and when an individual Action is marked complete, without blocking the closure itself on the REX entry being fill…</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FR-DA-REX-02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structure every REX entry with, at minimum: what went well, what did not, a root-cause note, a recommendation/improvement action, a category/tag, and an effectiveness or satisfaction rating on a fixed scale.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FR-DA-REX-03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full Create, Read, Update, and Delete on REX entries, each optionally tagged to the owning OBS node and to the process/stage it is most relevant to, consistent with how other governance artifacts are ta…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FR-DA-REX-04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index every saved REX entry into the same retrieval corpus used for AI Use Case grounding, the AI Assistant, and application-help search (Section 4.5), scoped to the requesting user’s own tenant, so a relevant …</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FR-DA-REX-05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a REX Register view aggregating entries by category/tag and by rating, so a recurring root cause or a declining rating trend is visible without reading every entry individually.</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FR-DA-REX-06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version every REX entry via the generic Version Management service (Section 3.8/4.16), retaining its full edit history and supporting revert to any prior version.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FR-DA-REX-07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gate REX entry management behind a dedicated capability, and shall scope every REX read and every retrieval-grounded reference to it to the requesting user’s own tenant, consistent with the platform’s multi-ten…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FR-DA-REX-08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present the REX prompt to the user who performed the closing action, immediately after the closure succeeds, with a choice to fill it in now or skip; skipping shall leave the closure intact and the entry availa…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/api/ncs/:id (stage Closed), /api/projects/:id/rex</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FR-DA-NAV-01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generate the primary menu from a single navigation model in which each item declares its module group, label, icon, route, and the view permission and Solution Pack entitlement it requires, and shall show only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FR-DA-NAV-02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group menu items by module, let the user collapse and expand each group, and mark the current screen as the active item.</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FR-DA-NAV-03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each user pin the menu open or unpin it. Unpinned, the menu shall collapse to an edge handle, slide over the content when the user points at the edge, focuses the handle, or uses the menu button, and slide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FR-DA-NAV-04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each user dock the menu on the left, right, top, or bottom edge of the screen, laying it out vertically on the left and right and horizontally, with drop-down groups, on the top and bottom.</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FR-DA-NAV-05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each user mark menu items as favorites, shown in a Favorites group at the start of the menu.</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FR-DA-NAV-06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store the dock position, pinned state, collapsed groups, and favorites as server-side user preferences, applied on every sign-in and on any device, and shall offer them both from the menu itself and from the us…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FR-DA-NAV-07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treat left and right as logical start and end under right-to-left languages, mirroring the dock position and the slide direction when Arabic is selected.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FR-DA-NAV-08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below a mobile breakpoint, replace the docked menu with a drawer opened from a menu button and closed by Escape, by an outside tap, or by choosing an item, without changing the user's stored desktop preferences.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FR-DA-NAV-09</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make the shell fully keyboard-operable: a skip-to-content link as the first focusable element, menu and group buttons exposing their expanded state, Escape closing any open menu, and the active item marked as 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FR-DA-NAV-10</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keep the Organization/Project context switcher, language switcher, notification indicator, AI Assistant entry point, and user menu in the header bar of every authenticated screen.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FR-DA-NAV-11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organize the menu by what users do, in a documented order (home and own work, portfolio of records, process design, governance and risk, AI and knowledge, reports, administration, personal settings), so the sam…</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/api/auth/prefs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FR-DA-BMK-01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define its benchmark metrics in one catalog module, each with a label, a unit, a direction of good, a plain-language explanation, and a computation from the platform's own records, consumed by every benchmarkin…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FR-DA-BMK-02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compare, within one Organization, every catalog metric across the segments of at least one dimension the application defines (for example record or project type, process track, or owning OBS node), showing each…</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FR-DA-BMK-03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compare, across the Organizations of the requester's Group, per-Organization aggregates of the same metrics, and shall rank each Organization per metric according to the metric's direction of good, giving tied …</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FR-DA-BMK-04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include in a Group comparison only per-metric aggregates and each contributing Organization's name and sector — never a record, record title, person's name, or identifier from another Organization.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FR-DA-BMK-05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flag any segment or Organization with fewer records than a minimum sample size (default 3) as not comparable, and shall exclude it from ranks and medians.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FR-DA-BMK-06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an Organization Administrator withdraw the Organization from Group benchmarking and rejoin it; while withdrawn, its figures shall not be shown to the other Organizations of the Group. Every change shall be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FR-DA-BMK-07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gate internal benchmarking behind a view capability, Group comparison behind a separate capability, and the sharing setting behind a management capability, each enforced server-side.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FR-DA-BMK-08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refuse any comparison with an Organization outside the requester's Group and shall not import or display external or third-party benchmark data; an Organization with no Group shall see its internal comparison o…</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FR-DA-BMK-09</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render each metric comparison as a chart following the common visual identity, with the requester's own Organization or the selected segment highlighted, and shall let the user filter the comparison by the appl…</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/api/benchmark/*</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FR-DA-OPS-01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take a consistent backup of its data store on demand — from the command line and from the platform administrator's configuration screen — and automatically once a day, while remaining online.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FR-DA-OPS-02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keep backups for a configurable retention period (default 14 days), delete older ones automatically, and list existing backups with date and size to the platform administrator only.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FR-DA-OPS-03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document how to restore a backup, and a restored backup from an earlier release shall start without any manual migration step (FR-DA-OPS-04).</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FR-DA-OPS-04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apply additive schema and permission-catalog migrations automatically on startup, never dropping or rewriting existing data or administrator changes, so an existing installation upgrades in place.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FR-DA-OPS-05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check, when installed and started, the runtime version, port availability, and whether the data store has been initialized, and shall report each problem as a plain-language message naming the corrective action…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FR-DA-OPS-06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expose an unauthenticated health endpoint reporting only liveness, whether the data store is initialized, and the deployment mode — never tenant data.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FR-DA-OPS-07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ship a deterministic demonstration seed, reset by one command, containing at least one Group of two or more Organizations, at least one Independent Organization, several sectors, a user for every role, and at l…</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FR-DA-OPS-08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include an administrator traceability view mapping each requirement ID of this standard to its implementation status (Met, Partial, Not met, or Deployment responsibility) and a short evidence note.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FR-DA-OPS-09</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seed demonstration data in every module, so that no screen of the delivered application is empty: record teams with roles, templates, attachments in several formats, custom AI Use Cases and project overrides, 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/api/admin/backups, /api/health, npm run backup</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FR-DA-PFO-01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the user choose a scope: a Group, one or more Organizations, or a set of principal records, each list containing only what the user may see (FR-DA-TEN-15).</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/api/portfolio</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FR-DA-PFO-02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show one row per principal record and one column per process stage, with at each intersection the status of that stage for that record, drawn from one status vocabulary (for example Completed, In progress, At g…</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/api/portfolio</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FR-DA-PFO-03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show a legend of the cell statuses, a per-stage total, the number of times a stage ran when more than once, and a hover text naming record, stage and status.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/api/portfolio</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FR-DA-PFO-04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export the matrix to CSV (FR-DA-REP-04) and shall show records of another Organization read-only.</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/api/portfolio</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FR-DA-CHK-01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keep a Checklist Library with full Create, Read, Update, Delete and Duplicate on checklist templates, each with ordered items marked mandatory and evidence-required, classified by scope (universal or one vertic…</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/api/libraries/checklists, /api/checklist-items/:id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FR-DA-CHK-02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 checklist template be related to zero, one or several gates; the association is made from the gate (FR-DA-GTE-02) or from the checklist, and a checklist associated with a gate shall be copied into that ga…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/api/libraries/checklists, /api/checklist-items/:id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FR-DA-CHK-03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an authorized user add items to an open gate or phase checklist from any template or by typing them, never adding the same item twice, and save such a checklist as a new template.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/api/libraries/checklists, /api/checklist-items/:id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FR-DA-CHK-04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show for every checklist the gates it is associated with, and let the library be filtered by gate, by "not related to a gate", by vertical, mode and track; it shall seed sector checklists for new Organizations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/api/libraries/checklists, /api/checklist-items/:id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FR-DA-CHK-05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freeze a checklist, its items and their evidence once the gate it belongs to has been submitted for decision or, for a checklist not related to a gate, once it has been signed off.</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/api/libraries/checklists, /api/checklist-items/:id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FR-DA-CHK-06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 checklist that is not related to any gate be attached directly to a phase, a task or a project, with its completion tracked and reported; such a checklist shall not block any progression.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/api/libraries/checklists, /api/checklist-items/:id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FR-DA-CHK-07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show, before a checklist is changed or deleted, the gates, templates and open phases that use it; a checklist associated with a published gate shall be retired rather than deleted, and deleting a checklist shal…</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/api/libraries/checklists, /api/checklist-items/:id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FR-DA-ATT-01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 user attach several files at once to an action or a checklist item, by file picker or drag-and-drop.</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/api/attachments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FR-DA-ATT-02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accept a published list of formats — documents, spreadsheets, presentations, images, drawings and CAD, data and models, archives, audio and video, e-mails — with a size and count limit per upload, and shall ref…</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/api/attachments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FR-DA-ATT-03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show for every attachment its type, size, author and date, with download for every viewer and removal for its author or a manager, audited, and never once the stage is submitted.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/api/attachments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FR-DA-ATT-04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store attachments outside every web-served directory, scoped to the tenant, and include them in the backup instructions (NFR-DA-SEC-13, FR-DA-OPS-01).</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/api/attachments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FR-DA-VRT-01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the definition of verticals, each with a unique identifier, a short prefix, a name, a description, its target segments, its value proposition, and its associated macro and E2E processes.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FR-DA-VRT-02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a taxonomy of verticals with parent-child and sibling relationships.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FR-DA-VRT-03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administrators and partners define new verticals without modifying the platform, and new verticals shall work alongside existing ones.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FR-DA-VRT-04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manage each vertical through the lifecycle Draft, Review, Approved, Active, Deprecated and Retired, with an approval workflow (configurable approvers, escalation and notifications) for definition, activation, m…</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FR-DA-VRT-05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version-control vertical definitions under the Version Management service (Section 3.8), so that every change can be tracked, reviewed, approved and rolled back, including the rollback of an activation or confi…</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FR-DA-VRT-06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each tenant activate its own set of verticals without affecting other tenants.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FR-DA-VRT-07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refuse to deactivate a vertical, a macro process or an E2E process while active projects depend on it, shall require approval for a deactivation, and shall preserve all data of a deactivated vertical.</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FR-DA-VRT-08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keep an immutable, searchable and exportable audit trail of every vertical action — definition, activation, modification, deactivation and retirement — retained per policy (Section 4.11).</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FR-DA-VRT-09</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record a designated owner for every vertical and shall support change management for it: change request, impact analysis, approval and tracked implementation.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FR-DA-VRT-10</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capture and report governance metrics per vertical: adoption, compliance and performance.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/api/catalog/verticals, /api/admin/orgs/:id/verticals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FR-DA-VPR-01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activate the macro processes of a vertical when the vertical is activated, with a configurable range of three to five per vertical.</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FR-DA-VPR-02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describe every vertical macro process with an identifier, name, description, goals, input suppliers, inputs, tasks, outputs, output customers, related E2E processes, related modules and applicable compliance re…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FR-DA-VPR-03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map each vertical macro process to the regulatory and industry standards that apply to it; the mapping shall be configurable and audited.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FR-DA-VPR-04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administrators and partners add vertical macro processes without modifying the platform, versioned and reversible like verticals (FR-DA-VRT-05).</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FR-DA-VPR-05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tasks within each macro process (owner, deadline, dependencies, status) and steps within each task (owner, inputs, outputs, status), and shall enforce the dependencies defined between macro processes, 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FR-DA-VPR-06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activate the E2E processes of a vertical when the vertical is activated, with a configurable range of two to four per vertical.</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FR-DA-VPR-07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enforce the chain relationships between E2E processes — sequential, branching, parallel, loop-back and terminal — and shall support, per E2E process, triggers (business event, time-based, manual) and terminal 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FR-DA-VPR-08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user-facing tasks in each E2E process, each linked to the macro processes, tasks and steps it relies 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FR-DA-VPR-09</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capture metrics for each vertical macro and E2E process — cycle time, completion rate, quality and compliance — and produce status, compliance and performance reports from them (Section 4.8).</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/api/catalog/activation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FR-DA-VDT-01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 vertical extend the common data model with its own objects, attributes, relationships, validation rules and lifecycle states, without altering or breaking the common entities (Section 6).</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/api/catalog/reference/dataDictionary</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FR-DA-VDT-02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exchange vertical data in industry-standard formats, at least JSON, XML, CSV and PDF, and, where the vertical needs it, engineering formats such as STEP, IGES and JT.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/api/catalog/reference/dataDictionary</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FR-DA-VDT-03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apply per-vertical retention policies and support archiving and retrieval of vertical data, in line with the regulatory retention of the sector.</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/api/catalog/reference/dataDictionary</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FR-DA-VCP-01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vertical-specific regulations and standards as configurable, audited and reportable compliance requirements, subject to FR-DA-CFG-09.</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/api/catalog/standards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FR-DA-VCP-02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monitor compliance per vertical, alert stakeholders of non-compliance through the Notification Center (Section 4.9), and produce compliance reports, audit reports and certification records.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/api/catalog/standards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FR-DA-VCP-03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internal and external compliance audits — planning, execution, findings and corrective actions — and vertical compliance training with content, delivery, tracking and certification.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/api/catalog/standards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FR-DA-VIN-01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connect vertical-specific external systems through standard interfaces (REST, SOAP, GraphQL, file-based, message-based), under the integration rules of FR-DA-CFG-10 to 14.</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/api/admin/orgs/:id/integrations</w:t>
            </w:r>
          </w:p>
        </w:tc>
        <w:tc>
          <w:tcPr>
            <w:tcW w:w="1247"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5"/>
              </w:rPr>
              <w:t>Covered (simulated)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FR-DA-VIN-02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secure, monitor (performance, errors, data quality) and test every vertical integration, and shall handle integration errors by retry, fallback and notification.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/api/admin/orgs/:id/integrations</w:t>
            </w:r>
          </w:p>
        </w:tc>
        <w:tc>
          <w:tcPr>
            <w:tcW w:w="1247"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20"/>
              <w:jc w:val="left"/>
              <w:rPr/>
            </w:pPr>
            <w:r>
              <w:rPr>
                <w:color w:val="3A3A3C"/>
                <w:sz w:val="15"/>
              </w:rPr>
              <w:t>Covered (simulated)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FR-DA-VCF-01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an administrator configure, per vertical: macro and E2E process activation, checklist templates, gate criteria and data model extensions.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FR-DA-VCF-02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a pre-built configuration template per vertical for rapid deployment.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FR-DA-VCF-03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validate a vertical configuration for completeness, consistency and compliance before activation, and shall refuse an activation that fails validation, naming each failed rule.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FR-DA-VCF-04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version every vertical configuration change and audit who changed what, when and why.</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/api/admin/orgs/:id/verticals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FR-DA-SME-01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define an SME by configurable employee thresholds per region (default 1–250 in the EU, up to 500 under the US SBA definition) and shall segment SMEs into Micro (1–10), Small (10–50) and Medium (50–250).</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FR-DA-SME-02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an Organization activate the SME mode together with any vertical, and each tenant shall activate its own tracks and configuration without affecting other tenants.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FR-DA-SME-03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two to four configurable SME tracks, each defining its number of macro processes, E2E processes, gates, checklist items per gate, and typical duration.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FR-DA-SME-04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activate three to five SME macro processes and two to six SME E2E processes when a track is selected, with the same taxonomy, task, step, chain and metric rules as vertical processes (FR-DA-VPR-02, 05, 07, 08 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FR-DA-SME-05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administrators define new SME tracks, macro processes and configurations without modifying the platform.</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FR-DA-SME-06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assign a project in SME mode to the track recommended by its complexity score (Section 4.30); a manual override shall require a written justification and an approval, and shall be audited and reportable.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FR-DA-SME-07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capture and report, per track, its usage, effectiveness and outcomes.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FR-DA-SME-08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govern the SME framework like verticals: a designated owner, an approval workflow for track definition, activation, modification, deprecation and retirement, change management, an immutable audit trail and adop…</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/api/libraries/tracks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FR-DA-SCO-01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compute a complexity score for every project from weighted criteria and shall use it to recommend the mode and track.</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/api/orgs/:id/projects/score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FR-DA-SCO-02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an administrator configure the criteria — at least strategic impact, technical novelty, regulatory burden, investment size, cross-functional scope, market uncertainty and time-to-market pressure — and their…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/api/orgs/:id/projects/score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FR-DA-SCO-03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each vertical add its own complexity drivers (for example regulatory burden, industry standards, sector-specific risks) with their weights, versioned, so that the score and the recommended track reflect the…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/api/orgs/:id/projects/score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FR-DA-SCO-04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keep an audit trail of every score — criteria, weights, values, result and track assignment — and shall report the distribution of scores, track assignments and outcomes.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/api/orgs/:id/projects/score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FR-DA-ONB-01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run an onboarding plan for an SME within a configurable period (default 30 days): tenant provisioning (FR-DA-TEN-14), track configuration, data import, validation, user training and go-live.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 (onboarding), /api/admin/orgs/:id/import</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FR-DA-ONB-02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import data from spreadsheets, CSV files, legacy systems and cloud storage, preserving data integrity and relationships, and shall validate the imported data for completeness, consistency and accuracy before go…</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 (onboarding), /api/admin/orgs/:id/import</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FR-DA-ONB-03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provide self-service training and guided onboarding: interactive tutorials, guided workflows, sample data and contextual help (Section 4.12).</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 (onboarding), /api/admin/orgs/:id/import</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FR-DA-ONB-04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offer SME users simplified navigation, a mobile-responsive or progressive web app experience, and self-service support through the knowledge base, the AI Assistant (Section 4.10) and a community space.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 (onboarding), /api/admin/orgs/:id/import</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FR-DA-ONB-05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measure onboarding: time-to-value, data quality, user adoption and satisfaction.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 (onboarding), /api/admin/orgs/:id/import</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FR-DA-PKG-01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an administrator define three to five SME packs, each with configurable contents, target segment and price, and bundles of a vertical pack with an SME pack, each recorded as a Solution Pack variant so that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/api/admin/pricing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FR-DA-PKG-02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enforce configurable pricing rules — minimum price per user per month, minimum user count per pack, volume discounts and bundle discounts — and shall show how each price was obtained.</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/api/admin/pricing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FR-DA-PKG-03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upgrading and downgrading between packs and bundles with prorated billing and without loss of data.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/api/admin/pricing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FR-DA-PKG-04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report revenue, discounts, adoption, upgrades and downgrades per pack and bundle, exportable to PDF, XML and CSV.</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/api/admin/pricing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FR-DA-PTC-01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keep a Project Template Catalog in which every template is classified by scope — Universal (common to all sectors) or one Vertical — and by mode — Full, or SME with its track.</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FR-DA-PTC-02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full Create, Read, Update, Delete and Duplicate on project templates, versioned under Section 3.8; a template shall carry its default fields, its phases, the gates (Section 4.35) and checklists (Section…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FR-DA-PTC-03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present the catalog as a browsable list with search and filters on scope, vertical, mode, track and status, a preview of each template's phases, gates and checklists, and its use count.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FR-DA-PTC-04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manage each template through Draft, Published and Retired; only published templates shall be offered at project creation, and retiring a template shall not change any project created from it.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FR-DA-PTC-05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provide universal templates for Full and SME mode on every installation, seed vertical templates when a vertical is activated, and let an authorized user save an existing project as a new template.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FR-DA-PTC-06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restrict catalog changes to a dedicated permission, audit every change, and let platform templates be shared read-only with all Organizations while Organization templates stay private to their tenant.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/api/libraries/templates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FR-DA-PCM-01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offer three creation modes on one entry point: From the catalog, Manual, and With AI.</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/api/orgs/:id/projects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FR-DA-PCM-02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From the catalog: the system shall propose the templates that match the Organization's verticals and the project's mode and track, and copy the chosen template's fields, phases, gates, checklists and roles into the new project.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/api/orgs/:id/projects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FR-DA-PCM-03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Manual: the system shall let the user enter the project and choose its vertical (or none), mode and track, and build its phases by attaching gates from the Gate Library and checklists from the Checklist Library, or by creating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/api/orgs/:id/projects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FR-DA-PCM-04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With AI: the system shall draft the project — fields, complexity scores, recommended mode and track, closest template, phases, gates and checklists — from a short description, as an Assistive AI suggestion that the user accepts…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/api/orgs/:id/projects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FR-DA-PCM-05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compute the complexity score (Section 4.30) in every creation mode, apply the quota checks of NFR-DA-SEC-08, and record in the audit trail the creation mode, the template and version used, and the AI suggestion…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/api/orgs/:id/projects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FR-DA-GTE-01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keep a Gate Library with full Create, Read, Update, Delete and Duplicate on gate definitions, versioned: name, purpose, entry and exit criteria, approvers (roles or people), decision options Go, No-Go, Hold and…</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/api/libraries/gates, /api/phases/:id/gate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FR-DA-GTE-02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an authorized user associate zero, one or several checklists of the Checklist Library with a gate, optionally per track, each marked mandatory or optional, in a chosen order; a checklist created from the ga…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/api/libraries/gates, /api/phases/:id/gate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FR-DA-GTE-03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let an authorized user attach one or more gates to any phase of a project or a project template, reorder them, and detach them while the phase has not started; attaching a gate brings its associated checklists …</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/api/libraries/gates, /api/phases/:id/gate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FR-DA-GTE-04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configure the gates of a project from its vertical and track: the number of gates depends on the track and the criteria on the vertical, and a gate may be marked optional for a track.</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/api/libraries/gates, /api/phases/:id/gate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FR-DA-GTE-05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block the progression of a phase while a mandatory item of a mandatory checklist associated with its gate is incomplete; enforcement shall be configurable per gate and a waiver shall require justification and 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/api/libraries/gates, /api/phases/:id/gate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FR-DA-GTE-06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capture every gate decision with its approvers, criteria results and comments, and keep an immutable audit trail of gate actions — creation, modification, checklist association, attachment to a phase, review, d…</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/api/libraries/gates, /api/phases/:id/gate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FR-DA-GTE-07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Changing a gate, or a checklist associated with it, shall not alter the copies already attached to started phases; the user shall be offered to update not-yet-started phases to the new version.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/api/libraries/gates, /api/phases/:id/gate</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NFR-DA-PERF-01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Dashboard and list views shall render within 2 seconds under nominal per-tenant data volumes.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NFR-DA-PERF-02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An AI agent suggestion shall return within 5 seconds under its deterministic path.</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NFR-DA-PERF-03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 knowledge-base or FAQ retrieval search shall return ranked results within 1 second for a tenant's full corpus.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NFR-DA-PERF-04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 single standard-report export (PDF, Excel, or Word) shall complete within 3 seconds for a tenant's current data volume.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NFR-DA-PERF-05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With 100 concurrent users on one tenant, the 95th-percentile response time of read endpoints shall stay at or below 1 second, measured by a repeatable load test. A per-user read cache, where used, shall hold an entry for no mor…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NFR-DA-PERF-06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Activating a vertical, with its processes and configuration, shall complete within 5 minutes (configurable target).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NFR-DA-PERF-07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 bulk data import shall load 10,000 records within 30 minutes, and an SME shall be able to complete onboarding within 30 days (configurable targets).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NFR-DA-PERF-08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 production deployment offering the Vertical and SME layers shall be sized for configurable targets, by default 1,000 API calls per second sustained and 10,000 concurrent users, with reports generated within 60 seconds.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SQLite indexes, pagination</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All API endpoints except login shall require a valid, signed, time-boxed authentication token.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Passwords shall be stored only as salted cryptographic hashes; plaintext passwords shall never be logged or persisted.</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Every authorization decision shall be enforced server-side; client-side permission and Pack-entitlement checks are a UX convenience only, never the security boundary.</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No data query shall be constructed by concatenating untrusted input; all data access shall use parameterized statements or an equivalent safe-query mechanism.</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Owner/Evaluator segregation of duties, and any equivalent server-enforced business rule, shall be enforced server-side, not merely hidden in the UI.</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 one-Accountable-per-RACSI-activity rule, and any equivalent uniqueness rule, shall be enforced by a data-persistence-layer constraint, not merely by disabling an option in the UI.</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NFR-DA-SEC-07</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 Real LLM Provider Connection's API key shall be captured and stored only client-side; the backend shall never persist it to any table, write it to any log line, or return it in any API response, and any server-side proxying o…</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NFR-DA-SEC-08</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Every quota check (Projects, OBS nodes, AI Use Cases, and any other Pack-bound dimension) shall be enforced at the point of creation/activation on the server, never solely by disabling a client-side control; an over-quota reque…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NFR-DA-SEC-09</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Solution Pack entitlement shall be treated as an authorization axis independent of, and enforced in addition to, RBAC permissions; a route gated by both shall require both checks to pass, each independently testable and indepen…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NFR-DA-SEC-10</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Individually identifiable records requiring restricted visibility (e.g. individual-level readiness or sentiment data) shall be restricted, by RBAC default, to an explicitly named set of roles; other roles shall see only aggrega…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NFR-DA-SEC-11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Tenant data isolation shall be verified by an automated cross-tenant access test suite exercised in the build/release pipeline, not solely by code review.</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NFR-DA-SEC-12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login endpoint shall be rate-limited per client, and every response shall carry standard security headers (content-type sniffing protection, frame protection, and a restrictive cross-origin resource policy).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NFR-DA-SEC-13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Caches, backups, and logs shall never make one tenant's data available to another; backups shall be stored outside every web-served directory and be readable only by the service account and the platform administrator.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NFR-DA-SEC-14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standard federated authentication (SAML 2.0, OAuth 2.0, OpenID Connect) and multi-factor authentication.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NFR-DA-SEC-15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Role-based access control shall support scopes by vertical and by SME track in addition to the tenancy scopes.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NFR-DA-SEC-16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Data shall be encrypted at rest (AES-256 or equivalent) and in transit (TLS 1.2 or later), with configurable data residency regions and optional customer-managed keys (bring your own key).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JWT, RBAC, tenant scoping, rate limiting, helmet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NFR-DA-REL-01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degrade gracefully if an AI agent or live-LLM call fails: the underlying CRUD operation shall still succeed, with the AI suggestion simply unavailable or served from its deterministic fallback.</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Transactions, WAL, backups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NFR-DA-REL-02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target 99.9% uptime in a production deployment.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Transactions, WAL, backups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NFR-DA-REL-03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 report-export failure shall return a structured error without corrupting or partially writing the underlying report data view.</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Transactions, WAL, backups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NFR-DA-REL-04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persistence layer shall support scheduled backup with a defined retention policy; a production deployment shall not rely on a single unreplicated data file as its sole durability boundary.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Transactions, WAL, backups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NFR-DA-REL-05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backup schedule shall bound data loss to at most 24 hours, and restoring a backup shall be tested at least once per release.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Transactions, WAL, backups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NFR-DA-REL-06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 production deployment offering the Vertical and SME layers shall support disaster recovery with an RTO under 4 hours and an RPO under 1 hour, automatic failover and automated backups, tightening NFR-DA-REL-05 for that deploym…</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Transactions, WAL, backups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NFR-DA-SCALE-01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architecture shall support horizontal scaling of the web tier independently of the API tier.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Stateless API, separate web tier</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NFR-DA-SCALE-02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at least 100 concurrent users per tenant without functional degradation.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Stateless API, separate web tier</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NFR-DA-SCALE-03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persistence schema and the retrieval index shall each be swappable for a distributed equivalent (e.g. a managed relational database, a vector database) without changing the API contract.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Stateless API, separate web tier</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NFR-DA-SCALE-04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scale to configurable limits, by default 1,000 tenants per deployment including 10,000 SME tenants in shared mode, 100 million records, 500 macro processes, 200 E2E processes and 100 checklist items per gate.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Stateless API, separate web tier</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NFR-DA-SCALE-05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Adding a vertical, an SME track, a template, a gate or a checklist shall require no downtime.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Stateless API, separate web tier</w:t>
            </w:r>
          </w:p>
        </w:tc>
        <w:tc>
          <w:tcPr>
            <w:tcW w:w="1247"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5"/>
              </w:rPr>
              <w:t>Partly 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NFR-DA-UX-01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UI, and every generated document, shall follow the suite's common visual identity (color palette, typography, iconography) consistently across all modules and output formats.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NFR-DA-UX-02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UI shall be responsive and usable on desktop, tablet, and mobile viewport widths, with touch-target sizing meeting WCAG 2.1 AA on mobile.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NFR-DA-UX-03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All interactive controls shall be keyboard-navigable and carry accessible labels (WCAG 2.1 AA target).</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NFR-DA-UX-04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Status, severity, and classification fields shall use one consistent color/badge vocabulary across every module, so a user who has learned a meaning in one module recognizes it in every other.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NFR-DA-UX-05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Every interactive target shall measure at least 24 × 24 CSS pixels (WCAG 2.2 SC 2.5.8), and at least 44 × 44 CSS pixels on touch screens.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NFR-DA-UX-06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Every release shall pass an automated accessibility scan (e.g. axe-core) of its main screens with no critical or serious violation. Text shall meet WCAG 2.1 AA contrast (4.5:1, or 3:1 for large text); where a brand color falls …</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NFR-DA-UX-07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Every confirmation, warning, and error message shown as a transient notification shall be translated (FR-DA-I18N-07), announced to assistive technologies through a polite live region, and remain readable long enough to act 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NFR-DA-UX-08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Wide matrices and tables shall scroll inside their own container, keeping the first column visible, so the page never scrolls horizontally on a 390-pixel viewport.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NFR-DA-UX-09</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users shall complete onboarding within 1 day and need less than 4 hours of training, helped by guided workflows (configurable targets).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NFR-DA-UX-10</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User satisfaction shall be measured, with a configurable target (default NPS of 30 or more).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NFR-DA-I18N-01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Every layout — navigation, tables, and charts — shall render correctly mirrored under Arabic RTL, not just with mirrored text direction.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NFR-DA-I18N-02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support configurable languages (default English, French, Arabic, Spanish, German), currencies (default USD, EUR, MAD, ZAR) and regional date, time and number formats.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NFR-DA-PORT-01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Installation shall succeed on a fresh target machine with only a supported Node.js runtime installed — no native C/C++ build toolchain, no required external database server, and no mandatory external API key.</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Node.js only; npm install, npm run seed, npm run dev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NFR-DA-PORT-02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same source shall run unmodified across supported operating systems via standard package-manager install/build/start commands.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Node.js only; npm install, npm run seed, npm run dev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NFR-DA-PORT-03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Every change shall be built by a continuous-integration pipeline on Linux, Windows, and macOS that installs dependencies, seeds the demonstration data, runs the automated tests — including the cross-tenant suite of NFR-DA-SEC-1…</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Node.js only; npm install, npm run seed, npm run dev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NFR-DA-PORT-04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Each tier shall install, seed, and start with its package manager's standard commands (install, seed, dev or start), documented in a README at the root of the delivery.</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Node.js only; npm install, npm run seed, npm run dev</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NFR-DA-MAINT-01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Cross-cutting engines — the Action/Task Register, the Alert &amp; Notification Engine, the RBAC layer, the KPI/Reporting engine, and the Audit Trail Service — shall be implemented as composable modules reusable by sibling Dynamic A…</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NFR-DA-MAINT-02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AI agent implementations shall be isolated behind a stable internal interface so a rule-based implementation can be replaced by an LLM/vector-DB-backed one without changing calling code.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NFR-DA-MAINT-03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Solution Pack feature and quota matrix shall be defined in exactly one place and consumed by every enforcing route, so entitlements can never drift between routes.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NFR-DA-MAINT-04</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AI Use Case Library's generation service shall be the single designated server-side integration point for a live LLM call and its provider-specific credential/endpoint logic; no other module shall embed its own LLM provider…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NFR-DA-MAINT-05</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alert type-to-name and type-to-stage/process mapping shall be defined in exactly one shared module, consumed by both seed data and live computation.</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NFR-DA-MAINT-06</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Installation Guide and User Guide shall be generated from source in Word and PDF, each with an automatic table of contents, and the User Guide's step-by-step walkthroughs shall be replayed automatically against a freshly se…</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NFR-DA-MAINT-07</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Every User Guide walkthrough shall start from the tenancy — create or choose the Group (Yes/No), create the Organization, then the principal record(s) — and the guide shall include the decision matrix of FR-DA-HLP-04.</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NFR-DA-MAINT-08</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Verticals, SME tracks, complexity criteria, packs, project templates, gates and checklists shall be configuration data loaded without code changes, and the platform shall be modular with zero-downtime upgrades, monitoring, aler…</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Single modules for packs, alerts, permissions, versions</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NFR-DA-COMPAT-01</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application shall target evergreen desktop, tablet, and mobile browsers; no legacy-browser support is in scope.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NFR-DA-COMPAT-02</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BPMN diagrams shall be stored and exchanged as schema-valid BPMN 2.0 XML, verified by a round-trip import/export, so a diagram authored in one Dynamic App opens without error in any other BPMN 2.0-compliant tool, and vice versa.</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NFR-DA-COMPAT-03</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application's core workflows (record CRUD, approvals, alerts) shall remain fully usable on a mobile viewport without requiring a separate native application; a native or installable Progressive Web App wrapper, where offere…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NFR-DA-COMP-01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Every AI-generated suggestion shall be logged with a confidence indicator and be attributable to a specific agent/use case and record, or, for the AI Assistant, to the requesting user and question.</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/api/projects/:id/ai/log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NFR-DA-COMP-02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Controls module shall support demonstrating COSO Internal Control — Integrated Framework coverage across all five components.</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/api/projects/:id/ai/log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NFR-DA-COMP-03</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retain the full version history of every AI Use Case and every template indefinitely (no hard deletion of prior versions on edit or revert).</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/api/projects/:id/ai/log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NFR-DA-COMP-04</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never represent, in any UI text, Help content, FAQ answer, or generated document, that activating a Compliance &amp; Security Standard constitutes a certification, an external audit, or a legal attestation of compl…</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/api/projects/:id/ai/log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NFR-DA-COMP-05</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The system shall let verticals map to sector standards — for example IATF 16949 (automotive), AS9100 (aerospace), EU MDR and ISO 13485 (medical devices), FDA 21 CFR Part 11 (pharmaceutical), HACCP (food safety) — as scaffolds s…</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/api/projects/:id/ai/log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NFR-DA-COMP-06</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Every requirement of a Dynamic App shall be traceable to its business requirement, user story, test case, release and, where applicable, customer commitment, in line with ISO/IEC/IEEE 29148; requirement changes shall be classif…</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/api/projects/:id/ai/log</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NFR-DA-DATA-01</w:t>
            </w:r>
          </w:p>
        </w:tc>
        <w:tc>
          <w:tcPr>
            <w:tcW w:w="5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By default, and whenever no Real LLM Provider Connection is configured, the system shall not transmit tenant data to any third-party service; every AI capability shall run entirely within the deployment's own infrastructure usi…</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No external AI provider is called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NFR-DA-DATA-02</w:t>
            </w:r>
          </w:p>
        </w:tc>
        <w:tc>
          <w:tcPr>
            <w:tcW w:w="5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The system shall support both shared-infrastructure (SaaS) and dedicated/sovereign deployment options per Organization, without changing the tenant-isolation guarantee.</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No external AI provider is called</w:t>
            </w:r>
          </w:p>
        </w:tc>
        <w:tc>
          <w:tcPr>
            <w:tcW w:w="1247"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bl>
    <w:p>
      <w:pPr>
        <w:pStyle w:val="Normal"/>
        <w:spacing w:before="0" w:after="40"/>
        <w:rPr/>
      </w:pPr>
      <w:r>
        <w:rPr/>
      </w:r>
    </w:p>
    <w:p>
      <w:pPr>
        <w:pStyle w:val="Heading1"/>
        <w:rPr/>
      </w:pPr>
      <w:bookmarkStart w:id="7" w:name="__RefHeading___Toc10288_3070331996"/>
      <w:bookmarkEnd w:id="7"/>
      <w:r>
        <w:rPr/>
        <w:t>CD D30 — Licensing implementation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252"/>
        <w:gridCol w:w="4366"/>
        <w:gridCol w:w="1588"/>
      </w:tblGrid>
      <w:tr>
        <w:trPr>
          <w:tblHeader w:val="true"/>
        </w:trPr>
        <w:tc>
          <w:tcPr>
            <w:tcW w:w="425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Element</w:t>
            </w:r>
          </w:p>
        </w:tc>
        <w:tc>
          <w:tcPr>
            <w:tcW w:w="436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Where in DynamicMS</w:t>
            </w:r>
          </w:p>
        </w:tc>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Status</w:t>
            </w:r>
          </w:p>
        </w:tc>
      </w:tr>
      <w:tr>
        <w:trPr/>
        <w:tc>
          <w:tcPr>
            <w:tcW w:w="4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Licence provider abstraction: SaaS (configuration) and on-premises (signed file)</w:t>
            </w:r>
          </w:p>
        </w:tc>
        <w:tc>
          <w:tcPr>
            <w:tcW w:w="43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server/src/services/ops.js › licenceStatus; Administration › Operations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Signed licence: customer, seats, expiry, packs, deployment mode (Ed25519)</w:t>
            </w:r>
          </w:p>
        </w:tc>
        <w:tc>
          <w:tcPr>
            <w:tcW w:w="43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npm run sign-licence; server/licence/licence.lic</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Seat check against active users; expiry check</w:t>
            </w:r>
          </w:p>
        </w:tc>
        <w:tc>
          <w:tcPr>
            <w:tcW w:w="43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licenceStatus()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Degraded read-only mode when the licence is invalid</w:t>
            </w:r>
          </w:p>
        </w:tc>
        <w:tc>
          <w:tcPr>
            <w:tcW w:w="43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API middleware (HTTP 402 LICENCE_INVALID on changes)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Entitlement independent from RBAC (packs, add-ons, quotas)</w:t>
            </w:r>
          </w:p>
        </w:tc>
        <w:tc>
          <w:tcPr>
            <w:tcW w:w="43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server/src/packs.js; assertFeature()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bl>
    <w:p>
      <w:pPr>
        <w:pStyle w:val="Normal"/>
        <w:spacing w:before="0" w:after="40"/>
        <w:rPr/>
      </w:pPr>
      <w:r>
        <w:rPr/>
      </w:r>
    </w:p>
    <w:p>
      <w:pPr>
        <w:pStyle w:val="Heading1"/>
        <w:rPr/>
      </w:pPr>
      <w:bookmarkStart w:id="8" w:name="__RefHeading___Toc10290_3070331996"/>
      <w:bookmarkEnd w:id="8"/>
      <w:r>
        <w:rPr/>
        <w:t>Request — seeded full runs</w:t>
      </w:r>
    </w:p>
    <w:p>
      <w:pPr>
        <w:pStyle w:val="Normal"/>
        <w:rPr/>
      </w:pPr>
      <w:r>
        <w:rPr>
          <w:i w:val="false"/>
        </w:rPr>
        <w:t>The seed creates 2 groups and 1 independent organization, 60 organizations and 120 projects: for each of the 29 verticals a large company (Horizon Industrial Group) and an SME (Nova SME Alliance), plus Horizon Universal Holdings (large, universal) and Atlas Universal SME (independent). Every organization runs one QMS and one QHSE project through all activated phases, with 84,603 step executions (72,641 completed with their values), 3,700 KPIs, 4,338 risks, 960 nonconformities, 16,688 actions, 900 audits, 6,392 documents, 15,354 register entries and 2,817 alerts. Names, titles and all seeded texts exist in English, French and Arabic.</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588"/>
        <w:gridCol w:w="850"/>
        <w:gridCol w:w="793"/>
        <w:gridCol w:w="737"/>
        <w:gridCol w:w="1474"/>
        <w:gridCol w:w="738"/>
        <w:gridCol w:w="737"/>
        <w:gridCol w:w="907"/>
        <w:gridCol w:w="793"/>
        <w:gridCol w:w="1588"/>
      </w:tblGrid>
      <w:tr>
        <w:trPr>
          <w:tblHeader w:val="true"/>
        </w:trPr>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Project</w:t>
            </w:r>
          </w:p>
        </w:tc>
        <w:tc>
          <w:tcPr>
            <w:tcW w:w="85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Vertical</w:t>
            </w:r>
          </w:p>
        </w:tc>
        <w:tc>
          <w:tcPr>
            <w:tcW w:w="79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Size</w:t>
            </w:r>
          </w:p>
        </w:tc>
        <w:tc>
          <w:tcPr>
            <w:tcW w:w="73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MS</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Mode</w:t>
            </w:r>
          </w:p>
        </w:tc>
        <w:tc>
          <w:tcPr>
            <w:tcW w:w="73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Phases</w:t>
            </w:r>
          </w:p>
        </w:tc>
        <w:tc>
          <w:tcPr>
            <w:tcW w:w="73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MPs</w:t>
            </w:r>
          </w:p>
        </w:tc>
        <w:tc>
          <w:tcPr>
            <w:tcW w:w="90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Steps</w:t>
            </w:r>
          </w:p>
        </w:tc>
        <w:tc>
          <w:tcPr>
            <w:tcW w:w="79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Done</w:t>
            </w:r>
          </w:p>
        </w:tc>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5"/>
              </w:rPr>
              <w:t>Status</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NV-AEC-QHSE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AEC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NV-AEC-QMS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AEC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NV-AER-QHSE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AER</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85%</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NV-AER-QMS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AER</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662</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NV-AUT-QHSE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AUT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71</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724</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NV-AUT-QMS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AUT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684</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NV-CON-QHSE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CON</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73</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740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NV-CON-QMS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CON</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NV-CPG-QHSE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CPG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NV-CPG-QMS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CPG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NV-DST-QHSE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DST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NV-DST-QMS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DST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NV-ELE-QHSE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ELE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700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NV-ELE-QMS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ELE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NV-ENG-QHSE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ENG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71</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721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NV-ENG-QMS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ENG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680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NV-FAB-QHSE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FAB</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NV-FAB-QMS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FAB</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NV-FNB-QHSE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FNB</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700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NV-FNB-QMS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FNB</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NV-HCA-QHSE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HCA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NV-HCA-QMS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HCA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680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NV-HLS-QHSE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HLS</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NV-HLS-QMS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HLS</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680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NV-IND-QHSE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IND</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NV-IND-QMS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IND</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672</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NV-INF-QHSE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INF</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NV-INF-QMS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INF</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NV-LOG-QHSE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LOG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NV-LOG-QMS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LOG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NV-MFG-QHSE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MFG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73</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740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NV-MFG-QMS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MFG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NV-PCH-QHSE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PCH</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761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NV-PCH-QMS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PCH</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NV-PCI-QHSE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PCI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Advanced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85%</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NV-PCI-QMS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PCI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NV-PED-QHSE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PED</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NV-PED-QMS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PED</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NV-PHA-QHSE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PHA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700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85%</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NV-PHA-QMS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PHA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85%</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NV-PHM-QHSE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PHM</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700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NV-PHM-QMS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PHM</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NV-PPG-QHSE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PPG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NV-PPG-QMS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PPG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NV-PUED-QHSE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PUED</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Advanced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NV-PUED-QMS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PUED</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NV-RET-QHSE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RET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NV-RET-QMS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RET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NV-RFA-QHSE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RFA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NV-RFA-QMS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RFA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NV-SEM-QHSE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SEM</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702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NV-SEM-QMS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SEM</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682</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NV-SHB-QHSE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SHB</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NV-SHB-QMS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SHB</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NV-SSE-QHSE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SSE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NV-SSE-QMS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SSE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NV-TEL-QHSE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TEL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85%</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NV-TEL-QMS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TEL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Light</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AT-UNI-QHSE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UNI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61</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620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AT-UNI-QMS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UNI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SME · Standard</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61</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620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HZ-AEC-QHSE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AEC</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731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HZ-AEC-QMS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AEC</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721</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HZ-AER-QHSE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AER</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803</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HZ-AER-QMS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AER</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793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HZ-AUT-QHSE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AUT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839</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HZ-AUT-QMS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AUT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799</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HZ-CON-QHSE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CON</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740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HZ-CON-QMS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CON</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651</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HZ-CPG-QHSE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CPG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742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HZ-CPG-QMS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CPG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71</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694</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HZ-DST-QHSE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DST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679</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HZ-DST-QMS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DST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659</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HZ-ELE-QHSE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ELE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776</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HZ-ELE-QMS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ELE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736</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HZ-ENG-QHSE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ENG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782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HZ-ENG-QMS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ENG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74</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723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88%</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HZ-FAB-QHSE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FAB</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73</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713</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HZ-FAB-QMS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FAB</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72</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703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85%</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HZ-FNB-QHSE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FNB</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772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HZ-FNB-QMS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FNB</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72</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704</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HZ-HCA-QHSE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HCA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79</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770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HZ-HCA-QMS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HCA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78</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760</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HZ-HLS-QHSE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HLS</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811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HZ-HLS-QMS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HLS</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792</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HZ-IND-QHSE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IND</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72</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707</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HZ-IND-QMS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IND</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71</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697</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85%</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HZ-INF-QHSE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INF</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68</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671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HZ-INF-QMS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INF</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661</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HZ-LOG-QHSE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LOG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71</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697</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HZ-LOG-QMS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LOG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69</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677</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HZ-MFG-QHSE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MFG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783</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HZ-MFG-QMS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MFG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72</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703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HZ-PCH-QHSE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PCH</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HZ-PCH-QMS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PCH</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73</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713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HZ-PCI-QHSE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PCI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73</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712</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HZ-PCI-QMS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PCI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70</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683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HZ-PED-QHSE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PED</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60</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599</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HZ-PED-QMS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PED</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59</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589</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HZ-PHA-QHSE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PHA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81</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783</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HZ-PHA-QMS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PHA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77</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744</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HZ-PHM-QHSE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PHM</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87</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840</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HZ-PHM-QMS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PHM</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81</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782</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HZ-PPG-QHSE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PPG</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73</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711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HZ-PPG-QMS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PPG</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71</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692</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HZ-PUED-QHSE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PUED</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60</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599</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HZ-PUED-QMS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PUED</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59</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589</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HZ-RET-QHSE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RET</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74</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723</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HZ-RET-QMS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RET</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73</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713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HZ-RFA-QHSE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RFA</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72</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707</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84%</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HZ-RFA-QMS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RFA</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65</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639</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87%</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HZ-SEM-QHSE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SEM</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85</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821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83%</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HZ-SEM-QMS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SEM</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83</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801</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HZ-SHB-QHSE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SHB</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744</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89%</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HZ-SHB-QMS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SHB</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70</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686</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86%</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HZ-SSE-QHSE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SSE</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66</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651</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HZ-SSE-QMS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SSE</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60</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593</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HZ-TEL-QHSE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TEL</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77</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747</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80%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HZ-TEL-QMS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TEL</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76</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737</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82%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HZ-UNI-QHSE</w:t>
            </w:r>
          </w:p>
        </w:tc>
        <w:tc>
          <w:tcPr>
            <w:tcW w:w="8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UNI</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QHSE</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121</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1,155</w:t>
            </w:r>
          </w:p>
        </w:tc>
        <w:tc>
          <w:tcPr>
            <w:tcW w:w="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r>
        <w:trPr/>
        <w:tc>
          <w:tcPr>
            <w:tcW w:w="1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HZ-UNI-QMS</w:t>
            </w:r>
          </w:p>
        </w:tc>
        <w:tc>
          <w:tcPr>
            <w:tcW w:w="8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UNI</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Large</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QMS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FULL</w:t>
            </w:r>
          </w:p>
        </w:tc>
        <w:tc>
          <w:tcPr>
            <w:tcW w:w="7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12</w:t>
            </w:r>
          </w:p>
        </w:tc>
        <w:tc>
          <w:tcPr>
            <w:tcW w:w="7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111</w:t>
            </w:r>
          </w:p>
        </w:tc>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1,057</w:t>
            </w:r>
          </w:p>
        </w:tc>
        <w:tc>
          <w:tcPr>
            <w:tcW w:w="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5"/>
              </w:rPr>
              <w:t>90%</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5"/>
              </w:rPr>
              <w:t>Covered</w:t>
            </w:r>
          </w:p>
        </w:tc>
      </w:tr>
    </w:tbl>
    <w:p>
      <w:pPr>
        <w:pStyle w:val="Normal"/>
        <w:spacing w:before="0" w:after="40"/>
        <w:rPr/>
      </w:pPr>
      <w:r>
        <w:rPr/>
      </w:r>
    </w:p>
    <w:p>
      <w:pPr>
        <w:pStyle w:val="Heading1"/>
        <w:rPr/>
      </w:pPr>
      <w:bookmarkStart w:id="9" w:name="__RefHeading___Toc10292_3070331996"/>
      <w:bookmarkEnd w:id="9"/>
      <w:r>
        <w:rPr/>
        <w:t>Request — interface rules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969"/>
        <w:gridCol w:w="4535"/>
        <w:gridCol w:w="1702"/>
      </w:tblGrid>
      <w:tr>
        <w:trPr>
          <w:tblHeader w:val="true"/>
        </w:trPr>
        <w:tc>
          <w:tcPr>
            <w:tcW w:w="396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Rule</w:t>
            </w:r>
          </w:p>
        </w:tc>
        <w:tc>
          <w:tcPr>
            <w:tcW w:w="453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How it is met</w:t>
            </w:r>
          </w:p>
        </w:tc>
        <w:tc>
          <w:tcPr>
            <w:tcW w:w="170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Status</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Brand tokens only (orange, greys, background, status scale, two chart overlays)</w:t>
            </w:r>
          </w:p>
        </w:tc>
        <w:tc>
          <w:tcPr>
            <w:tcW w:w="45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web/src/styles/tokens.css; no other colour in the stylesheet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Serif headings, humanist sans body; no Inter, Roboto, Arial, Open Sans, Lato or system-ui</w:t>
            </w:r>
          </w:p>
        </w:tc>
        <w:tc>
          <w:tcPr>
            <w:tcW w:w="45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Source Serif 4 / Source Sans 3 (Noto Naskh / Noto Sans Arabic) bundled locally</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Type scale 12–36 and spacing 4–64 only; radii 8 / 8 / 12; one shadow; no pill buttons</w:t>
            </w:r>
          </w:p>
        </w:tc>
        <w:tc>
          <w:tcPr>
            <w:tcW w:w="45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tokens.css variables used by every component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Tables: orange header, bold white text, alternating rows, thin grey borders</w:t>
            </w:r>
          </w:p>
        </w:tc>
        <w:tc>
          <w:tcPr>
            <w:tcW w:w="45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table.data in app.css; reports and documents follow the same rule</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Icon badges: solid circle with a centred white Lucide line icon (≈52 %)</w:t>
            </w:r>
          </w:p>
        </w:tc>
        <w:tc>
          <w:tcPr>
            <w:tcW w:w="45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.badge-icon component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Hover, focus-visible, active and disabled states; visible focus ring</w:t>
            </w:r>
          </w:p>
        </w:tc>
        <w:tc>
          <w:tcPr>
            <w:tcW w:w="45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Every control in app.css; skip link and keyboard navigation</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Charts: primary orange solid, comparison dashed grey, italic caption</w:t>
            </w:r>
          </w:p>
        </w:tc>
        <w:tc>
          <w:tcPr>
            <w:tcW w:w="45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components/charts.jsx; captions under each chart</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No orange for body copy or small labels</w:t>
            </w:r>
          </w:p>
        </w:tc>
        <w:tc>
          <w:tcPr>
            <w:tcW w:w="45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Orange text limited to the eyebrow and large KPI numbers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Light backgrounds; dark only for section dividers</w:t>
            </w:r>
          </w:p>
        </w:tc>
        <w:tc>
          <w:tcPr>
            <w:tcW w:w="45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Lifecycle run summary band; presentation dividers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State tokens, spacing and type scale before building</w:t>
            </w:r>
          </w:p>
        </w:tc>
        <w:tc>
          <w:tcPr>
            <w:tcW w:w="45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Stated before the web build and documented in tokens.css</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POWERACT not mentioned in the application</w:t>
            </w:r>
          </w:p>
        </w:tc>
        <w:tc>
          <w:tcPr>
            <w:tcW w:w="45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Application screens and generated reports carry DynamicMS only</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English, French and Arabic with right-to-left layout</w:t>
            </w:r>
          </w:p>
        </w:tc>
        <w:tc>
          <w:tcPr>
            <w:tcW w:w="45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1,042 interface strings and all catalog content translated; dir="rtl" mirrors the shell</w:t>
            </w:r>
          </w:p>
        </w:tc>
        <w:tc>
          <w:tcPr>
            <w:tcW w:w="1702"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bl>
    <w:p>
      <w:pPr>
        <w:pStyle w:val="Normal"/>
        <w:spacing w:before="0" w:after="40"/>
        <w:rPr/>
      </w:pPr>
      <w:r>
        <w:rPr/>
      </w:r>
    </w:p>
    <w:p>
      <w:pPr>
        <w:pStyle w:val="Heading1"/>
        <w:rPr/>
      </w:pPr>
      <w:bookmarkStart w:id="10" w:name="__RefHeading___Toc10294_3070331996"/>
      <w:bookmarkEnd w:id="10"/>
      <w:r>
        <w:rPr/>
        <w:t>Request — deliverables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6"/>
        <w:gridCol w:w="4082"/>
        <w:gridCol w:w="1588"/>
      </w:tblGrid>
      <w:tr>
        <w:trPr>
          <w:tblHeader w:val="true"/>
        </w:trPr>
        <w:tc>
          <w:tcPr>
            <w:tcW w:w="45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Deliverable</w:t>
            </w:r>
          </w:p>
        </w:tc>
        <w:tc>
          <w:tcPr>
            <w:tcW w:w="408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File</w:t>
            </w:r>
          </w:p>
        </w:tc>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Status</w:t>
            </w:r>
          </w:p>
        </w:tc>
      </w:tr>
      <w:tr>
        <w:trPr/>
        <w:tc>
          <w:tcPr>
            <w:tcW w:w="45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Application zip (server and web folders)</w:t>
            </w:r>
          </w:p>
        </w:tc>
        <w:tc>
          <w:tcPr>
            <w:tcW w:w="40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DynamicMS.zip</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Installation guide (Word with TOC) and PDF</w:t>
            </w:r>
          </w:p>
        </w:tc>
        <w:tc>
          <w:tcPr>
            <w:tcW w:w="40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DynamicMS_Installation_Guide.docx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User guide 1 — Universal large companies: QMS, QHSE (what to type for every step)</w:t>
            </w:r>
          </w:p>
        </w:tc>
        <w:tc>
          <w:tcPr>
            <w:tcW w:w="40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DynamicMS_User_Guide_1_Universal_Large.docx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User guide 2 — SME: QMS, QHSE, QMS for AEC &amp; Construction</w:t>
            </w:r>
          </w:p>
        </w:tc>
        <w:tc>
          <w:tcPr>
            <w:tcW w:w="40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DynamicMS_User_Guide_2_SME.docx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Presentation with screenshots of every sector — English</w:t>
            </w:r>
          </w:p>
        </w:tc>
        <w:tc>
          <w:tcPr>
            <w:tcW w:w="40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DynamicMS_Presentation_EN.pptx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Presentation with screenshots of every sector — French</w:t>
            </w:r>
          </w:p>
        </w:tc>
        <w:tc>
          <w:tcPr>
            <w:tcW w:w="40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DynamicMS_Presentation_FR.pptx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Source code</w:t>
            </w:r>
          </w:p>
        </w:tc>
        <w:tc>
          <w:tcPr>
            <w:tcW w:w="40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DynamicMS.zip and the Git branch claude/lucid-brahmagupta-xfc6ek</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This coverage checklist</w:t>
            </w:r>
          </w:p>
        </w:tc>
        <w:tc>
          <w:tcPr>
            <w:tcW w:w="40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DynamicMS_Coverage_Checklist.docx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IMS document templates (suggested templates, sections, data sources, required documented information)</w:t>
            </w:r>
          </w:p>
        </w:tc>
        <w:tc>
          <w:tcPr>
            <w:tcW w:w="40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DynamicMS_IMS_Document_Templates.docx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Templates seeded, populated and ready to download (sample set of Scenario 1 and 2 SME)</w:t>
            </w:r>
          </w:p>
        </w:tc>
        <w:tc>
          <w:tcPr>
            <w:tcW w:w="40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 the application (Records › Documents) and DynamicMS_Sample_IMS_Documents.zip</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Response to the feedback on User Guide 2 (SME QMS, Scenario 1)</w:t>
            </w:r>
          </w:p>
        </w:tc>
        <w:tc>
          <w:tcPr>
            <w:tcW w:w="40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DynamicMS_Feedback_Response_User_Guide_2.docx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Application standard SRS 1.5 (application-agnostic features added)</w:t>
            </w:r>
          </w:p>
        </w:tc>
        <w:tc>
          <w:tcPr>
            <w:tcW w:w="40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DynamicCortex_Apps_Standard_SRS_v1_5.docx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Response to the feedback, round 2 (SRS 1.5 features and IMS documents)</w:t>
            </w:r>
          </w:p>
        </w:tc>
        <w:tc>
          <w:tcPr>
            <w:tcW w:w="40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DynamicMS_Feedback_Response_Round_2.docx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r>
        <w:trPr/>
        <w:tc>
          <w:tcPr>
            <w:tcW w:w="45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Response to the feedback, round 3 (user experience and Scenario 1 notes)</w:t>
            </w:r>
          </w:p>
        </w:tc>
        <w:tc>
          <w:tcPr>
            <w:tcW w:w="40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DynamicMS_Feedback_Response_Round_3.docx / .pdf</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8"/>
              </w:rPr>
              <w:t>Covered</w:t>
            </w:r>
          </w:p>
        </w:tc>
      </w:tr>
    </w:tbl>
    <w:p>
      <w:pPr>
        <w:pStyle w:val="Normal"/>
        <w:spacing w:before="0" w:after="40"/>
        <w:rPr/>
      </w:pPr>
      <w:r>
        <w:rPr/>
      </w:r>
    </w:p>
    <w:p>
      <w:pPr>
        <w:pStyle w:val="Heading1"/>
        <w:rPr/>
      </w:pPr>
      <w:bookmarkStart w:id="11" w:name="__RefHeading___Toc10296_3070331996"/>
      <w:bookmarkEnd w:id="11"/>
      <w:r>
        <w:rPr/>
        <w:t>Feedback on User Guide 2 — SME QMS, Scenario 1</w:t>
      </w:r>
    </w:p>
    <w:p>
      <w:pPr>
        <w:pStyle w:val="Normal"/>
        <w:rPr/>
      </w:pPr>
      <w:r>
        <w:rPr>
          <w:i w:val="false"/>
        </w:rPr>
        <w:t>Each note of the reviewed guide and where it is answered. Details are in DynamicMS_Feedback_Response_User_Guide_2.</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5329"/>
        <w:gridCol w:w="3289"/>
        <w:gridCol w:w="1588"/>
      </w:tblGrid>
      <w:tr>
        <w:trPr>
          <w:tblHeader w:val="true"/>
        </w:trPr>
        <w:tc>
          <w:tcPr>
            <w:tcW w:w="532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Feedback</w:t>
            </w:r>
          </w:p>
        </w:tc>
        <w:tc>
          <w:tcPr>
            <w:tcW w:w="328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Where</w:t>
            </w:r>
          </w:p>
        </w:tc>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Where to create a new group?</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Administration › Groups and organizations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Where to create a new organization? (group: yes, no)</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Administration › Groups and organizations › New organization</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For each step, a brief and a detailed description (expand, collapse).</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Any step › What to record</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"Workshop records and Internal issues" appears in many places.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Steps with record tables; User Guide 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For each macro process, an optional checklist of what is required before starting.</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 Tasks and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All the information generated by the steps should be available to put in documents.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 IMS Document Templates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Suggest the documents mandatory for the selected standards, with CRUD/RBAC.</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 › Required by the standards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Possibility to create new documents.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 › New document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Word / PDF with a table of contents (except the policy); Excel with a cover page.</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Downloads of any document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Document templates, with the possibility to create new ones.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 › Templates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Customizable layout (logo, graphic chart…) like in Word.</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 › Layout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For any document, see its structure and content, with CRUD/RBAC.</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 › a document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Documents: CRUD/RBAC.</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 any step, a "Generate document" button.</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Any step</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Documents with version management.</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 › a document › Versions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BPMN diagram: Expand should use the whole screen, with a way back.</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 BPMN diagram</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Naming: function and macro process names start with a noun; task and step names start with a verb and are explicit.</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All lifecycle screens; User Guides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Where to configure the LLM for AI use cases: standard LLMs with their models, custom LLM.</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Administration › AI models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"Items identified": separate records/cells with CRUD, not one cell.</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Steps of form "Register items"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"Source / evidence": separate records/cells with CRUD, not one cell.</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Same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Any AI use case mapped to the right step, with a prompt about that step.</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Any AI-assisted step; Intelligence › AI use cases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Difference between "Rédiger la politique" and "Rédiger la politique à partir d'un modèle"?</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UMS022 (MP-002)</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UMS022: one place to select the standard(s) before any policy elaboration.</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UMS022 step 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For any step, attach documents with history.</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Any step › Attachments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Indicators: explain why; select KPIs from a list, with custom to create a new one.</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Steps of form "Measurement"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"What to type" is too generic; details that produce the desired outputs are needed.</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User Guide 2, Scenario 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"For QMS steps, you can also consider the attached document."</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t>
            </w:r>
          </w:p>
        </w:tc>
        <w:tc>
          <w:tcPr>
            <w:tcW w:w="158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20"/>
              <w:jc w:val="left"/>
              <w:rPr/>
            </w:pPr>
            <w:r>
              <w:rPr>
                <w:color w:val="3A3A3C"/>
                <w:sz w:val="17"/>
              </w:rPr>
              <w:t>Partly 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UMS016 step 1 — Scope / notes: dropdown from the OBS and its functions, with custom.</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UMS016 steps 2–4 — Items and Source / evidence as separate records.</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UMS016 step 5 — Score (1–5): explain the score and add a decision matrix.</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UMS016 — "Competence gap closure rate: why this at this stage?"</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UMS016 — "Here it is a review: why not frequency and other information?"</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UMS022 — Communication audience in one cell.</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UMS022 — Planned activities "should create actions managed by the Action plan module".</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UMS022 — "Procedures with BPMN and exception flow: relationship with the step?"</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UMS022 — "Policy document generated automatically: where is the document?"</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UMS031 — "Multiple records/cells with SMART, not one cell."</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UMS031 — "Records filed in DynamicMS: where are the records?" (three times)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UMS002 — "These details are not useful."</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UMS002 — "Person / team should come from the OBS; RACSI table in five columns for macro processes by default, and tasks/steps if needed."</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UMS002 — "Put the decision matrix."</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 steps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bl>
    <w:p>
      <w:pPr>
        <w:pStyle w:val="Normal"/>
        <w:spacing w:before="0" w:after="40"/>
        <w:rPr/>
      </w:pPr>
      <w:r>
        <w:rPr/>
      </w:r>
    </w:p>
    <w:p>
      <w:pPr>
        <w:pStyle w:val="Normal"/>
        <w:rPr/>
      </w:pPr>
      <w:r>
        <w:rPr>
          <w:i w:val="false"/>
          <w:sz w:val="20"/>
        </w:rPr>
        <w:t>Partly covered: the document mentioned for the QMS steps was not attached to the request; its content can be added when received.</w:t>
      </w:r>
    </w:p>
    <w:p>
      <w:pPr>
        <w:pStyle w:val="Heading1"/>
        <w:rPr/>
      </w:pPr>
      <w:bookmarkStart w:id="12" w:name="__RefHeading___Toc10298_3070331996"/>
      <w:bookmarkEnd w:id="12"/>
      <w:r>
        <w:rPr/>
        <w:t>Feedback round 2 — SRS 1.5 features and IMS documents</w:t>
      </w:r>
    </w:p>
    <w:p>
      <w:pPr>
        <w:pStyle w:val="Normal"/>
        <w:rPr/>
      </w:pPr>
      <w:r>
        <w:rPr>
          <w:i w:val="false"/>
        </w:rPr>
        <w:t>Each request of the second round and where it is answered. Details are in DynamicMS_Feedback_Response_Round_2.</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5329"/>
        <w:gridCol w:w="3289"/>
        <w:gridCol w:w="1588"/>
      </w:tblGrid>
      <w:tr>
        <w:trPr>
          <w:tblHeader w:val="true"/>
        </w:trPr>
        <w:tc>
          <w:tcPr>
            <w:tcW w:w="532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Request</w:t>
            </w:r>
          </w:p>
        </w:tc>
        <w:tc>
          <w:tcPr>
            <w:tcW w:w="328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Where</w:t>
            </w:r>
          </w:p>
        </w:tc>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Search button in the left bar</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Menu › Search; Ctrl+K</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Full CRUD on functions, macro processes, tasks, steps, gates, checklists and templates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Design › Process design editor</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Version management with the possibility to go to any version</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History button of any element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OBS: a role is linked to one or more functions; a person plays one or many roles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Organization › Roles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AI use case mapped to the right task or step</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Intelligence › AI use cases; any AI-assisted step</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Prompt aspects in separate fields: role, context, task, constraints, examples, format, other</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AI use cases › Prompt specification</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Each prompt aspect versioned, with the possibility to go to any version</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Prompt specification › History</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Every suggested AI use case fully populated for its step</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AI use cases (all)</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 Policy: more consistent, with real content from the market (example: the French quality policy provided)</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 › Quality policy (AT-UNI-QMS-POL-Q)</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2) Procedures: SIPOC for the steps, Go / No-Go decision, BPMN diagram</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(TPL-PROC), macro process sheet (TPL-PSHEET)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3) All documents reflect market best practices</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IMS Document Templates; every template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 Audit programme: frequency with a dropdown list and custom</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Audits › New audit or Edit; Internal audit programme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 Audit report: detailed nonconformity report with grading (minor, major, …) and other relevant information</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Audits › an audit › Findings; Internal audit report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6) Monitoring and measuring equipment register: more consistent, fine grained and complete</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Registers › Measuring equipment; TPL-CAL</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7) Corrective action report: more consistent, fine grained and complete</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Nonconformities › a nonconformity; TPL-CAPA</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 Control of changes record</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 Communication plan and records</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 Competence matrix and training records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 Control plan</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 Context and interested parties analysis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 Master list of documented information</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 KPI dashboard and measurement results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 Compliance obligations register</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 Management system manual</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 Management review minutes</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8) All other documents of the sample</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bl>
    <w:p>
      <w:pPr>
        <w:pStyle w:val="Normal"/>
        <w:spacing w:before="0" w:after="40"/>
        <w:rPr/>
      </w:pPr>
      <w:r>
        <w:rPr/>
      </w:r>
    </w:p>
    <w:p>
      <w:pPr>
        <w:pStyle w:val="Heading1"/>
        <w:rPr/>
      </w:pPr>
      <w:bookmarkStart w:id="13" w:name="__RefHeading___Toc10300_3070331996"/>
      <w:bookmarkEnd w:id="13"/>
      <w:r>
        <w:rPr/>
        <w:t>Feedback round 3 — user experience and Scenario 1</w:t>
      </w:r>
    </w:p>
    <w:p>
      <w:pPr>
        <w:pStyle w:val="Normal"/>
        <w:rPr/>
      </w:pPr>
      <w:r>
        <w:rPr>
          <w:i w:val="false"/>
        </w:rPr>
        <w:t>Each request of the third round and where it is answered. Details are in DynamicMS_Feedback_Response_Round_3.</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5329"/>
        <w:gridCol w:w="3289"/>
        <w:gridCol w:w="1588"/>
      </w:tblGrid>
      <w:tr>
        <w:trPr>
          <w:tblHeader w:val="true"/>
        </w:trPr>
        <w:tc>
          <w:tcPr>
            <w:tcW w:w="532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Request</w:t>
            </w:r>
          </w:p>
        </w:tc>
        <w:tc>
          <w:tcPr>
            <w:tcW w:w="328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Where</w:t>
            </w:r>
          </w:p>
        </w:tc>
        <w:tc>
          <w:tcPr>
            <w:tcW w:w="15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Status</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 Where is the function CRUD (creation, …)?</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Design › Functions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2) Windows opened from the menu cannot be scrolled; add a scroll bar.</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All dialogs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3) Show every identifier with its name between brackets (e.g. E2E-01).</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New project, RACSI, Process design, AI use cases, step forms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 Where to customize documents?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 Records › Document templates and layout</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 Typing areas are too small; qualify generic titles ("Item" → "External issues"); category as a list with Custom.</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Every step with a record table</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6) Whenever there is a choice (e.g. Interested party), use a list with Custom.</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Step forms</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7) A search bar is needed in the other sections, not only in the left menu.</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Header of every screen</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MP-001.2 Identify external issues: Make it usable: typing areas too small (item, impact description, source / evidence); a window with scrolling and a way back; category as a list with Custom; "Item" → "External issues".</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MP-001.3 Identify internal issues: Same feedback; "Item" → "Internal issues".</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MP-001.4 Identify interested parties: Same comment; qualify the item as "Interested party".</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MP-001.5 Determine needs and expectations: Many records per interested party; three ways to enter a need: manual, library (typed before and seeded, not linked to a party), AI; a need can be mapped to one or more interested parties. "Why this section?" (weighted score and conclusion).</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MP-001.5 Generate document: Sections 7 and 8 of the generated context analysis were empty.</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MP-001.7 Identify interactions between processes: Macro process 1 and Macro process 2 as lists with Custom; Category → Interaction type.</w:t>
            </w:r>
          </w:p>
        </w:tc>
        <w:tc>
          <w:tcPr>
            <w:tcW w:w="3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Lifecycle › E2E-01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r>
        <w:trPr/>
        <w:tc>
          <w:tcPr>
            <w:tcW w:w="53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MP-002.11 Generate the quality policy draft (AI): "I am not getting this… Maybe the LLM does not work?"</w:t>
            </w:r>
          </w:p>
        </w:tc>
        <w:tc>
          <w:tcPr>
            <w:tcW w:w="3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Lifecycle › E2E-01</w:t>
            </w:r>
          </w:p>
        </w:tc>
        <w:tc>
          <w:tcPr>
            <w:tcW w:w="158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20"/>
              <w:jc w:val="left"/>
              <w:rPr/>
            </w:pPr>
            <w:r>
              <w:rPr>
                <w:color w:val="3A3A3C"/>
                <w:sz w:val="17"/>
              </w:rPr>
              <w:t>Covered</w:t>
            </w:r>
          </w:p>
        </w:tc>
      </w:tr>
    </w:tbl>
    <w:p>
      <w:pPr>
        <w:pStyle w:val="Normal"/>
        <w:spacing w:before="0" w:after="40"/>
        <w:rPr/>
      </w:pPr>
      <w:r>
        <w:rPr/>
      </w:r>
    </w:p>
    <w:tbl>
      <w:tblPr>
        <w:tblW w:w="97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746"/>
      </w:tblGrid>
      <w:tr>
        <w:trPr/>
        <w:tc>
          <w:tcPr>
            <w:tcW w:w="9746" w:type="dxa"/>
            <w:tcBorders/>
            <w:shd w:color="auto" w:fill="FDEEDA" w:val="clear"/>
          </w:tcPr>
          <w:p>
            <w:pPr>
              <w:pStyle w:val="Normal"/>
              <w:spacing w:before="0" w:after="120"/>
              <w:jc w:val="left"/>
              <w:rPr/>
            </w:pPr>
            <w:r>
              <w:rPr>
                <w:b/>
                <w:color w:val="3A3A3C"/>
                <w:sz w:val="22"/>
              </w:rPr>
              <w:t xml:space="preserve">Logo.  </w:t>
            </w:r>
            <w:r>
              <w:rPr>
                <w:color w:val="3A3A3C"/>
                <w:sz w:val="22"/>
              </w:rPr>
              <w:t>The official POWERACT logo could not be downloaded from www.poweract.ma (the site refused the request). The deliverables show the POWERACT Consulting name as text. Place the logo at deliverables/assets/poweract-logo.png and run the builders again to insert it on covers, slides and footers.</w:t>
            </w:r>
          </w:p>
        </w:tc>
      </w:tr>
    </w:tbl>
    <w:p>
      <w:pPr>
        <w:pStyle w:val="Normal"/>
        <w:spacing w:before="0" w:after="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184"/>
        <w:sz w:val="18"/>
      </w:rPr>
      <w:t xml:space="preserve">POWERACT Consulting  ·  Page </w:t>
    </w:r>
    <w:r>
      <w:rPr>
        <w:sz w:val="18"/>
      </w:rPr>
      <w:fldChar w:fldCharType="begin"/>
    </w:r>
    <w:r>
      <w:rPr>
        <w:sz w:val="18"/>
      </w:rPr>
      <w:instrText xml:space="preserve"> PAGE </w:instrText>
    </w:r>
    <w:r>
      <w:rPr>
        <w:sz w:val="18"/>
      </w:rPr>
      <w:fldChar w:fldCharType="separate"/>
    </w:r>
    <w:r>
      <w:rPr>
        <w:sz w:val="18"/>
      </w:rPr>
      <w:t>28</w:t>
    </w:r>
    <w:r>
      <w:rPr>
        <w:sz w:val="18"/>
      </w:rPr>
      <w:fldChar w:fldCharType="end"/>
    </w:r>
    <w:r>
      <w:rPr>
        <w:color w:val="808184"/>
        <w:sz w:val="18"/>
      </w:rPr>
      <w:t xml:space="preserve"> of </w:t>
    </w:r>
    <w:r>
      <w:rPr>
        <w:sz w:val="18"/>
      </w:rPr>
      <w:fldChar w:fldCharType="begin"/>
    </w:r>
    <w:r>
      <w:rPr>
        <w:sz w:val="18"/>
      </w:rPr>
      <w:instrText xml:space="preserve"> NUMPAGES </w:instrText>
    </w:r>
    <w:r>
      <w:rPr>
        <w:sz w:val="18"/>
      </w:rPr>
      <w:fldChar w:fldCharType="separate"/>
    </w:r>
    <w:r>
      <w:rPr>
        <w:sz w:val="18"/>
      </w:rPr>
      <w:t>28</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808184"/>
        <w:sz w:val="18"/>
      </w:rPr>
      <w:t>DynamicMS — Coverage Checklist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Times New Roman"/>
      <w:color w:val="58595B"/>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cs="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cs="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cs="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28</Pages>
  <Words>15822</Words>
  <Characters>95519</Characters>
  <CharactersWithSpaces>108070</CharactersWithSpaces>
  <Paragraphs>3367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2026-09-30T15:29:34Z</dcterms:modified>
  <cp:revision>2</cp:revision>
  <dc:subject/>
  <dc:title>DynamicMS — Coverage Checklist</dc:title>
</cp:coreProperties>
</file>

<file path=docProps/custom.xml><?xml version="1.0" encoding="utf-8"?>
<Properties xmlns="http://schemas.openxmlformats.org/officeDocument/2006/custom-properties" xmlns:vt="http://schemas.openxmlformats.org/officeDocument/2006/docPropsVTypes"/>
</file>