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User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End Users</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Product Team</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1.0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Introduction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an AI-assisted scope-to-specs automation platform for management-consulting engagements. Starting from a signed Statement of Work (SOW), it takes an engagement through context enrichment, current-state analysis, automation opportunity assessment, future-state design, specification generation, and client sign-off, producing a complete, traceable specification package ready to hand off to a development team.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step in DynamicBA is human-in-the-loop: the platform computes scores, drafts governance artifacts, and raises alerts using a deterministic, explainable rule engine, but a named consultant role always reviews and confirms before anything moves forward. Nothing in DynamicBA is generated by an opaque, unreviewable model.</w:t>
      </w:r>
    </w:p>
    <w:p>
      <w:pPr>
        <w:pStyle w:val="Heading2"/>
      </w:pPr>
      <w:r>
        <w:rPr>
          <w:rFonts w:ascii="Times New Roman" w:cs="Times New Roman" w:eastAsia="Times New Roman" w:hAnsi="Times New Roman"/>
          <w:b/>
          <w:bCs/>
          <w:color w:val="3A3A3C"/>
          <w:sz w:val="27"/>
          <w:szCs w:val="27"/>
        </w:rPr>
        <w:t xml:space="preserve">1.1 The Four-Step Engagement Flow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engagement (Project) moves through the same four consultant-facing steps, regardless of industry or complexity:</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1: Upload SOW — capture and quality-check the signed Statement of Work.</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2: AI Generates Spec Package — context enrichment, current-state analysis, opportunity assessment, to-be design, and specification generation, in one continuous working session.</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3: Review &amp; Validate — compile the package, generate the executive summary, and capture the client sponsor’s sign-off.</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4: Export &amp; Handoff — export the package and hand off the development backlog.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walks through every screen in that order, then provides a library of complete usage scenarios with suggested sample data covering the different kinds of input DynamicBA collects — free text, sliders, dropdowns, checkboxes, dates, and structured lists.</w:t>
      </w:r>
    </w:p>
    <w:p>
      <w:pPr>
        <w:pStyle w:val="Heading1"/>
      </w:pPr>
      <w:r>
        <w:rPr>
          <w:rFonts w:ascii="Times New Roman" w:cs="Times New Roman" w:eastAsia="Times New Roman" w:hAnsi="Times New Roman"/>
          <w:b/>
          <w:bCs/>
          <w:color w:val="E07B00"/>
          <w:sz w:val="34"/>
          <w:szCs w:val="34"/>
        </w:rPr>
        <w:t xml:space="preserve">2. Getting Started — Sign Up and Sign In</w:t>
      </w:r>
    </w:p>
    <w:p>
      <w:pPr>
        <w:pStyle w:val="Heading2"/>
      </w:pPr>
      <w:r>
        <w:rPr>
          <w:rFonts w:ascii="Times New Roman" w:cs="Times New Roman" w:eastAsia="Times New Roman" w:hAnsi="Times New Roman"/>
          <w:b/>
          <w:bCs/>
          <w:color w:val="3A3A3C"/>
          <w:sz w:val="27"/>
          <w:szCs w:val="27"/>
        </w:rPr>
        <w:t xml:space="preserve">2.1 Founding a New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first person from a consulting firm to use DynamicBA should choose “Found a new Organization” on the sign-up screen. This creates the Organization (your firm’s tenant), assigns you the Organization Admin role, and starts you on the plan you select — Starter, Professional, Enterprise, or Pay-Per-Project (see Section 12.4 for what each plan includes).</w:t>
      </w:r>
    </w:p>
    <w:p>
      <w:pPr>
        <w:pStyle w:val="Heading2"/>
      </w:pPr>
      <w:r>
        <w:rPr>
          <w:rFonts w:ascii="Times New Roman" w:cs="Times New Roman" w:eastAsia="Times New Roman" w:hAnsi="Times New Roman"/>
          <w:b/>
          <w:bCs/>
          <w:color w:val="3A3A3C"/>
          <w:sz w:val="27"/>
          <w:szCs w:val="27"/>
        </w:rPr>
        <w:t xml:space="preserve">2.2 Joining an Existing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other member of your firm should choose “Join an existing Organization” and enter the Organization ID your admin shares with them (visible under Admin → Organization Settings). Joining is subject to your firm’s licensed seat count — if your Organization is at its seat limit, an admin must upgrade the plan before a new teammate can join.</w:t>
      </w:r>
    </w:p>
    <w:p>
      <w:pPr>
        <w:pStyle w:val="Heading2"/>
      </w:pPr>
      <w:r>
        <w:rPr>
          <w:rFonts w:ascii="Times New Roman" w:cs="Times New Roman" w:eastAsia="Times New Roman" w:hAnsi="Times New Roman"/>
          <w:b/>
          <w:bCs/>
          <w:color w:val="3A3A3C"/>
          <w:sz w:val="27"/>
          <w:szCs w:val="27"/>
        </w:rPr>
        <w:t xml:space="preserve">2.3 Signing In and 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Return to the application URL and sign in with your email and password. To sign out, use the “Logout” link at the bottom of the sidebar.</w:t>
      </w:r>
    </w:p>
    <w:p>
      <w:pPr>
        <w:pStyle w:val="Heading1"/>
      </w:pPr>
      <w:r>
        <w:rPr>
          <w:rFonts w:ascii="Times New Roman" w:cs="Times New Roman" w:eastAsia="Times New Roman" w:hAnsi="Times New Roman"/>
          <w:b/>
          <w:bCs/>
          <w:color w:val="E07B00"/>
          <w:sz w:val="34"/>
          <w:szCs w:val="34"/>
        </w:rPr>
        <w:t xml:space="preserve">3. Navigating the Application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left sidebar is the primary navigation. The top bar lets you select the active Client and Project that most pages and the wizard operate against.</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600"/>
        <w:gridCol w:w="6940"/>
      </w:tblGrid>
      <w:tr>
        <w:trPr>
          <w:tblHeader/>
        </w:trPr>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Menu Item</w:t>
            </w:r>
          </w:p>
        </w:tc>
        <w:tc>
          <w:tcPr>
            <w:tcW w:type="dxa" w:w="6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It Does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Dashboard</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Summary of your Organization: client and project counts, pipeline status, and licence usage.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the end customers your firm serves.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engagements for the selected Client.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 Workspace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four-step wizard and the full Project Artifacts browser for the selected Project.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Catalogue</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DynamicBA’s 7 macro processes and 63 steps.</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Governance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Business Rules, Controls, Risks, KPIs, and Alerts.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8 reporting cockpits, with live values from the selected Project where available.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 Use Cases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and its activation controls.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Recycle Bin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Restore a deleted Client or Project.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Help</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Searchable in-app help articles.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Admin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settings, users, permissions, licensing, compliance, and audit log (Organization Admins only).</w:t>
            </w:r>
          </w:p>
        </w:tc>
      </w:tr>
    </w:tbl>
    <w:p>
      <w:pPr>
        <w:pStyle w:val="Heading1"/>
      </w:pPr>
      <w:r>
        <w:rPr>
          <w:rFonts w:ascii="Times New Roman" w:cs="Times New Roman" w:eastAsia="Times New Roman" w:hAnsi="Times New Roman"/>
          <w:b/>
          <w:bCs/>
          <w:color w:val="E07B00"/>
          <w:sz w:val="34"/>
          <w:szCs w:val="34"/>
        </w:rPr>
        <w:t xml:space="preserve">4. Roles and Permissions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ships with nine roles, each mapped to a realistic consulting-engagement responsibility. An Organization Admin assigns roles under Admin → Users &amp; Roles, and can adjust exactly which capability each role carries under Admin → Permission Matrix.</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600"/>
        <w:gridCol w:w="5940"/>
      </w:tblGrid>
      <w:tr>
        <w:trPr>
          <w:tblHeader/>
        </w:trPr>
        <w:tc>
          <w:tcPr>
            <w:tcW w:type="dxa" w:w="3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Role</w:t>
            </w:r>
          </w:p>
        </w:tc>
        <w:tc>
          <w:tcPr>
            <w:tcW w:type="dxa" w:w="5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Typical Responsibility</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Admin</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configuration authority: users, permissions, licensing, compliance standards.</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Delivery Lead</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Validation &amp; Handoff; captures client sign-off; manages hierarchy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Solution Architect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To-Be Design and Specs Generation.</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Lead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SOW Ingestion &amp; Understanding.</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Analyst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Context Enrichment.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Senior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Current-State Process Analysis.</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Automation Consultant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Automation Opportunity Assessment.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 Steering Committee (Viewer)</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into projects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Reporter / Read-Only / Auditor</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including the audit log.</w:t>
            </w:r>
          </w:p>
        </w:tc>
      </w:tr>
    </w:tbl>
    <w:p>
      <w:pPr>
        <w:pStyle w:val="Heading1"/>
      </w:pPr>
      <w:r>
        <w:rPr>
          <w:rFonts w:ascii="Times New Roman" w:cs="Times New Roman" w:eastAsia="Times New Roman" w:hAnsi="Times New Roman"/>
          <w:b/>
          <w:bCs/>
          <w:color w:val="E07B00"/>
          <w:sz w:val="34"/>
          <w:szCs w:val="34"/>
        </w:rPr>
        <w:t xml:space="preserve">5. Setting Up Your Consulting Practice — Clients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Client is the end customer whose engagement DynamicBA is running — it can have several engagements over time.</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Clients and click “+ Add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client’s name and industry.</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the client’s card to select it as the active Client in the top bar.</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Name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Meridian Retail Group</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Retail</w:t>
            </w:r>
          </w:p>
        </w:tc>
      </w:tr>
    </w:tbl>
    <w:p>
      <w:pPr>
        <w:pStyle w:val="Heading1"/>
      </w:pPr>
      <w:r>
        <w:rPr>
          <w:rFonts w:ascii="Times New Roman" w:cs="Times New Roman" w:eastAsia="Times New Roman" w:hAnsi="Times New Roman"/>
          <w:b/>
          <w:bCs/>
          <w:color w:val="E07B00"/>
          <w:sz w:val="34"/>
          <w:szCs w:val="34"/>
        </w:rPr>
        <w:t xml:space="preserve">6. Managing Engagements — Projects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Project is one scope-to-specs engagement for the active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With a Client selected, go to Projects and click “+ New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Give it a descriptive name, for example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“Open”, or select it in the top bar, to enter its Project Workspace.</w:t>
      </w:r>
    </w:p>
    <w:p>
      <w:pPr>
        <w:pStyle w:val="Heading1"/>
      </w:pPr>
      <w:r>
        <w:rPr>
          <w:rFonts w:ascii="Times New Roman" w:cs="Times New Roman" w:eastAsia="Times New Roman" w:hAnsi="Times New Roman"/>
          <w:b/>
          <w:bCs/>
          <w:color w:val="E07B00"/>
          <w:sz w:val="34"/>
          <w:szCs w:val="34"/>
        </w:rPr>
        <w:t xml:space="preserve">7. Step 1: Upload SOW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screen captures the signed Statement of Work and runs a pre-flight quality check. Fill in the five text fields — Objectives, Scope, Deliverables, Timeline, and Constraints — in as much concrete detail as you have, then add each known stakeholder with their role and influence level.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Click “Run Pre-Flight Quality Check”. DynamicBA computes a Completeness Score out of 100 from how fully each section is filled in and whether a client sponsor and a process owner have been identified. A score of 70 or above unlocks “Continue to Step 2”; below 70, DynamicBA lists clarifying questions for the sections that need more detail — send these to the client sponsor before proceeding.</w:t>
      </w:r>
    </w:p>
    <w:p>
      <w:pPr>
        <w:pStyle w:val="Heading2"/>
      </w:pPr>
      <w:r>
        <w:rPr>
          <w:rFonts w:ascii="Times New Roman" w:cs="Times New Roman" w:eastAsia="Times New Roman" w:hAnsi="Times New Roman"/>
          <w:b/>
          <w:bCs/>
          <w:color w:val="3A3A3C"/>
          <w:sz w:val="27"/>
          <w:szCs w:val="27"/>
        </w:rPr>
        <w:t xml:space="preserve">7.1 Field Reference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200"/>
        <w:gridCol w:w="2600"/>
        <w:gridCol w:w="3740"/>
      </w:tblGrid>
      <w:tr>
        <w:trPr>
          <w:tblHeader/>
        </w:trPr>
        <w:tc>
          <w:tcPr>
            <w:tcW w:type="dxa" w:w="32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Input Type</w:t>
            </w:r>
          </w:p>
        </w:tc>
        <w:tc>
          <w:tcPr>
            <w:tcW w:type="dxa" w:w="37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Notes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 Scope / Deliverables / Timeline / Constraints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Multi-line text</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Longer, more specific answers score higher on the completeness check.</w:t>
            </w:r>
          </w:p>
        </w:tc>
      </w:tr>
      <w:tr>
        <w:tc>
          <w:tcPr>
            <w:tcW w:type="dxa" w:w="3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Date picker</w:t>
            </w:r>
          </w:p>
        </w:tc>
        <w:tc>
          <w:tcPr>
            <w:tcW w:type="dxa" w:w="37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Defaults to today if left blank.</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Repeatable list (name, role, influence)</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Include at least one “Client Sponsor” and one “Process Owner” to satisfy the stakeholder-completeness rule.</w:t>
            </w:r>
          </w:p>
        </w:tc>
      </w:tr>
    </w:tbl>
    <w:p>
      <w:pPr>
        <w:pStyle w:val="Heading1"/>
      </w:pPr>
      <w:r>
        <w:rPr>
          <w:rFonts w:ascii="Times New Roman" w:cs="Times New Roman" w:eastAsia="Times New Roman" w:hAnsi="Times New Roman"/>
          <w:b/>
          <w:bCs/>
          <w:color w:val="E07B00"/>
          <w:sz w:val="34"/>
          <w:szCs w:val="34"/>
        </w:rPr>
        <w:t xml:space="preserve">8. Step 2: AI Generates Spec Package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is organized into five sub-tabs, one per internal macro process. You can move between them freely; DynamicBA requires only that at least one Automation Candidate exists before you can continue to Step 3.</w:t>
      </w:r>
    </w:p>
    <w:p>
      <w:pPr>
        <w:pStyle w:val="Heading2"/>
      </w:pPr>
      <w:r>
        <w:rPr>
          <w:rFonts w:ascii="Times New Roman" w:cs="Times New Roman" w:eastAsia="Times New Roman" w:hAnsi="Times New Roman"/>
          <w:b/>
          <w:bCs/>
          <w:color w:val="3A3A3C"/>
          <w:sz w:val="27"/>
          <w:szCs w:val="27"/>
        </w:rPr>
        <w:t xml:space="preserve">8.1 MP-02 — Context Enrichment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number of systems and processes identified so far and click “Build Context Knowledge Model” to compute a completeness score. Add each system to the System Landscape list.</w:t>
      </w:r>
    </w:p>
    <w:p>
      <w:pPr>
        <w:pStyle w:val="Heading2"/>
      </w:pPr>
      <w:r>
        <w:rPr>
          <w:rFonts w:ascii="Times New Roman" w:cs="Times New Roman" w:eastAsia="Times New Roman" w:hAnsi="Times New Roman"/>
          <w:b/>
          <w:bCs/>
          <w:color w:val="3A3A3C"/>
          <w:sz w:val="27"/>
          <w:szCs w:val="27"/>
        </w:rPr>
        <w:t xml:space="preserve">8.2 MP-03 — Current-State Analysis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transcript step count and the drafted map step count, plus the baseline cycle time and the industry benchmark, and click “Validate Map Against Transcript”. Add Pain Points (with a severity) and Baseline Metrics (a name, value, and unit) as you document them.</w:t>
      </w:r>
    </w:p>
    <w:p>
      <w:pPr>
        <w:pStyle w:val="Heading2"/>
      </w:pPr>
      <w:r>
        <w:rPr>
          <w:rFonts w:ascii="Times New Roman" w:cs="Times New Roman" w:eastAsia="Times New Roman" w:hAnsi="Times New Roman"/>
          <w:b/>
          <w:bCs/>
          <w:color w:val="3A3A3C"/>
          <w:sz w:val="27"/>
          <w:szCs w:val="27"/>
        </w:rPr>
        <w:t xml:space="preserve">8.3 MP-04 — Opportunity Assessment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each candidate, name it and set four 0–100 sliders — Technical Feasibility, Data Quality, Process Stability, and Strategic Fit — plus the estimated annual benefit and one-time cost in US dollars. DynamicBA computes a weighted Feasibility Score and an ROI payback period, and adds the candidate to the prioritization matrix.</w:t>
      </w:r>
    </w:p>
    <w:p>
      <w:pPr>
        <w:pStyle w:val="Heading2"/>
      </w:pPr>
      <w:r>
        <w:rPr>
          <w:rFonts w:ascii="Times New Roman" w:cs="Times New Roman" w:eastAsia="Times New Roman" w:hAnsi="Times New Roman"/>
          <w:b/>
          <w:bCs/>
          <w:color w:val="3A3A3C"/>
          <w:sz w:val="27"/>
          <w:szCs w:val="27"/>
        </w:rPr>
        <w:t xml:space="preserve">8.4 MP-05 — To-Be Design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Mark the future-state process map Approved once designed. Add Use Cases, Integration Points, Exception Flows (flagging whether a step is AI-assisted and whether it touches sensitive data), Control Specs (Preventive or Detective, and whether linked to a financial action), and Risks/Opportunities.</w:t>
      </w:r>
    </w:p>
    <w:p>
      <w:pPr>
        <w:pStyle w:val="Heading2"/>
      </w:pPr>
      <w:r>
        <w:rPr>
          <w:rFonts w:ascii="Times New Roman" w:cs="Times New Roman" w:eastAsia="Times New Roman" w:hAnsi="Times New Roman"/>
          <w:b/>
          <w:bCs/>
          <w:color w:val="3A3A3C"/>
          <w:sz w:val="27"/>
          <w:szCs w:val="27"/>
        </w:rPr>
        <w:t xml:space="preserve">8.5 MP-06 — Specs Generation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Add Business Rule Specs, KPI Specs (choosing the data source object class the KPI reads from), Alert Specs, Report Specs, and Traceability Links (with a coverage percentage and a source paragraph reference).</w:t>
      </w:r>
    </w:p>
    <w:p>
      <w:pPr>
        <w:pStyle w:val="Heading1"/>
      </w:pPr>
      <w:r>
        <w:rPr>
          <w:rFonts w:ascii="Times New Roman" w:cs="Times New Roman" w:eastAsia="Times New Roman" w:hAnsi="Times New Roman"/>
          <w:b/>
          <w:bCs/>
          <w:color w:val="E07B00"/>
          <w:sz w:val="34"/>
          <w:szCs w:val="34"/>
        </w:rPr>
        <w:t xml:space="preserve">9. Step 3: Review &amp; Validate</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“Compile Package for Review” once the SOW and Step 2 artifacts look complete — this also starts the sign-off SLA clock.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auto-generated Executive Summary, which counts your captured candidates, use cases, business rule specs, KPI specs, and traceability links.</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“I have presented the spec package…”, type the client sponsor’s full name as their e-signature, and click “Capture Client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Use “Check SLA Now” at any time to see how many business days have elapsed since the package was compiled — more than five raises an SLA alert to the Delivery Lead.</w:t>
      </w:r>
    </w:p>
    <w:p>
      <w:pPr>
        <w:pStyle w:val="Heading1"/>
      </w:pPr>
      <w:r>
        <w:rPr>
          <w:rFonts w:ascii="Times New Roman" w:cs="Times New Roman" w:eastAsia="Times New Roman" w:hAnsi="Times New Roman"/>
          <w:b/>
          <w:bCs/>
          <w:color w:val="E07B00"/>
          <w:sz w:val="34"/>
          <w:szCs w:val="34"/>
        </w:rPr>
        <w:t xml:space="preserve">10. Step 4: Export &amp; Handoff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an export format — Word, Excel, or PDF generate a real file in your browser immediately; Visio, Jira, and Azure DevOps are represented as a JSON export for manual import into those tools.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“Export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each Development Backlog Item with a priority.</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consultant hours saved on the engagement and click “Mark Engagement Complete”.</w:t>
      </w:r>
    </w:p>
    <w:p>
      <w:pPr>
        <w:pStyle w:val="Heading1"/>
      </w:pPr>
      <w:r>
        <w:rPr>
          <w:rFonts w:ascii="Times New Roman" w:cs="Times New Roman" w:eastAsia="Times New Roman" w:hAnsi="Times New Roman"/>
          <w:b/>
          <w:bCs/>
          <w:color w:val="E07B00"/>
          <w:sz w:val="34"/>
          <w:szCs w:val="34"/>
        </w:rPr>
        <w:t xml:space="preserve">11. Project Artifacts, Governance, Reports, and AI Use Cases</w:t>
      </w:r>
    </w:p>
    <w:p>
      <w:pPr>
        <w:pStyle w:val="Heading2"/>
      </w:pPr>
      <w:r>
        <w:rPr>
          <w:rFonts w:ascii="Times New Roman" w:cs="Times New Roman" w:eastAsia="Times New Roman" w:hAnsi="Times New Roman"/>
          <w:b/>
          <w:bCs/>
          <w:color w:val="3A3A3C"/>
          <w:sz w:val="27"/>
          <w:szCs w:val="27"/>
        </w:rPr>
        <w:t xml:space="preserve">11.1 Project Artifacts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 Artifacts tab inside a Project Workspace is a complete, searchable browser across all 32 of DynamicBA’s underlying record types — from the SOW itself to the final Client Sign-Off. Anything the wizard created can be reviewed or corrected here, and any record type not surfaced directly in the wizard (for example, the SME Interview or System Landscape records) can be added here as well.</w:t>
      </w:r>
    </w:p>
    <w:p>
      <w:pPr>
        <w:pStyle w:val="Heading2"/>
      </w:pPr>
      <w:r>
        <w:rPr>
          <w:rFonts w:ascii="Times New Roman" w:cs="Times New Roman" w:eastAsia="Times New Roman" w:hAnsi="Times New Roman"/>
          <w:b/>
          <w:bCs/>
          <w:color w:val="3A3A3C"/>
          <w:sz w:val="27"/>
          <w:szCs w:val="27"/>
        </w:rPr>
        <w:t xml:space="preserve">11.2 Governance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Governance page is a platform-wide reference for DynamicBA’s own Business Rules, Controls, Risks, KPIs, and Alerts — the same logic the rule engine applies to your projects. Instances actually raised on a specific engagement appear on that Project’s own Alerts tab.</w:t>
      </w:r>
    </w:p>
    <w:p>
      <w:pPr>
        <w:pStyle w:val="Heading2"/>
      </w:pPr>
      <w:r>
        <w:rPr>
          <w:rFonts w:ascii="Times New Roman" w:cs="Times New Roman" w:eastAsia="Times New Roman" w:hAnsi="Times New Roman"/>
          <w:b/>
          <w:bCs/>
          <w:color w:val="3A3A3C"/>
          <w:sz w:val="27"/>
          <w:szCs w:val="27"/>
        </w:rPr>
        <w:t xml:space="preserve">11.3 Reports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Reports page lists DynamicBA’s eight standard cockpits. Select a Project in the top bar to see live values computed from its data, and use “Export KPI Summary” to download the full KPI catalogue with live values as an Excel file.</w:t>
      </w:r>
    </w:p>
    <w:p>
      <w:pPr>
        <w:pStyle w:val="Heading2"/>
      </w:pPr>
      <w:r>
        <w:rPr>
          <w:rFonts w:ascii="Times New Roman" w:cs="Times New Roman" w:eastAsia="Times New Roman" w:hAnsi="Times New Roman"/>
          <w:b/>
          <w:bCs/>
          <w:color w:val="3A3A3C"/>
          <w:sz w:val="27"/>
          <w:szCs w:val="27"/>
        </w:rPr>
        <w:t xml:space="preserve">11.4 AI Use Cases and the AI Assistant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AI Use Cases page lists all sixteen governed use cases DynamicBA ships with, each tiered Assistive or Augmented and never Autonomous, with its required human checkpoint stated plainly. An Organization Admin can turn a use case off Organization-wide, or override it per Project. The floating AI Assistant (top-right of every screen) answers both data questions (“how many projects do we have?”) and application-help questions (“how do I upload a SOW?”).</w:t>
      </w:r>
    </w:p>
    <w:p>
      <w:pPr>
        <w:pStyle w:val="Heading1"/>
      </w:pPr>
      <w:r>
        <w:rPr>
          <w:rFonts w:ascii="Times New Roman" w:cs="Times New Roman" w:eastAsia="Times New Roman" w:hAnsi="Times New Roman"/>
          <w:b/>
          <w:bCs/>
          <w:color w:val="E07B00"/>
          <w:sz w:val="34"/>
          <w:szCs w:val="34"/>
        </w:rPr>
        <w:t xml:space="preserve">12. Admin</w:t>
      </w:r>
    </w:p>
    <w:p>
      <w:pPr>
        <w:pStyle w:val="Heading2"/>
      </w:pPr>
      <w:r>
        <w:rPr>
          <w:rFonts w:ascii="Times New Roman" w:cs="Times New Roman" w:eastAsia="Times New Roman" w:hAnsi="Times New Roman"/>
          <w:b/>
          <w:bCs/>
          <w:color w:val="3A3A3C"/>
          <w:sz w:val="27"/>
          <w:szCs w:val="27"/>
        </w:rPr>
        <w:t xml:space="preserve">12.1 Organization Settings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Organization ID (share this with teammates joining your firm), name, sector, country, and member count.</w:t>
      </w:r>
    </w:p>
    <w:p>
      <w:pPr>
        <w:pStyle w:val="Heading2"/>
      </w:pPr>
      <w:r>
        <w:rPr>
          <w:rFonts w:ascii="Times New Roman" w:cs="Times New Roman" w:eastAsia="Times New Roman" w:hAnsi="Times New Roman"/>
          <w:b/>
          <w:bCs/>
          <w:color w:val="3A3A3C"/>
          <w:sz w:val="27"/>
          <w:szCs w:val="27"/>
        </w:rPr>
        <w:t xml:space="preserve">12.2 Users &amp; Roles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Assign one or more roles to each user in your Organization.</w:t>
      </w:r>
    </w:p>
    <w:p>
      <w:pPr>
        <w:pStyle w:val="Heading2"/>
      </w:pPr>
      <w:r>
        <w:rPr>
          <w:rFonts w:ascii="Times New Roman" w:cs="Times New Roman" w:eastAsia="Times New Roman" w:hAnsi="Times New Roman"/>
          <w:b/>
          <w:bCs/>
          <w:color w:val="3A3A3C"/>
          <w:sz w:val="27"/>
          <w:szCs w:val="27"/>
        </w:rPr>
        <w:t xml:space="preserve">12.3 Permission Matrix</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role-by-capability grid. Every checkbox is editable in place by an Organization Admin and takes effect immediately — no restart or redeploy required.</w:t>
      </w:r>
    </w:p>
    <w:p>
      <w:pPr>
        <w:pStyle w:val="Heading2"/>
      </w:pPr>
      <w:r>
        <w:rPr>
          <w:rFonts w:ascii="Times New Roman" w:cs="Times New Roman" w:eastAsia="Times New Roman" w:hAnsi="Times New Roman"/>
          <w:b/>
          <w:bCs/>
          <w:color w:val="3A3A3C"/>
          <w:sz w:val="27"/>
          <w:szCs w:val="27"/>
        </w:rPr>
        <w:t xml:space="preserve">12.4 Licensing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current plan, seats used, and entitled modules, and lets an Organization Admin change plans directly (a demo simplification explained in the Installation Guide).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Plan</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Included Modules</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 Ingestion Module only (MP-01) — 20 SOWs / month.</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plus Context Enrichment, Process Discovery, and Opportunity Assessment (MP-02–MP-04) — 15 / month each.</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plus To-Be Design, Specs Generation, and Validation &amp; Handoff (MP-05–MP-07) — the full pipeline, unlimited within the contracted project cap.</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Pay-Per-Project</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full pipeline (MP-01–MP-07) licensed per single engagement rather than by subscription.</w:t>
            </w:r>
          </w:p>
        </w:tc>
      </w:tr>
    </w:tbl>
    <w:p>
      <w:pPr>
        <w:pStyle w:val="Heading2"/>
      </w:pPr>
      <w:r>
        <w:rPr>
          <w:rFonts w:ascii="Times New Roman" w:cs="Times New Roman" w:eastAsia="Times New Roman" w:hAnsi="Times New Roman"/>
          <w:b/>
          <w:bCs/>
          <w:color w:val="3A3A3C"/>
          <w:sz w:val="27"/>
          <w:szCs w:val="27"/>
        </w:rPr>
        <w:t xml:space="preserve">12.5 Compliance Standards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Toggle GDPR, ISO/IEC 27001, or SOC 2 scaffolding on for your Organization. Activating a standard seeds a starting set of Controls tagged to it — it is not itself a certification or an external audit.</w:t>
      </w:r>
    </w:p>
    <w:p>
      <w:pPr>
        <w:pStyle w:val="Heading2"/>
      </w:pPr>
      <w:r>
        <w:rPr>
          <w:rFonts w:ascii="Times New Roman" w:cs="Times New Roman" w:eastAsia="Times New Roman" w:hAnsi="Times New Roman"/>
          <w:b/>
          <w:bCs/>
          <w:color w:val="3A3A3C"/>
          <w:sz w:val="27"/>
          <w:szCs w:val="27"/>
        </w:rPr>
        <w:t xml:space="preserve">12.6 Audit 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read-only, append-only record of every governed change made in your Organization.</w:t>
      </w:r>
    </w:p>
    <w:p>
      <w:pPr>
        <w:pStyle w:val="Heading2"/>
      </w:pPr>
      <w:r>
        <w:rPr>
          <w:rFonts w:ascii="Times New Roman" w:cs="Times New Roman" w:eastAsia="Times New Roman" w:hAnsi="Times New Roman"/>
          <w:b/>
          <w:bCs/>
          <w:color w:val="3A3A3C"/>
          <w:sz w:val="27"/>
          <w:szCs w:val="27"/>
        </w:rPr>
        <w:t xml:space="preserve">12.7 Demo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one-click button that seeds five demo Clients and ten example engagement Projects at different wizard stages — see Section 13 for a walkthrough of several of them.</w:t>
      </w:r>
    </w:p>
    <w:p>
      <w:pPr>
        <w:pStyle w:val="Heading1"/>
      </w:pPr>
      <w:r>
        <w:rPr>
          <w:rFonts w:ascii="Times New Roman" w:cs="Times New Roman" w:eastAsia="Times New Roman" w:hAnsi="Times New Roman"/>
          <w:b/>
          <w:bCs/>
          <w:color w:val="E07B00"/>
          <w:sz w:val="34"/>
          <w:szCs w:val="34"/>
        </w:rPr>
        <w:t xml:space="preserve">13. Usage Scenarios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below are complete, realistic walkthroughs covering DynamicBA’s different input types — free text, sliders, dropdowns, checkboxes, dates, and structured lists — across the industries DynamicBA’s own accelerator patterns name: retail, healthcare, manufacturing, finance, and telecom. Every scenario below is also pre-loaded for you by Admin → Demo Data — use these tables to recreate a step by hand, or to understand what you are looking at in the seeded example.</w:t>
      </w:r>
    </w:p>
    <w:p>
      <w:pPr>
        <w:pStyle w:val="Heading3"/>
      </w:pPr>
      <w:r>
        <w:rPr>
          <w:rFonts w:ascii="Times New Roman" w:cs="Times New Roman" w:eastAsia="Times New Roman" w:hAnsi="Times New Roman"/>
          <w:b/>
          <w:bCs/>
          <w:color w:val="E07B00"/>
          <w:sz w:val="24"/>
          <w:szCs w:val="24"/>
        </w:rPr>
        <w:t xml:space="preserve">13.1 Golden-Path Engagement, Start to Finish (Retail)</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 then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Run one engagement through all four steps to a signed-off, exported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“Meridian Retail Group” (Industry: Retail).</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Project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the SOW fields below and add three stakeholders; run the pre-flight check (expect a score at or above 70).</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 add two Automation Candidates using the slider values below.</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3, compile the package, review the executive summary, and capture sign-off with a typed sponsor name.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4, export to Word and mark the engagement complete with 62 hours saved.</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order-to-cash cycle time and manual invoice touchpoints across all regional distribution centers.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Order capture, invoicing, and accounts receivable for the North American retail division.</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Q1, specification handoff within 10 weeks.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integrate with the existing SAP ERP without a version upgrade; budget capped at $180,000.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Dana Whitfield — Client Sponsor — High influence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Priya Nandakumar — Process Owner — High influence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A sliders</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85, Data Quality 80, Process Stability 75, Strategic Fit 80; Benefit $120,000 / Cost $60,000</w:t>
            </w:r>
          </w:p>
        </w:tc>
      </w:tr>
    </w:tbl>
    <w:p>
      <w:pPr>
        <w:spacing w:after="200"/>
      </w:pPr>
    </w:p>
    <w:p>
      <w:pPr>
        <w:pStyle w:val="Heading3"/>
      </w:pPr>
      <w:r>
        <w:rPr>
          <w:rFonts w:ascii="Times New Roman" w:cs="Times New Roman" w:eastAsia="Times New Roman" w:hAnsi="Times New Roman"/>
          <w:b/>
          <w:bCs/>
          <w:color w:val="E07B00"/>
          <w:sz w:val="24"/>
          <w:szCs w:val="24"/>
        </w:rPr>
        <w:t xml:space="preserve">13.2 Vague SOW Clarification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how DynamicBA handles an under-specified SOW and generates clarifying questions instead of proceeding blind.</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“Ferrovia Financial Services” (Industry: Finance) and Project “Vague-Scope Fraud Ops Assessment”.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only the Objectives field, left deliberately short and vague, and leave Scope, Timeline, and Constraints blank.</w:t>
      </w:r>
    </w:p>
    <w:p>
      <w:pPr>
        <w:pStyle w:val="ListParagraph"/>
        <w:numPr>
          <w:ilvl w:val="0"/>
          <w:numId w:val="3"/>
        </w:numPr>
        <w:spacing w:after="100"/>
      </w:pPr>
      <w:r>
        <w:rPr>
          <w:rFonts w:ascii="Times New Roman" w:cs="Times New Roman" w:eastAsia="Times New Roman" w:hAnsi="Times New Roman"/>
          <w:color w:val="58595B"/>
          <w:sz w:val="24"/>
          <w:szCs w:val="24"/>
        </w:rPr>
        <w:t xml:space="preserve">Run the pre-flight quality check.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generated clarifying questions and note that “Continue to Step 2” stays disabled until the score reaches 70.</w:t>
      </w:r>
    </w:p>
    <w:p>
      <w:pPr>
        <w:pStyle w:val="ListParagraph"/>
        <w:numPr>
          <w:ilvl w:val="0"/>
          <w:numId w:val="3"/>
        </w:numPr>
        <w:spacing w:after="100"/>
      </w:pPr>
      <w:r>
        <w:rPr>
          <w:rFonts w:ascii="Times New Roman" w:cs="Times New Roman" w:eastAsia="Times New Roman" w:hAnsi="Times New Roman"/>
          <w:color w:val="58595B"/>
          <w:sz w:val="24"/>
          <w:szCs w:val="24"/>
        </w:rPr>
        <w:t xml:space="preserve">Revise the SOW fields with real detail and re-run the check to unlock Step 2.</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(deliberately vague)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“Look at fraud stuff.”</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Completeness score well below 70; rule BR-02 fires, generating one clarifying question per under-specified section.</w:t>
            </w:r>
          </w:p>
        </w:tc>
      </w:tr>
    </w:tbl>
    <w:p>
      <w:pPr>
        <w:spacing w:after="200"/>
      </w:pPr>
    </w:p>
    <w:p>
      <w:pPr>
        <w:pStyle w:val="Heading3"/>
      </w:pPr>
      <w:r>
        <w:rPr>
          <w:rFonts w:ascii="Times New Roman" w:cs="Times New Roman" w:eastAsia="Times New Roman" w:hAnsi="Times New Roman"/>
          <w:b/>
          <w:bCs/>
          <w:color w:val="E07B00"/>
          <w:sz w:val="24"/>
          <w:szCs w:val="24"/>
        </w:rPr>
        <w:t xml:space="preserve">13.3 Sensitive Data Requiring a Human Checkpoint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how an AI-assisted step touching personal data is automatically forced to keep a human in the loop.</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the “Northgate Health Systems” client’s “Patient Intake Digitization” project (or create an equivalent).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an Exception Flow.</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both “AI-Assisted step” and “Handles sensitive data”.</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alert raised (rule BR-09) and the resulting record’s Human_Checkpoint_Required field set to true.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Handles sensitive data</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BR-09 fires; a Critical alert routes from Solution Architect to the Compliance Team; a mandatory human checkpoint is recorded.</w:t>
            </w:r>
          </w:p>
        </w:tc>
      </w:tr>
    </w:tbl>
    <w:p>
      <w:pPr>
        <w:spacing w:after="200"/>
      </w:pPr>
    </w:p>
    <w:p>
      <w:pPr>
        <w:pStyle w:val="Heading3"/>
      </w:pPr>
      <w:r>
        <w:rPr>
          <w:rFonts w:ascii="Times New Roman" w:cs="Times New Roman" w:eastAsia="Times New Roman" w:hAnsi="Times New Roman"/>
          <w:b/>
          <w:bCs/>
          <w:color w:val="E07B00"/>
          <w:sz w:val="24"/>
          <w:szCs w:val="24"/>
        </w:rPr>
        <w:t xml:space="preserve">13.4 Financial Control Requiring Segregation of Duties (Manufacturing)</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Demonstrate the preventive-control rule that applies whenever a control is linked to a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“Atlas Manufacturing Corp”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 Control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Type: Preventive and tick “Linked to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alert (rule BR-10).</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Preventive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Linked to financial action</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BR-10 fires and a segregation-of-duties check is attached to the control.</w:t>
            </w:r>
          </w:p>
        </w:tc>
      </w:tr>
    </w:tbl>
    <w:p>
      <w:pPr>
        <w:spacing w:after="200"/>
      </w:pPr>
    </w:p>
    <w:p>
      <w:pPr>
        <w:pStyle w:val="Heading3"/>
      </w:pPr>
      <w:r>
        <w:rPr>
          <w:rFonts w:ascii="Times New Roman" w:cs="Times New Roman" w:eastAsia="Times New Roman" w:hAnsi="Times New Roman"/>
          <w:b/>
          <w:bCs/>
          <w:color w:val="E07B00"/>
          <w:sz w:val="24"/>
          <w:szCs w:val="24"/>
        </w:rPr>
        <w:t xml:space="preserve">13.5 High-Feasibility Candidate Auto-Promoted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strong automation candidate automatically promoted to the prioritization matrix.</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Opportunity Assessment tab, add a candidate named “Sanctions-list screening bot”.</w:t>
      </w:r>
    </w:p>
    <w:p>
      <w:pPr>
        <w:pStyle w:val="ListParagraph"/>
        <w:numPr>
          <w:ilvl w:val="0"/>
          <w:numId w:val="3"/>
        </w:numPr>
        <w:spacing w:after="100"/>
      </w:pPr>
      <w:r>
        <w:rPr>
          <w:rFonts w:ascii="Times New Roman" w:cs="Times New Roman" w:eastAsia="Times New Roman" w:hAnsi="Times New Roman"/>
          <w:color w:val="58595B"/>
          <w:sz w:val="24"/>
          <w:szCs w:val="24"/>
        </w:rPr>
        <w:t xml:space="preserve">Set all four sliders to 85 or above and enter a healthy annual benefit relative to cost.</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Feasibility Score and the alert confirming promotion.</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Sliders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92, Data Quality 88, Process Stability 85, Strategic Fit 88</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$160,000 / $80,000</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Feasibility Score ≥ 80 → rule BR-07 fires, promoting the candidate to the prioritization matrix.</w:t>
            </w:r>
          </w:p>
        </w:tc>
      </w:tr>
    </w:tbl>
    <w:p>
      <w:pPr>
        <w:spacing w:after="200"/>
      </w:pPr>
    </w:p>
    <w:p>
      <w:pPr>
        <w:pStyle w:val="Heading3"/>
      </w:pPr>
      <w:r>
        <w:rPr>
          <w:rFonts w:ascii="Times New Roman" w:cs="Times New Roman" w:eastAsia="Times New Roman" w:hAnsi="Times New Roman"/>
          <w:b/>
          <w:bCs/>
          <w:color w:val="E07B00"/>
          <w:sz w:val="24"/>
          <w:szCs w:val="24"/>
        </w:rPr>
        <w:t xml:space="preserve">13.6 Low-ROI Candidate Auto-Deprioritized</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weak-payback candidate automatically pushed to the strategic backlog instead of cluttering the near-term plan.</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a candidate with a small annual benefit relative to its one-time cost, for example Benefit $20,000 / Cost $60,000.</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computed payback period and the resulting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$20,000 / $60,000 (payback ≈ 36 months)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Payback exceeds 18 months → rule BR-08 fires, deprioritizing the candidate to the strategic backlog.</w:t>
            </w:r>
          </w:p>
        </w:tc>
      </w:tr>
    </w:tbl>
    <w:p>
      <w:pPr>
        <w:spacing w:after="200"/>
      </w:pPr>
    </w:p>
    <w:p>
      <w:pPr>
        <w:pStyle w:val="Heading3"/>
      </w:pPr>
      <w:r>
        <w:rPr>
          <w:rFonts w:ascii="Times New Roman" w:cs="Times New Roman" w:eastAsia="Times New Roman" w:hAnsi="Times New Roman"/>
          <w:b/>
          <w:bCs/>
          <w:color w:val="E07B00"/>
          <w:sz w:val="24"/>
          <w:szCs w:val="24"/>
        </w:rPr>
        <w:t xml:space="preserve">13.7 KPI Spec With an Invalid Data Source (Telecom)</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the validation that catches a KPI pointed at a data source outside DynamicBA’s canonical data model.</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Specs Generation tab, add a KPI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 Data Source from the dropdown that does not correspond to the KPI you intend to measure — for example, selecting “SME_Interview” for a KPI meant to measure automation candidates.</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validation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&gt;= 25% reduction in fault mean-time-to-resolution</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Source (deliberately mismatched)</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SME_Interview</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BR-12 fires if the chosen data source does not resolve to the approved Information Class Model for this KPI.</w:t>
            </w:r>
          </w:p>
        </w:tc>
      </w:tr>
    </w:tbl>
    <w:p>
      <w:pPr>
        <w:spacing w:after="200"/>
      </w:pPr>
    </w:p>
    <w:p>
      <w:pPr>
        <w:pStyle w:val="Heading3"/>
      </w:pPr>
      <w:r>
        <w:rPr>
          <w:rFonts w:ascii="Times New Roman" w:cs="Times New Roman" w:eastAsia="Times New Roman" w:hAnsi="Times New Roman"/>
          <w:b/>
          <w:bCs/>
          <w:color w:val="E07B00"/>
          <w:sz w:val="24"/>
          <w:szCs w:val="24"/>
        </w:rPr>
        <w:t xml:space="preserve">13.8 Sign-Off SLA Breach</w:t>
      </w:r>
    </w:p>
    <w:p>
      <w:pPr>
        <w:spacing w:after="160" w:line="276"/>
        <w:jc w:val="both"/>
      </w:pPr>
      <w:r>
        <w:rPr>
          <w:rFonts w:ascii="Times New Roman" w:cs="Times New Roman" w:eastAsia="Times New Roman" w:hAnsi="Times New Roman"/>
          <w:b w:val="false"/>
          <w:bCs w:val="false"/>
          <w:i/>
          <w:iCs/>
          <w:color w:val="58595B"/>
          <w:sz w:val="24"/>
          <w:szCs w:val="24"/>
        </w:rPr>
        <w:t xml:space="preserve">Persona: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how DynamicBA flags a client sign-off that is taking too long.</w:t>
      </w:r>
    </w:p>
    <w:p>
      <w:pPr>
        <w:pStyle w:val="ListParagraph"/>
        <w:numPr>
          <w:ilvl w:val="0"/>
          <w:numId w:val="3"/>
        </w:numPr>
        <w:spacing w:after="100"/>
      </w:pPr>
      <w:r>
        <w:rPr>
          <w:rFonts w:ascii="Times New Roman" w:cs="Times New Roman" w:eastAsia="Times New Roman" w:hAnsi="Times New Roman"/>
          <w:color w:val="58595B"/>
          <w:sz w:val="24"/>
          <w:szCs w:val="24"/>
        </w:rPr>
        <w:t xml:space="preserve">Compile the spec package in Step 3 and note the delivery timestamp recorded.</w:t>
      </w:r>
    </w:p>
    <w:p>
      <w:pPr>
        <w:pStyle w:val="ListParagraph"/>
        <w:numPr>
          <w:ilvl w:val="0"/>
          <w:numId w:val="3"/>
        </w:numPr>
        <w:spacing w:after="100"/>
      </w:pPr>
      <w:r>
        <w:rPr>
          <w:rFonts w:ascii="Times New Roman" w:cs="Times New Roman" w:eastAsia="Times New Roman" w:hAnsi="Times New Roman"/>
          <w:color w:val="58595B"/>
          <w:sz w:val="24"/>
          <w:szCs w:val="24"/>
        </w:rPr>
        <w:t xml:space="preserve">Wait (or, for testing, seed a project via Admin → Demo Data, which includes an example already past the SLA) more than five business days without capturing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“Check SLA Now”.</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SLA</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business days from package delivery to sign-off (Control CTRL-10)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BR-13 fires once the SLA is exceeded, escalating from Delivery Lead to Project Sponsor.</w:t>
            </w:r>
          </w:p>
        </w:tc>
      </w:tr>
    </w:tbl>
    <w:p>
      <w:pPr>
        <w:spacing w:after="200"/>
      </w:pPr>
    </w:p>
    <w:p>
      <w:pPr>
        <w:pStyle w:val="Heading3"/>
      </w:pPr>
      <w:r>
        <w:rPr>
          <w:rFonts w:ascii="Times New Roman" w:cs="Times New Roman" w:eastAsia="Times New Roman" w:hAnsi="Times New Roman"/>
          <w:b/>
          <w:bCs/>
          <w:color w:val="E07B00"/>
          <w:sz w:val="24"/>
          <w:szCs w:val="24"/>
        </w:rPr>
        <w:t xml:space="preserve">13.9 Upgrading a Plan After Hitting a Module Lock</w:t>
      </w:r>
    </w:p>
    <w:p>
      <w:pPr>
        <w:spacing w:after="160" w:line="276"/>
        <w:jc w:val="both"/>
      </w:pPr>
      <w:r>
        <w:rPr>
          <w:rFonts w:ascii="Times New Roman" w:cs="Times New Roman" w:eastAsia="Times New Roman" w:hAnsi="Times New Roman"/>
          <w:b w:val="false"/>
          <w:bCs w:val="false"/>
          <w:i/>
          <w:iCs/>
          <w:color w:val="58595B"/>
          <w:sz w:val="24"/>
          <w:szCs w:val="24"/>
        </w:rPr>
        <w:t xml:space="preserve">Persona: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what a locked module looks like and how to unlock it.</w:t>
      </w:r>
    </w:p>
    <w:p>
      <w:pPr>
        <w:pStyle w:val="ListParagraph"/>
        <w:numPr>
          <w:ilvl w:val="0"/>
          <w:numId w:val="3"/>
        </w:numPr>
        <w:spacing w:after="100"/>
      </w:pPr>
      <w:r>
        <w:rPr>
          <w:rFonts w:ascii="Times New Roman" w:cs="Times New Roman" w:eastAsia="Times New Roman" w:hAnsi="Times New Roman"/>
          <w:color w:val="58595B"/>
          <w:sz w:val="24"/>
          <w:szCs w:val="24"/>
        </w:rPr>
        <w:t xml:space="preserve">While on the Starter plan, open a Project and go to Step 2.</w:t>
      </w:r>
    </w:p>
    <w:p>
      <w:pPr>
        <w:pStyle w:val="ListParagraph"/>
        <w:numPr>
          <w:ilvl w:val="0"/>
          <w:numId w:val="3"/>
        </w:numPr>
        <w:spacing w:after="100"/>
      </w:pPr>
      <w:r>
        <w:rPr>
          <w:rFonts w:ascii="Times New Roman" w:cs="Times New Roman" w:eastAsia="Times New Roman" w:hAnsi="Times New Roman"/>
          <w:color w:val="58595B"/>
          <w:sz w:val="24"/>
          <w:szCs w:val="24"/>
        </w:rPr>
        <w:t xml:space="preserve">Note the padlock icon next to the Context Enrichment, Current-State Analysis, and Opportunity Assessment tabs.</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Admin → Licensing and click “Professional”.</w:t>
      </w:r>
    </w:p>
    <w:p>
      <w:pPr>
        <w:pStyle w:val="ListParagraph"/>
        <w:numPr>
          <w:ilvl w:val="0"/>
          <w:numId w:val="3"/>
        </w:numPr>
        <w:spacing w:after="100"/>
      </w:pPr>
      <w:r>
        <w:rPr>
          <w:rFonts w:ascii="Times New Roman" w:cs="Times New Roman" w:eastAsia="Times New Roman" w:hAnsi="Times New Roman"/>
          <w:color w:val="58595B"/>
          <w:sz w:val="24"/>
          <w:szCs w:val="24"/>
        </w:rPr>
        <w:t xml:space="preserve">Return to Step 2 and confirm the padlocks are gone.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Before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Starter — only MOD-01 (SOW Ingestion) entitled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After</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Professional — MOD-01–MOD-04 entitled</w:t>
            </w:r>
          </w:p>
        </w:tc>
      </w:tr>
    </w:tbl>
    <w:p>
      <w:pPr>
        <w:spacing w:after="200"/>
      </w:pPr>
    </w:p>
    <w:p>
      <w:pPr>
        <w:pStyle w:val="Heading3"/>
      </w:pPr>
      <w:r>
        <w:rPr>
          <w:rFonts w:ascii="Times New Roman" w:cs="Times New Roman" w:eastAsia="Times New Roman" w:hAnsi="Times New Roman"/>
          <w:b/>
          <w:bCs/>
          <w:color w:val="E07B00"/>
          <w:sz w:val="24"/>
          <w:szCs w:val="24"/>
        </w:rPr>
        <w:t xml:space="preserve">13.10 A New Teammate Hits the Seat Limit</w:t>
      </w:r>
    </w:p>
    <w:p>
      <w:pPr>
        <w:spacing w:after="160" w:line="276"/>
        <w:jc w:val="both"/>
      </w:pPr>
      <w:r>
        <w:rPr>
          <w:rFonts w:ascii="Times New Roman" w:cs="Times New Roman" w:eastAsia="Times New Roman" w:hAnsi="Times New Roman"/>
          <w:b w:val="false"/>
          <w:bCs w:val="false"/>
          <w:i/>
          <w:iCs/>
          <w:color w:val="58595B"/>
          <w:sz w:val="24"/>
          <w:szCs w:val="24"/>
        </w:rPr>
        <w:t xml:space="preserve">Persona: Prospective team member, then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the licence-seat enforcement a new sign-up runs into, and how an admin resolves it.</w:t>
      </w:r>
    </w:p>
    <w:p>
      <w:pPr>
        <w:pStyle w:val="ListParagraph"/>
        <w:numPr>
          <w:ilvl w:val="0"/>
          <w:numId w:val="3"/>
        </w:numPr>
        <w:spacing w:after="100"/>
      </w:pPr>
      <w:r>
        <w:rPr>
          <w:rFonts w:ascii="Times New Roman" w:cs="Times New Roman" w:eastAsia="Times New Roman" w:hAnsi="Times New Roman"/>
          <w:color w:val="58595B"/>
          <w:sz w:val="24"/>
          <w:szCs w:val="24"/>
        </w:rPr>
        <w:t xml:space="preserve">A prospective teammate chooses “Join an existing Organization” and enters your Organization ID.</w:t>
      </w:r>
    </w:p>
    <w:p>
      <w:pPr>
        <w:pStyle w:val="ListParagraph"/>
        <w:numPr>
          <w:ilvl w:val="0"/>
          <w:numId w:val="3"/>
        </w:numPr>
        <w:spacing w:after="100"/>
      </w:pPr>
      <w:r>
        <w:rPr>
          <w:rFonts w:ascii="Times New Roman" w:cs="Times New Roman" w:eastAsia="Times New Roman" w:hAnsi="Times New Roman"/>
          <w:color w:val="58595B"/>
          <w:sz w:val="24"/>
          <w:szCs w:val="24"/>
        </w:rPr>
        <w:t xml:space="preserve">If your Organization is already at its plan’s seat limit, the join attempt is rejected with a clear message naming the current usage.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An Organization Admin goes to Admin → Licensing and selects a higher plan (or removes an inactive user’s role access).</w:t>
      </w:r>
    </w:p>
    <w:p>
      <w:pPr>
        <w:pStyle w:val="ListParagraph"/>
        <w:numPr>
          <w:ilvl w:val="0"/>
          <w:numId w:val="3"/>
        </w:numPr>
        <w:spacing w:after="100"/>
      </w:pPr>
      <w:r>
        <w:rPr>
          <w:rFonts w:ascii="Times New Roman" w:cs="Times New Roman" w:eastAsia="Times New Roman" w:hAnsi="Times New Roman"/>
          <w:color w:val="58595B"/>
          <w:sz w:val="24"/>
          <w:szCs w:val="24"/>
        </w:rPr>
        <w:t xml:space="preserve">The teammate retries joining and succeeds.</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users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seat limit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 users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100 users</w:t>
            </w:r>
          </w:p>
        </w:tc>
      </w:tr>
    </w:tbl>
    <w:p>
      <w:pPr>
        <w:spacing w:after="200"/>
      </w:pPr>
    </w:p>
    <w:p>
      <w:pPr>
        <w:pStyle w:val="Heading1"/>
      </w:pPr>
      <w:r>
        <w:rPr>
          <w:rFonts w:ascii="Times New Roman" w:cs="Times New Roman" w:eastAsia="Times New Roman" w:hAnsi="Times New Roman"/>
          <w:b/>
          <w:bCs/>
          <w:color w:val="E07B00"/>
          <w:sz w:val="34"/>
          <w:szCs w:val="34"/>
        </w:rPr>
        <w:t xml:space="preserve">14. Multi-Language and Right-to-Left Layout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DynamicBA’s navigation and common labels are available in English, French, and Arabic. Use the language dropdown at the bottom of the sidebar to switch — selecting Arabic mirrors the entire layout to right-to-left, including the sidebar, tables, and forms.</w:t>
      </w:r>
    </w:p>
    <w:p>
      <w:pPr>
        <w:pStyle w:val="Heading1"/>
      </w:pPr>
      <w:r>
        <w:rPr>
          <w:rFonts w:ascii="Times New Roman" w:cs="Times New Roman" w:eastAsia="Times New Roman" w:hAnsi="Times New Roman"/>
          <w:b/>
          <w:bCs/>
          <w:color w:val="E07B00"/>
          <w:sz w:val="34"/>
          <w:szCs w:val="34"/>
        </w:rPr>
        <w:t xml:space="preserve">15. Frequently Asked Questions</w:t>
      </w:r>
    </w:p>
    <w:p>
      <w:pPr>
        <w:pStyle w:val="Heading3"/>
      </w:pPr>
      <w:r>
        <w:rPr>
          <w:rFonts w:ascii="Times New Roman" w:cs="Times New Roman" w:eastAsia="Times New Roman" w:hAnsi="Times New Roman"/>
          <w:b/>
          <w:bCs/>
          <w:color w:val="E07B00"/>
          <w:sz w:val="24"/>
          <w:szCs w:val="24"/>
        </w:rPr>
        <w:t xml:space="preserve">Why can’t I continue past Step 1?</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SOW Completeness Score is below 70. Review the clarifying questions and add more detail to the flagged sections.</w:t>
      </w:r>
    </w:p>
    <w:p>
      <w:pPr>
        <w:pStyle w:val="Heading3"/>
      </w:pPr>
      <w:r>
        <w:rPr>
          <w:rFonts w:ascii="Times New Roman" w:cs="Times New Roman" w:eastAsia="Times New Roman" w:hAnsi="Times New Roman"/>
          <w:b/>
          <w:bCs/>
          <w:color w:val="E07B00"/>
          <w:sz w:val="24"/>
          <w:szCs w:val="24"/>
        </w:rPr>
        <w:t xml:space="preserve">Why can’t I continue past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requires at least one Automation Candidate to be scored before Step 3 unlocks — add one in the Opportunity Assessment tab.</w:t>
      </w:r>
    </w:p>
    <w:p>
      <w:pPr>
        <w:pStyle w:val="Heading3"/>
      </w:pPr>
      <w:r>
        <w:rPr>
          <w:rFonts w:ascii="Times New Roman" w:cs="Times New Roman" w:eastAsia="Times New Roman" w:hAnsi="Times New Roman"/>
          <w:b/>
          <w:bCs/>
          <w:color w:val="E07B00"/>
          <w:sz w:val="24"/>
          <w:szCs w:val="24"/>
        </w:rPr>
        <w:t xml:space="preserve">Can a Project be deleted permanently?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Deleting a Project moves it to the Recycle Bin first. From there it can be restored, or permanently deleted by a user with recycle-bin management permission.</w:t>
      </w:r>
    </w:p>
    <w:p>
      <w:pPr>
        <w:pStyle w:val="Heading3"/>
      </w:pPr>
      <w:r>
        <w:rPr>
          <w:rFonts w:ascii="Times New Roman" w:cs="Times New Roman" w:eastAsia="Times New Roman" w:hAnsi="Times New Roman"/>
          <w:b/>
          <w:bCs/>
          <w:color w:val="E07B00"/>
          <w:sz w:val="24"/>
          <w:szCs w:val="24"/>
        </w:rPr>
        <w:t xml:space="preserve">Is any of DynamicBA’s AI output autonomous?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 Every AI Use Case is tiered Assistive or Augmented, never Autonomous, and every output is labeled as AI-generated with a named human checkpoint, per the AI Use Cases page.</w:t>
      </w:r>
    </w:p>
    <w:p>
      <w:pPr>
        <w:pStyle w:val="Heading3"/>
      </w:pPr>
      <w:r>
        <w:rPr>
          <w:rFonts w:ascii="Times New Roman" w:cs="Times New Roman" w:eastAsia="Times New Roman" w:hAnsi="Times New Roman"/>
          <w:b/>
          <w:bCs/>
          <w:color w:val="E07B00"/>
          <w:sz w:val="24"/>
          <w:szCs w:val="24"/>
        </w:rPr>
        <w:t xml:space="preserve">Where can I see everything that happened on a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Project’s Alerts tab shows every governance alert raised on it; the Organization-wide Audit Log (Admin → Audit Log) shows every governed change.</w:t>
      </w:r>
    </w:p>
    <w:p>
      <w:pPr>
        <w:pStyle w:val="Heading1"/>
      </w:pPr>
      <w:r>
        <w:rPr>
          <w:rFonts w:ascii="Times New Roman" w:cs="Times New Roman" w:eastAsia="Times New Roman" w:hAnsi="Times New Roman"/>
          <w:b/>
          <w:bCs/>
          <w:color w:val="E07B00"/>
          <w:sz w:val="34"/>
          <w:szCs w:val="34"/>
        </w:rPr>
        <w:t xml:space="preserve">16. Appendix — Glossary</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Term</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MP-01 – MP-07</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DynamicBA’s 7 internal macro processes, from SOW Ingestion through Validation &amp; Handoff.</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D01 – D10</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Core Business-Architecture Deliverables Workbook tabs defining macro processes, steps, rules, actions, controls, risks, KPIs, alerts, reports, and the canonical data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D15</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(16 entries).</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D26</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Modules &amp; Tiers licensing and packaging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D30</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Licensing Implementation Schema (technical licensing pattern).</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RASCI</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Responsible, Accountable, Support, Consulted, Informed — the accountability model used at the macro-process level.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Statement of Work — the signed engagement scope document DynamicBA ingests in Step 1.</w:t>
            </w:r>
          </w:p>
        </w:tc>
      </w:tr>
    </w:tbl>
    <w:p>
      <w:pPr>
        <w:pStyle w:val="Heading1"/>
      </w:pPr>
      <w:r>
        <w:rPr>
          <w:rFonts w:ascii="Times New Roman" w:cs="Times New Roman" w:eastAsia="Times New Roman" w:hAnsi="Times New Roman"/>
          <w:b/>
          <w:bCs/>
          <w:color w:val="E07B00"/>
          <w:sz w:val="34"/>
          <w:szCs w:val="34"/>
        </w:rPr>
        <w:t xml:space="preserve">17. End of User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deployment and environment configuration, see the companion DynamicBA Installation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2026-09-22T09:58:34.798Z</dcterms:created>
  <dcterms:modified xsi:type="dcterms:W3CDTF">2026-09-22T09:58:34.798Z</dcterms:modified>
</cp:coreProperties>
</file>

<file path=docProps/custom.xml><?xml version="1.0" encoding="utf-8"?>
<Properties xmlns="http://schemas.openxmlformats.org/officeDocument/2006/custom-properties" xmlns:vt="http://schemas.openxmlformats.org/officeDocument/2006/docPropsVTypes"/>
</file>