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120"/>
        <w:jc w:val="center"/>
        <w:rPr/>
      </w:pPr>
      <w:r>
        <w:rPr>
          <w:rFonts w:eastAsia="Times New Roman" w:cs="Times New Roman"/>
          <w:b/>
          <w:color w:val="3A3A3C"/>
          <w:sz w:val="60"/>
        </w:rPr>
        <w:t>POWER</w:t>
      </w:r>
      <w:r>
        <w:rPr>
          <w:rFonts w:eastAsia="Times New Roman" w:cs="Times New Roman"/>
          <w:b/>
          <w:color w:val="F8931D"/>
          <w:sz w:val="60"/>
        </w:rPr>
        <w:t>ACT</w:t>
      </w:r>
    </w:p>
    <w:p>
      <w:pPr>
        <w:pStyle w:val="Normal"/>
        <w:jc w:val="center"/>
        <w:rPr/>
      </w:pPr>
      <w:r>
        <w:rPr>
          <w:rFonts w:eastAsia="Times New Roman" w:cs="Times New Roman"/>
          <w:b/>
          <w:color w:val="58595B"/>
          <w:sz w:val="22"/>
        </w:rPr>
        <w:t>C O N S U L T I N G</w:t>
      </w:r>
    </w:p>
    <w:p>
      <w:pPr>
        <w:pStyle w:val="Normal"/>
        <w:spacing w:before="1600" w:after="120"/>
        <w:jc w:val="center"/>
        <w:rPr/>
      </w:pPr>
      <w:r>
        <w:rPr>
          <w:rFonts w:eastAsia="Times New Roman" w:cs="Times New Roman"/>
          <w:b/>
          <w:color w:val="E07B00"/>
          <w:sz w:val="22"/>
        </w:rPr>
        <w:t>DELIVERY CHECKLIST</w:t>
      </w:r>
    </w:p>
    <w:p>
      <w:pPr>
        <w:pStyle w:val="Normal"/>
        <w:jc w:val="center"/>
        <w:rPr/>
      </w:pPr>
      <w:r>
        <w:rPr>
          <w:rFonts w:eastAsia="Times New Roman" w:cs="Times New Roman"/>
          <w:b/>
          <w:color w:val="3A3A3C"/>
          <w:sz w:val="60"/>
        </w:rPr>
        <w:t>CortexPLM Coverage Checklist</w:t>
      </w:r>
    </w:p>
    <w:p>
      <w:pPr>
        <w:pStyle w:val="Normal"/>
        <w:jc w:val="center"/>
        <w:rPr/>
      </w:pPr>
      <w:r>
        <w:rPr>
          <w:rFonts w:eastAsia="Times New Roman" w:cs="Times New Roman"/>
          <w:color w:val="58595B"/>
          <w:sz w:val="28"/>
        </w:rPr>
        <w:t>Every content block of the five source documents and where the application covers it</w:t>
      </w:r>
    </w:p>
    <w:p>
      <w:pPr>
        <w:pStyle w:val="Normal"/>
        <w:spacing w:before="2400" w:after="120"/>
        <w:jc w:val="center"/>
        <w:rPr/>
      </w:pPr>
      <w:r>
        <w:rPr>
          <w:rFonts w:eastAsia="Times New Roman" w:cs="Times New Roman"/>
          <w:color w:val="808184"/>
          <w:sz w:val="22"/>
        </w:rPr>
        <w:t>Version 1.0  ·  September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8" w:space="4" w:color="E07B00"/>
        </w:pBdr>
        <w:spacing w:before="0" w:after="120"/>
        <w:jc w:val="left"/>
        <w:rPr/>
      </w:pPr>
      <w:r>
        <w:rPr>
          <w:rFonts w:eastAsia="Times New Roman" w:cs="Times New Roman"/>
          <w:b/>
          <w:color w:val="E07B00"/>
          <w:sz w:val="34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0651_3479964216">
            <w:r>
              <w:rPr>
                <w:webHidden/>
                <w:rStyle w:val="IndexLink"/>
              </w:rPr>
              <w:t>1. Summary</w:t>
              <w:tab/>
              <w:t>3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653_3479964216">
            <w:r>
              <w:rPr>
                <w:webHidden/>
                <w:rStyle w:val="IndexLink"/>
              </w:rPr>
              <w:t>2. Process Design Reference v2</w:t>
              <w:tab/>
              <w:t>3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655_3479964216">
            <w:r>
              <w:rPr>
                <w:webHidden/>
                <w:rStyle w:val="IndexLink"/>
              </w:rPr>
              <w:t>3. Deliverables workbook</w:t>
              <w:tab/>
              <w:t>3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657_3479964216">
            <w:r>
              <w:rPr>
                <w:webHidden/>
                <w:rStyle w:val="IndexLink"/>
              </w:rPr>
              <w:t>4. Packs, Integrations &amp; Add-Ons Catalog</w:t>
              <w:tab/>
              <w:t>4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659_3479964216">
            <w:r>
              <w:rPr>
                <w:webHidden/>
                <w:rStyle w:val="IndexLink"/>
              </w:rPr>
              <w:t>5. Dynamic Apps Standard SRS</w:t>
              <w:tab/>
              <w:t>5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661_3479964216">
            <w:r>
              <w:rPr>
                <w:webHidden/>
                <w:rStyle w:val="IndexLink"/>
              </w:rPr>
              <w:t>6. D30 Licensing Implementation Schema</w:t>
              <w:tab/>
              <w:t>5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663_3479964216">
            <w:r>
              <w:rPr>
                <w:webHidden/>
                <w:rStyle w:val="IndexLink"/>
              </w:rPr>
              <w:t>7. Seed data requirement</w:t>
              <w:tab/>
              <w:t>5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665_3479964216">
            <w:r>
              <w:rPr>
                <w:webHidden/>
                <w:rStyle w:val="IndexLink"/>
              </w:rPr>
              <w:t>8. End-to-End Verification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120"/>
        <w:jc w:val="both"/>
        <w:rPr>
          <w:rFonts w:ascii="Times New Roman" w:hAnsi="Times New Roman" w:eastAsia="Times New Roman"/>
          <w:color w:val="3A3A3C"/>
          <w:sz w:val="24"/>
        </w:rPr>
      </w:pPr>
      <w:r>
        <w:rPr>
          <w:rFonts w:eastAsia="Times New Roman"/>
          <w:color w:val="3A3A3C"/>
          <w:sz w:val="24"/>
        </w:rPr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10651_3479964216"/>
      <w:bookmarkEnd w:id="0"/>
      <w:r>
        <w:rPr/>
        <w:t>1. Summary</w:t>
      </w:r>
    </w:p>
    <w:p>
      <w:pPr>
        <w:pStyle w:val="Normal"/>
        <w:rPr/>
      </w:pPr>
      <w:r>
        <w:rPr>
          <w:rFonts w:eastAsia="Times New Roman" w:cs="Times New Roman"/>
        </w:rPr>
        <w:t>All 41 content blocks of the five source documents and of the request are covered. Counts come from the running application after a fresh demonstration seed, not from the documents.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480"/>
        <w:gridCol w:w="1295"/>
        <w:gridCol w:w="1973"/>
      </w:tblGrid>
      <w:tr>
        <w:trPr>
          <w:tblHeader w:val="true"/>
        </w:trPr>
        <w:tc>
          <w:tcPr>
            <w:tcW w:w="648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Source</w:t>
            </w:r>
          </w:p>
        </w:tc>
        <w:tc>
          <w:tcPr>
            <w:tcW w:w="129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Blocks</w:t>
            </w:r>
          </w:p>
        </w:tc>
        <w:tc>
          <w:tcPr>
            <w:tcW w:w="197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Status</w:t>
            </w:r>
          </w:p>
        </w:tc>
      </w:tr>
      <w:tr>
        <w:trPr/>
        <w:tc>
          <w:tcPr>
            <w:tcW w:w="648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Process Design Reference v2</w:t>
            </w:r>
          </w:p>
        </w:tc>
        <w:tc>
          <w:tcPr>
            <w:tcW w:w="129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8</w:t>
            </w:r>
          </w:p>
        </w:tc>
        <w:tc>
          <w:tcPr>
            <w:tcW w:w="197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Covered</w:t>
            </w:r>
          </w:p>
        </w:tc>
      </w:tr>
      <w:tr>
        <w:trPr/>
        <w:tc>
          <w:tcPr>
            <w:tcW w:w="648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Deliverables workbook</w:t>
            </w:r>
          </w:p>
        </w:tc>
        <w:tc>
          <w:tcPr>
            <w:tcW w:w="129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15</w:t>
            </w:r>
          </w:p>
        </w:tc>
        <w:tc>
          <w:tcPr>
            <w:tcW w:w="197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Covered</w:t>
            </w:r>
          </w:p>
        </w:tc>
      </w:tr>
      <w:tr>
        <w:trPr/>
        <w:tc>
          <w:tcPr>
            <w:tcW w:w="648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Packs, Integrations &amp; Add-Ons Catalog</w:t>
            </w:r>
          </w:p>
        </w:tc>
        <w:tc>
          <w:tcPr>
            <w:tcW w:w="129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7</w:t>
            </w:r>
          </w:p>
        </w:tc>
        <w:tc>
          <w:tcPr>
            <w:tcW w:w="197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Covered</w:t>
            </w:r>
          </w:p>
        </w:tc>
      </w:tr>
      <w:tr>
        <w:trPr/>
        <w:tc>
          <w:tcPr>
            <w:tcW w:w="648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Dynamic Apps Standard SRS</w:t>
            </w:r>
          </w:p>
        </w:tc>
        <w:tc>
          <w:tcPr>
            <w:tcW w:w="129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4</w:t>
            </w:r>
          </w:p>
        </w:tc>
        <w:tc>
          <w:tcPr>
            <w:tcW w:w="197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Covered</w:t>
            </w:r>
          </w:p>
        </w:tc>
      </w:tr>
      <w:tr>
        <w:trPr/>
        <w:tc>
          <w:tcPr>
            <w:tcW w:w="648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D30 Licensing Implementation Schema</w:t>
            </w:r>
          </w:p>
        </w:tc>
        <w:tc>
          <w:tcPr>
            <w:tcW w:w="129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4</w:t>
            </w:r>
          </w:p>
        </w:tc>
        <w:tc>
          <w:tcPr>
            <w:tcW w:w="197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Covered</w:t>
            </w:r>
          </w:p>
        </w:tc>
      </w:tr>
      <w:tr>
        <w:trPr/>
        <w:tc>
          <w:tcPr>
            <w:tcW w:w="648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Seed data requirement</w:t>
            </w:r>
          </w:p>
        </w:tc>
        <w:tc>
          <w:tcPr>
            <w:tcW w:w="129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3</w:t>
            </w:r>
          </w:p>
        </w:tc>
        <w:tc>
          <w:tcPr>
            <w:tcW w:w="197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Covered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48"/>
      </w:tblGrid>
      <w:tr>
        <w:trPr/>
        <w:tc>
          <w:tcPr>
            <w:tcW w:w="9748" w:type="dxa"/>
            <w:tcBorders>
              <w:left w:val="single" w:sz="24" w:space="0" w:color="F8931D"/>
            </w:tcBorders>
            <w:shd w:color="auto" w:fill="FDEEDA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E07B00"/>
                <w:sz w:val="22"/>
              </w:rPr>
              <w:t xml:space="preserve">Note  </w:t>
            </w:r>
            <w:r>
              <w:rPr>
                <w:rFonts w:eastAsia="Times New Roman" w:cs="Times New Roman"/>
                <w:sz w:val="22"/>
              </w:rPr>
              <w:t>Governance registers hold more records than the workbook because each organization adds its own records (project risks, compliance starter controls). Every reference record from the workbook is present.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" w:name="__RefHeading___Toc10653_3479964216"/>
      <w:bookmarkEnd w:id="1"/>
      <w:r>
        <w:rPr/>
        <w:t>2. Process Design Reference v2</w:t>
      </w:r>
    </w:p>
    <w:p>
      <w:pPr>
        <w:pStyle w:val="Normal"/>
        <w:rPr/>
      </w:pPr>
      <w:r>
        <w:rPr>
          <w:rFonts w:eastAsia="Times New Roman" w:cs="Times New Roman"/>
        </w:rPr>
        <w:t>Source file: CortexPLM_Process_Design_Reference_v2.docx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1"/>
        <w:gridCol w:w="2737"/>
        <w:gridCol w:w="1944"/>
        <w:gridCol w:w="1584"/>
        <w:gridCol w:w="892"/>
      </w:tblGrid>
      <w:tr>
        <w:trPr>
          <w:tblHeader w:val="true"/>
        </w:trPr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Source content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Implemented as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Where to see it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Measured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Status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Identifier conventions, RACSI codes, status of content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Glossary, RACSI matrix screen, task accountability card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Process design, Governance &gt; RACSI matrix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33 glossary terms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Part 1 Executive summary: key figures, lifecycle, E2E inventory, three levels of steps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Macro processes and E2E pages, dashboard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Process design &gt; Macro processes / End-to-end processes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9 E2E, 81 tasks, 727 steps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Part 2 Macro processes repository (Parts A, B, C, D, E, I, J) with SIPOC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One page per macro process with SIPOC, goal, steps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Process design &gt; Macro processes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69 of 69, 69 with full SIPOC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Parts 3 to 5 E2E processes, user-facing tasks, UFS, BPMN flow template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E2E pages, task forms, BPMN modeler (one diagram per E2E)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End-to-end processes; Governance &gt; BPMN diagrams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81 tasks, 30 UFS, 9 BPMN per organization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Part 6 Coverage statement and 16 unmapped macro processes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Coverage matrix with resolutions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Process design &gt; Coverage matrix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69 × 9 matrix, 16 findings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Part 7 Track modes, mode-to-MP matrix, activation summary, scoring model, rules R1–R4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Track configuration (versioned), project wizard scoring, lifecycle engine enforcing R1–R4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Process design &gt; Track configuration; New project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69 rows, 7 criteria, 4 rules, 3 thresholds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Part 8 Phase-gate reference: gate summary, decision outcomes, gate roles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Gate reference, checklists by track, Go/Kill/Hold/Recycle engine, CTL-01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Process design &gt; Phase-gate reference; Gate board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8 gates, 4 outcomes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Part 9 Design review findings and next steps; Appendix A glossary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Findings and glossary pages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Coverage matrix &gt; Findings; Glossary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16 findings, 33 terms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2" w:name="__RefHeading___Toc10655_3479964216"/>
      <w:bookmarkEnd w:id="2"/>
      <w:r>
        <w:rPr/>
        <w:t>3. Deliverables workbook</w:t>
      </w:r>
    </w:p>
    <w:p>
      <w:pPr>
        <w:pStyle w:val="Normal"/>
        <w:rPr/>
      </w:pPr>
      <w:r>
        <w:rPr>
          <w:rFonts w:eastAsia="Times New Roman" w:cs="Times New Roman"/>
        </w:rPr>
        <w:t>Source file: CortexPLM_Deliverables_D01D10_D15_D15b_D26.xlsx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1"/>
        <w:gridCol w:w="2737"/>
        <w:gridCol w:w="1944"/>
        <w:gridCol w:w="1584"/>
        <w:gridCol w:w="892"/>
      </w:tblGrid>
      <w:tr>
        <w:trPr>
          <w:tblHeader w:val="true"/>
        </w:trPr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Source content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Implemented as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Where to see it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Measured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Status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Workbook cover data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Reference API /reference/workbook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Loaded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D01 Macro Processes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Macro process pages (owner role, category, tier)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Macro processes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69 of 69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D02 Tasks &amp; Steps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Steps under each macro process; checklist evidence items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Macro processes; gate checklists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727 of 727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D03 Business Rules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Business rules register (versioned); BR-001/002/004/005/008/009/011/030 enforced live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Governance &gt; Business rules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64 / 64 / 64 / 64 / 64 / 64 per organization (60 reference + organization rules)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D03a Actions Registry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Actions registry (ACT-01..)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Governance &gt; Business rules &gt; Actions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50 of 50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D04 Controls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Controls register with COSO components; CTL-01, CTL-04 enforced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Governance &gt; Controls (COSO)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58 / 53 / 59 / 53 / 54 / 57 per organization (47 reference + compliance starters)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D05 Risks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Risks &amp; opportunities register, heat map, project risks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Governance &gt; Risks &amp; opportunities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49 / 50 / 49 / 49 / 48 / 50 per organization (27 reference + project risks)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D06 KPIs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Built-in KPIs computed live or recorded, custom KPIs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Governance &gt; KPIs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38 / 38 / 38 / 38 / 38 / 38 per organization (38 of 38)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D07 Alerts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Alert catalog, background checks, multi-channel dispatch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Alerts; Notifications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31 alert types (25 D07 + 6 system)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D08 Reports &amp; Cockpits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Report screens with PDF, Excel and Word export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Reports &amp; cockpits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24 of 24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D09 Information Class Model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Data model page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Reports &gt; Data model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58 of 58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D10 Data Dictionary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Data dictionary with types and validation rules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Reports &gt; Data model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189 of 189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D15 AI Use Cases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Governed AI use cases, suggestions, append-only usage log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Intelligence &gt; AI use cases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23 / 23 / 23 / 23 / 23 / 23 per organization (23 of 23)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D15b Role Menus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Role menus reference; navigation filtered by role permissions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Reports &gt; Role menus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309 of 309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D26 Modules &amp; Tiers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Tiers, feature gating and quotas per subscription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Administration &gt; Configuration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11 modules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3" w:name="__RefHeading___Toc10657_3479964216"/>
      <w:bookmarkEnd w:id="3"/>
      <w:r>
        <w:rPr/>
        <w:t>4. Packs, Integrations &amp; Add-Ons Catalog</w:t>
      </w:r>
    </w:p>
    <w:p>
      <w:pPr>
        <w:pStyle w:val="Normal"/>
        <w:rPr/>
      </w:pPr>
      <w:r>
        <w:rPr>
          <w:rFonts w:eastAsia="Times New Roman" w:cs="Times New Roman"/>
        </w:rPr>
        <w:t>Source file: CortexPLM_Packs_Integrations_AddOns_Catalog.docx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1"/>
        <w:gridCol w:w="2737"/>
        <w:gridCol w:w="1944"/>
        <w:gridCol w:w="1584"/>
        <w:gridCol w:w="892"/>
      </w:tblGrid>
      <w:tr>
        <w:trPr>
          <w:tblHeader w:val="true"/>
        </w:trPr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Source content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Implemented as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Where to see it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Measured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Status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Part 1 Executive summary, packaging philosophy, pack summary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Catalog page, principles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Administration &gt; Catalog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Loaded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Part 2 Packs 01–11 (segment, behavior, pain points, hopes, fit, macro processes, price)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Pack cards; subscription entitlements drive features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Administration &gt; Catalog &gt; Packs; Configuration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11 of 11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Part 3 Integrations catalog (11 categories)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Integration registry: register, encrypted credentials, health check, mappings, sync, signed inbound events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Administration &gt; Integrations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40 of 40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Part 4 Add-ons catalog (7 families)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Add-on toggles compatible with the subscription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Administration &gt; Configuration; Catalog &gt; Add-ons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28 of 28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Part 5 Pricing summary, bundles, volume discounts, differentiators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Bundles with stated and recalculated savings, quote builder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Administration &gt; Catalog &gt; Bundles &amp; pricing / Quote builder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8 of 8 bundles, 6 discount bands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Appendix A review notes (confirmed, recalculated savings, points for decision)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Review notes shown with the bundles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Catalog &gt; Bundles &amp; pricing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7 review notes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Appendices B and C quick reference and glossary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Pack quick reference in the catalog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Administration &gt; Catalog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Loaded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4" w:name="__RefHeading___Toc10659_3479964216"/>
      <w:bookmarkEnd w:id="4"/>
      <w:r>
        <w:rPr/>
        <w:t>5. Dynamic Apps Standard SRS</w:t>
      </w:r>
    </w:p>
    <w:p>
      <w:pPr>
        <w:pStyle w:val="Normal"/>
        <w:rPr/>
      </w:pPr>
      <w:r>
        <w:rPr>
          <w:rFonts w:eastAsia="Times New Roman" w:cs="Times New Roman"/>
        </w:rPr>
        <w:t>Source file: Dynamic_Apps_Standard_SRS.docx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1"/>
        <w:gridCol w:w="2737"/>
        <w:gridCol w:w="1944"/>
        <w:gridCol w:w="1584"/>
        <w:gridCol w:w="892"/>
      </w:tblGrid>
      <w:tr>
        <w:trPr>
          <w:tblHeader w:val="true"/>
        </w:trPr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Source content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Implemented as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Where to see it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Measured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Status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Sections 1–3 introduction, principles, common platform architecture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Multi-tenant server, RBAC, commercial gating, AI governance, RAG, i18n, justification, versions, communication, REX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Whole application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Implemented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Section 4 functional requirements FR-DA-* (18 groups)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Every requirement traced to a screen and a server module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Administration &gt; Traceability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155 of 155 requirements traced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Section 5 non-functional requirements NFR-DA-*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Security headers, rate limit, encryption, tenant isolation tests, accessibility, RTL, exports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Administration &gt; Traceability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Included in the 155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Sections 6–7 data model and interface conventions; Appendix A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REST JSON API, UI conventions, data model page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Data model; API /api/*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Implemented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5" w:name="__RefHeading___Toc10661_3479964216"/>
      <w:bookmarkEnd w:id="5"/>
      <w:r>
        <w:rPr/>
        <w:t>6. D30 Licensing Implementation Schema</w:t>
      </w:r>
    </w:p>
    <w:p>
      <w:pPr>
        <w:pStyle w:val="Normal"/>
        <w:rPr/>
      </w:pPr>
      <w:r>
        <w:rPr>
          <w:rFonts w:eastAsia="Times New Roman" w:cs="Times New Roman"/>
        </w:rPr>
        <w:t>Source file: CD_D30_Licensing_Implementation_Schema.docx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1"/>
        <w:gridCol w:w="2737"/>
        <w:gridCol w:w="1944"/>
        <w:gridCol w:w="1584"/>
        <w:gridCol w:w="892"/>
      </w:tblGrid>
      <w:tr>
        <w:trPr>
          <w:tblHeader w:val="true"/>
        </w:trPr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Source content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Implemented as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Where to see it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Measured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Status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One LicenceProvider interface, SaaS and OnPrem implementations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SaasLicenceProvider (signed record) and OnPremLicenceProvider (Ed25519 .lic file)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Administration &gt; Licensing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saas active 25/60 / saas active 24/40 / saas active 24/40 / saas active 24/30 / saas warning 24/30 / saas active 24/30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Add-on licensing as independent toggles (compliance standards)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Compliance standards activation with non-certification disclosure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Administration &gt; Configuration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Implemented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Hardware binding, licence file format, vendor signing tool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hardwareId field, npm run keys / npm run sign-licence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server/tools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Implemented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maxUsers enforcement and expiry warning (CTRL-003)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User creation blocked at the limit; banner 30 days before expiry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Users &amp; roles; top banner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Orvane licence expires in 22 days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6" w:name="__RefHeading___Toc10663_3479964216"/>
      <w:bookmarkEnd w:id="6"/>
      <w:r>
        <w:rPr/>
        <w:t>7. Seed data requirement</w:t>
      </w:r>
    </w:p>
    <w:p>
      <w:pPr>
        <w:pStyle w:val="Normal"/>
        <w:rPr/>
      </w:pPr>
      <w:r>
        <w:rPr>
          <w:rFonts w:eastAsia="Times New Roman" w:cs="Times New Roman"/>
        </w:rPr>
        <w:t>Source file: request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1"/>
        <w:gridCol w:w="2737"/>
        <w:gridCol w:w="1944"/>
        <w:gridCol w:w="1584"/>
        <w:gridCol w:w="892"/>
      </w:tblGrid>
      <w:tr>
        <w:trPr>
          <w:tblHeader w:val="true"/>
        </w:trPr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Source content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Implemented as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Where to see it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Measured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7"/>
              </w:rPr>
              <w:t>Status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Six industries: Public Sector, Manufacturing in Construction, Healthcare, Agro-Business – Dairy, Transportation, Oil/Gas/Energy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One organization per industry with 24–25 users and 21 projects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Organization switcher (platform admin)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Public Sector / Manufacturing in Construction / Healthcare / Agro-Business - Dairy Products / Transportation / Oil, Gas &amp; Energy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At least 10 instances of each E2E process per industry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E2E-01:21 02:19 03:16 04:14 05:16 06:12 07:12 08:10 09:13 in every organization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Dashboard, E2E pages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Minimum 10 met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Pin and slide menu; top, bottom, left and right positions</w:t>
            </w:r>
          </w:p>
        </w:tc>
        <w:tc>
          <w:tcPr>
            <w:tcW w:w="273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Navigation bar settings, saved per user; RTL aware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Sliders icon in the navigation bar</w:t>
            </w:r>
          </w:p>
        </w:tc>
        <w:tc>
          <w:tcPr>
            <w:tcW w:w="158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Implemented</w:t>
            </w:r>
          </w:p>
        </w:tc>
        <w:tc>
          <w:tcPr>
            <w:tcW w:w="8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D9EAD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7"/>
              </w:rPr>
              <w:t>Covered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7" w:name="__RefHeading___Toc10665_3479964216"/>
      <w:bookmarkEnd w:id="7"/>
      <w:r>
        <w:rPr/>
        <w:t>8. End-to-End Verification</w:t>
      </w:r>
    </w:p>
    <w:p>
      <w:pPr>
        <w:pStyle w:val="Normal"/>
        <w:rPr/>
      </w:pPr>
      <w:r>
        <w:rPr>
          <w:rFonts w:eastAsia="Times New Roman" w:cs="Times New Roman"/>
        </w:rPr>
        <w:t>The five User Guide runs were replayed through the application on a fresh database. Each one ran to the end state below.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9"/>
        <w:gridCol w:w="4176"/>
        <w:gridCol w:w="1152"/>
        <w:gridCol w:w="1008"/>
        <w:gridCol w:w="2693"/>
      </w:tblGrid>
      <w:tr>
        <w:trPr>
          <w:tblHeader w:val="true"/>
        </w:trPr>
        <w:tc>
          <w:tcPr>
            <w:tcW w:w="71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Run</w:t>
            </w:r>
          </w:p>
        </w:tc>
        <w:tc>
          <w:tcPr>
            <w:tcW w:w="417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Project</w:t>
            </w:r>
          </w:p>
        </w:tc>
        <w:tc>
          <w:tcPr>
            <w:tcW w:w="115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Track</w:t>
            </w:r>
          </w:p>
        </w:tc>
        <w:tc>
          <w:tcPr>
            <w:tcW w:w="100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Steps</w:t>
            </w:r>
          </w:p>
        </w:tc>
        <w:tc>
          <w:tcPr>
            <w:tcW w:w="269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End state</w:t>
            </w:r>
          </w:p>
        </w:tc>
      </w:tr>
      <w:tr>
        <w:trPr/>
        <w:tc>
          <w:tcPr>
            <w:tcW w:w="71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1</w:t>
            </w:r>
          </w:p>
        </w:tc>
        <w:tc>
          <w:tcPr>
            <w:tcW w:w="417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PUB-022 Online Parking Permit Renewal</w:t>
            </w:r>
          </w:p>
        </w:tc>
        <w:tc>
          <w:tcPr>
            <w:tcW w:w="115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Fast</w:t>
            </w:r>
          </w:p>
        </w:tc>
        <w:tc>
          <w:tcPr>
            <w:tcW w:w="100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29</w:t>
            </w:r>
          </w:p>
        </w:tc>
        <w:tc>
          <w:tcPr>
            <w:tcW w:w="269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Launched</w:t>
            </w:r>
          </w:p>
        </w:tc>
      </w:tr>
      <w:tr>
        <w:trPr/>
        <w:tc>
          <w:tcPr>
            <w:tcW w:w="71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2</w:t>
            </w:r>
          </w:p>
        </w:tc>
        <w:tc>
          <w:tcPr>
            <w:tcW w:w="417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TRN-022 Real-time Bus Crowding Indicator</w:t>
            </w:r>
          </w:p>
        </w:tc>
        <w:tc>
          <w:tcPr>
            <w:tcW w:w="115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Fast</w:t>
            </w:r>
          </w:p>
        </w:tc>
        <w:tc>
          <w:tcPr>
            <w:tcW w:w="100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32</w:t>
            </w:r>
          </w:p>
        </w:tc>
        <w:tc>
          <w:tcPr>
            <w:tcW w:w="269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Launched</w:t>
            </w:r>
          </w:p>
        </w:tc>
      </w:tr>
      <w:tr>
        <w:trPr/>
        <w:tc>
          <w:tcPr>
            <w:tcW w:w="71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3</w:t>
            </w:r>
          </w:p>
        </w:tc>
        <w:tc>
          <w:tcPr>
            <w:tcW w:w="417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DAI-022 Lactose-free Greek Yogurt 500 g</w:t>
            </w:r>
          </w:p>
        </w:tc>
        <w:tc>
          <w:tcPr>
            <w:tcW w:w="115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Light</w:t>
            </w:r>
          </w:p>
        </w:tc>
        <w:tc>
          <w:tcPr>
            <w:tcW w:w="100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78</w:t>
            </w:r>
          </w:p>
        </w:tc>
        <w:tc>
          <w:tcPr>
            <w:tcW w:w="269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Active</w:t>
            </w:r>
          </w:p>
        </w:tc>
      </w:tr>
      <w:tr>
        <w:trPr/>
        <w:tc>
          <w:tcPr>
            <w:tcW w:w="71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4</w:t>
            </w:r>
          </w:p>
        </w:tc>
        <w:tc>
          <w:tcPr>
            <w:tcW w:w="417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HLT-022 Remote Cardiac Monitoring Patch</w:t>
            </w:r>
          </w:p>
        </w:tc>
        <w:tc>
          <w:tcPr>
            <w:tcW w:w="115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Full</w:t>
            </w:r>
          </w:p>
        </w:tc>
        <w:tc>
          <w:tcPr>
            <w:tcW w:w="100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77</w:t>
            </w:r>
          </w:p>
        </w:tc>
        <w:tc>
          <w:tcPr>
            <w:tcW w:w="269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Retired</w:t>
            </w:r>
          </w:p>
        </w:tc>
      </w:tr>
      <w:tr>
        <w:trPr/>
        <w:tc>
          <w:tcPr>
            <w:tcW w:w="71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5</w:t>
            </w:r>
          </w:p>
        </w:tc>
        <w:tc>
          <w:tcPr>
            <w:tcW w:w="417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ENR-012 Green Hydrogen Electrolyser Pilot</w:t>
            </w:r>
          </w:p>
        </w:tc>
        <w:tc>
          <w:tcPr>
            <w:tcW w:w="115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Full</w:t>
            </w:r>
          </w:p>
        </w:tc>
        <w:tc>
          <w:tcPr>
            <w:tcW w:w="100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30</w:t>
            </w:r>
          </w:p>
        </w:tc>
        <w:tc>
          <w:tcPr>
            <w:tcW w:w="269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Active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 w:cs="Times New Roman"/>
        </w:rPr>
        <w:t>Server tests: tenant isolation suite passes (npm test).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 w:cs="Times New Roman"/>
        </w:rPr>
        <w:t>Web build: production build succeeds; every screen opened in a browser for administrator, product manager, executive, supplier and Arabic users without errors.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 w:cs="Times New Roman"/>
        </w:rPr>
        <w:t>Translations: 1,041 interface strings in English, French and Arabic, plus reference labels (statuses, processes, tasks, gates, roles).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1080" w:gutter="0" w:header="720" w:top="1080" w:footer="720" w:bottom="108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color w:val="808184"/>
        <w:sz w:val="18"/>
      </w:rPr>
      <w:t xml:space="preserve">POWERACT Consulting  ·  Page </w:t>
    </w:r>
    <w:r>
      <w:rPr>
        <w:rFonts w:eastAsia="Times New Roman" w:cs="Times New Roman"/>
        <w:color w:val="808184"/>
        <w:sz w:val="18"/>
      </w:rPr>
      <w:fldChar w:fldCharType="begin"/>
    </w:r>
    <w:r>
      <w:rPr>
        <w:sz w:val="18"/>
        <w:rFonts w:eastAsia="Times New Roman" w:cs="Times New Roman"/>
        <w:color w:val="808184"/>
      </w:rPr>
      <w:instrText xml:space="preserve"> PAGE </w:instrText>
    </w:r>
    <w:r>
      <w:rPr>
        <w:sz w:val="18"/>
        <w:rFonts w:eastAsia="Times New Roman" w:cs="Times New Roman"/>
        <w:color w:val="808184"/>
      </w:rPr>
      <w:fldChar w:fldCharType="separate"/>
    </w:r>
    <w:r>
      <w:rPr>
        <w:sz w:val="18"/>
        <w:rFonts w:eastAsia="Times New Roman" w:cs="Times New Roman"/>
        <w:color w:val="808184"/>
      </w:rPr>
      <w:t>6</w:t>
    </w:r>
    <w:r>
      <w:rPr>
        <w:sz w:val="18"/>
        <w:rFonts w:eastAsia="Times New Roman" w:cs="Times New Roman"/>
        <w:color w:val="808184"/>
      </w:rPr>
      <w:fldChar w:fldCharType="end"/>
    </w:r>
    <w:r>
      <w:rPr>
        <w:rFonts w:eastAsia="Times New Roman" w:cs="Times New Roman"/>
        <w:color w:val="808184"/>
        <w:sz w:val="18"/>
      </w:rPr>
      <w:t xml:space="preserve"> of </w:t>
    </w:r>
    <w:r>
      <w:rPr>
        <w:rFonts w:eastAsia="Times New Roman" w:cs="Times New Roman"/>
        <w:color w:val="808184"/>
        <w:sz w:val="18"/>
      </w:rPr>
      <w:fldChar w:fldCharType="begin"/>
    </w:r>
    <w:r>
      <w:rPr>
        <w:sz w:val="18"/>
        <w:rFonts w:eastAsia="Times New Roman" w:cs="Times New Roman"/>
        <w:color w:val="808184"/>
      </w:rPr>
      <w:instrText xml:space="preserve"> NUMPAGES </w:instrText>
    </w:r>
    <w:r>
      <w:rPr>
        <w:sz w:val="18"/>
        <w:rFonts w:eastAsia="Times New Roman" w:cs="Times New Roman"/>
        <w:color w:val="808184"/>
      </w:rPr>
      <w:fldChar w:fldCharType="separate"/>
    </w:r>
    <w:r>
      <w:rPr>
        <w:sz w:val="18"/>
        <w:rFonts w:eastAsia="Times New Roman" w:cs="Times New Roman"/>
        <w:color w:val="808184"/>
      </w:rPr>
      <w:t>6</w:t>
    </w:r>
    <w:r>
      <w:rPr>
        <w:sz w:val="18"/>
        <w:rFonts w:eastAsia="Times New Roman" w:cs="Times New Roman"/>
        <w:color w:val="80818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4" w:color="E3E3E4"/>
      </w:pBdr>
      <w:jc w:val="right"/>
      <w:rPr/>
    </w:pPr>
    <w:r>
      <w:rPr>
        <w:rFonts w:eastAsia="Times New Roman" w:cs="Times New Roman"/>
        <w:color w:val="808184"/>
        <w:sz w:val="18"/>
      </w:rPr>
      <w:t>CortexPLM Coverage Checklist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both"/>
    </w:pPr>
    <w:rPr>
      <w:rFonts w:ascii="Times New Roman" w:hAnsi="Times New Roman" w:eastAsia="Times New Roman" w:cs=""/>
      <w:color w:val="3A3A3C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8" w:space="4" w:color="E07B00"/>
      </w:pBdr>
      <w:spacing w:before="360" w:after="160"/>
      <w:jc w:val="left"/>
      <w:outlineLvl w:val="0"/>
    </w:pPr>
    <w:rPr>
      <w:rFonts w:ascii="Times New Roman" w:hAnsi="Times New Roman" w:eastAsia="Times New Roman"/>
      <w:b/>
      <w:bCs/>
      <w:i w:val="false"/>
      <w:color w:val="E07B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20"/>
      <w:jc w:val="left"/>
      <w:outlineLvl w:val="1"/>
    </w:pPr>
    <w:rPr>
      <w:rFonts w:ascii="Times New Roman" w:hAnsi="Times New Roman" w:eastAsia="Times New Roman"/>
      <w:b/>
      <w:bCs/>
      <w:i w:val="false"/>
      <w:color w:val="3A3A3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80"/>
      <w:jc w:val="left"/>
      <w:outlineLvl w:val="2"/>
    </w:pPr>
    <w:rPr>
      <w:rFonts w:ascii="Times New Roman" w:hAnsi="Times New Roman" w:eastAsia="Times New Roman"/>
      <w:b/>
      <w:bCs/>
      <w:i w:val="false"/>
      <w:color w:val="E07B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  <w:jc w:val="left"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  <w:jc w:val="left"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746" w:leader="dot"/>
      </w:tabs>
      <w:ind w:hanging="0" w:left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6</Pages>
  <Words>1486</Words>
  <Characters>8487</Characters>
  <CharactersWithSpaces>9647</CharactersWithSpaces>
  <Paragraphs>323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POWERACT Consulting</dc:creator>
  <dc:description>generated by python-docx</dc:description>
  <dc:language>en-US</dc:language>
  <cp:lastModifiedBy/>
  <dcterms:modified xsi:type="dcterms:W3CDTF">2026-09-23T10:27:31Z</dcterms:modified>
  <cp:revision>2</cp:revision>
  <dc:subject/>
  <dc:title>CortexPLM Coverage Checklist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