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i w:val="0"/>
          <w:color w:val="333333"/>
          <w:sz w:val="30"/>
        </w:rPr>
        <w:t xml:space="preserve">POWERACT CONSULTING</w:t>
      </w:r>
    </w:p>
    <w:p>
      <w:pPr>
        <w:pStyle w:val="BodyText"/>
        <w:jc w:val="center"/>
      </w:pPr>
      <w:r>
        <w:rPr>
          <w:bCs/>
          <w:b/>
          <w:i w:val="0"/>
          <w:color w:val="1F4B45"/>
          <w:sz w:val="52"/>
        </w:rPr>
        <w:t xml:space="preserve">Running an ERP Implementation on journi</w:t>
      </w:r>
    </w:p>
    <w:p>
      <w:pPr>
        <w:pStyle w:val="BodyText"/>
        <w:jc w:val="center"/>
      </w:pPr>
      <w:r>
        <w:rPr>
          <w:bCs/>
          <w:b/>
          <w:i w:val="0"/>
          <w:color w:val="333333"/>
          <w:sz w:val="32"/>
        </w:rPr>
        <w:t xml:space="preserve">A Practical User Guide</w:t>
      </w:r>
    </w:p>
    <w:p>
      <w:pPr>
        <w:pStyle w:val="BodyText"/>
        <w:jc w:val="center"/>
      </w:pPr>
      <w:r>
        <w:rPr>
          <w:iCs/>
          <w:b w:val="0"/>
          <w:i/>
          <w:color w:val="333333"/>
          <w:sz w:val="23"/>
        </w:rPr>
        <w:t xml:space="preserve">Executive Summary · Process Map · Week-by-Week Playbook</w:t>
      </w:r>
    </w:p>
    <w:p>
      <w:pPr>
        <w:pStyle w:val="BodyText"/>
        <w:jc w:val="center"/>
      </w:pPr>
      <w:r>
        <w:rPr>
          <w:iCs/>
          <w:b w:val="0"/>
          <w:i/>
          <w:color w:val="333333"/>
          <w:sz w:val="23"/>
        </w:rPr>
        <w:t xml:space="preserve">SIPOC, Techniques &amp; RACSI per Task and Step · Tracking Dashboard · Simulated Data Walkthrough</w:t>
      </w:r>
    </w:p>
    <w:p>
      <w:pPr>
        <w:pStyle w:val="BodyText"/>
        <w:jc w:val="center"/>
      </w:pPr>
      <w:r>
        <w:rPr>
          <w:iCs/>
          <w:b w:val="0"/>
          <w:i/>
          <w:color w:val="333333"/>
          <w:sz w:val="23"/>
        </w:rPr>
        <w:t xml:space="preserve">Applied to a 12-Month, Vendor-Agnostic ERP Program</w:t>
      </w:r>
    </w:p>
    <w:p>
      <w:pPr>
        <w:pStyle w:val="BodyText"/>
        <w:jc w:val="center"/>
      </w:pPr>
      <w:r>
        <w:rPr>
          <w:b w:val="0"/>
          <w:i w:val="0"/>
          <w:color w:val="333333"/>
          <w:sz w:val="22"/>
        </w:rPr>
        <w:t xml:space="preserve">Built on journi's Framework Interaction Map v2.1</w:t>
      </w:r>
    </w:p>
    <w:p>
      <w:pPr>
        <w:pStyle w:val="BodyText"/>
        <w:jc w:val="center"/>
      </w:pPr>
      <w:r>
        <w:rPr>
          <w:b w:val="0"/>
          <w:i w:val="0"/>
          <w:color w:val="333333"/>
          <w:sz w:val="22"/>
        </w:rPr>
        <w:t xml:space="preserve">Lewin · Prosci ADKAR · Bridges' Transition Model · Kübler-Ross Change Curve</w:t>
      </w:r>
    </w:p>
    <w:p>
      <w:pPr>
        <w:pStyle w:val="BodyText"/>
        <w:jc w:val="center"/>
      </w:pPr>
      <w:r>
        <w:rPr>
          <w:b w:val="0"/>
          <w:i w:val="0"/>
          <w:color w:val="333333"/>
          <w:sz w:val="21"/>
        </w:rPr>
        <w:t xml:space="preserve">Version 2.0 · August 2026 · Confidential</w:t>
      </w:r>
    </w:p>
    <w:p>
      <w:pPr>
        <w:pStyle w:val="BodyText"/>
      </w:pPr>
      <w:r>
        <w:rPr>
          <w:bCs/>
          <w:b/>
          <w:color w:val="1F4B45"/>
          <w:sz w:val="34"/>
        </w:rPr>
        <w:t xml:space="preserve">Table of Contents</w:t>
      </w:r>
    </w:p>
    <w:p>
      <w:pPr>
        <w:pStyle w:val="BodyText"/>
      </w:pPr>
      <w:r>
        <w:rPr>
          <w:bCs/>
          <w:b/>
        </w:rPr>
        <w:t xml:space="preserve">Executive Summary</w:t>
      </w:r>
      <w:r>
        <w:t xml:space="preserve"> </w:t>
      </w:r>
      <w:r>
        <w:t xml:space="preserve">4</w:t>
      </w:r>
    </w:p>
    <w:p>
      <w:pPr>
        <w:pStyle w:val="BlockText"/>
      </w:pPr>
      <w:r>
        <w:t xml:space="preserve">What This Guide Contains 4</w:t>
      </w:r>
    </w:p>
    <w:p>
      <w:pPr>
        <w:pStyle w:val="BlockText"/>
      </w:pPr>
      <w:r>
        <w:t xml:space="preserve">How to Use It 4</w:t>
      </w:r>
    </w:p>
    <w:p>
      <w:pPr>
        <w:pStyle w:val="FirstParagraph"/>
      </w:pPr>
      <w:r>
        <w:rPr>
          <w:bCs/>
          <w:b/>
        </w:rPr>
        <w:t xml:space="preserve">1. Introduction</w:t>
      </w:r>
      <w:r>
        <w:t xml:space="preserve"> </w:t>
      </w:r>
      <w:r>
        <w:t xml:space="preserve">5</w:t>
      </w:r>
    </w:p>
    <w:p>
      <w:pPr>
        <w:pStyle w:val="BlockText"/>
      </w:pPr>
      <w:r>
        <w:t xml:space="preserve">1.1 Purpose of This Guide 5</w:t>
      </w:r>
    </w:p>
    <w:p>
      <w:pPr>
        <w:pStyle w:val="BlockText"/>
      </w:pPr>
      <w:r>
        <w:t xml:space="preserve">1.2 Who This Guide Is For 5</w:t>
      </w:r>
    </w:p>
    <w:p>
      <w:pPr>
        <w:pStyle w:val="BlockText"/>
      </w:pPr>
      <w:r>
        <w:t xml:space="preserve">1.3 How the Eight journi Phases Map to a 12-Month Calendar 5</w:t>
      </w:r>
    </w:p>
    <w:p>
      <w:pPr>
        <w:pStyle w:val="FirstParagraph"/>
      </w:pPr>
      <w:r>
        <w:rPr>
          <w:bCs/>
          <w:b/>
        </w:rPr>
        <w:t xml:space="preserve">2. Getting Started in journi</w:t>
      </w:r>
      <w:r>
        <w:t xml:space="preserve"> </w:t>
      </w:r>
      <w:r>
        <w:t xml:space="preserve">7</w:t>
      </w:r>
    </w:p>
    <w:p>
      <w:pPr>
        <w:pStyle w:val="BlockText"/>
      </w:pPr>
      <w:r>
        <w:t xml:space="preserve">2.1 Core Modules Referenced Throughout This Guide 7</w:t>
      </w:r>
    </w:p>
    <w:p>
      <w:pPr>
        <w:pStyle w:val="BlockText"/>
      </w:pPr>
      <w:r>
        <w:t xml:space="preserve">2.2 One Rule Before You Start Logging Anything 7</w:t>
      </w:r>
    </w:p>
    <w:p>
      <w:pPr>
        <w:pStyle w:val="BlockText"/>
      </w:pPr>
      <w:r>
        <w:t xml:space="preserve">2.3 journi's Two Computed Metrics (the only automated calls journi makes) 7</w:t>
      </w:r>
    </w:p>
    <w:p>
      <w:pPr>
        <w:pStyle w:val="BlockText"/>
      </w:pPr>
      <w:r>
        <w:t xml:space="preserve">2.4 Where to Find journi Cross-References in This Guide 7</w:t>
      </w:r>
    </w:p>
    <w:p>
      <w:pPr>
        <w:pStyle w:val="FirstParagraph"/>
      </w:pPr>
      <w:r>
        <w:rPr>
          <w:bCs/>
          <w:b/>
        </w:rPr>
        <w:t xml:space="preserve">3. The Four Frameworks — Quick Primer and Signal Catalogue</w:t>
      </w:r>
      <w:r>
        <w:t xml:space="preserve"> </w:t>
      </w:r>
      <w:r>
        <w:t xml:space="preserve">8</w:t>
      </w:r>
    </w:p>
    <w:p>
      <w:pPr>
        <w:pStyle w:val="BlockText"/>
      </w:pPr>
      <w:r>
        <w:t xml:space="preserve">3.1 Lewin's Unfreeze – Change – Refreeze 8</w:t>
      </w:r>
    </w:p>
    <w:p>
      <w:pPr>
        <w:pStyle w:val="BlockText"/>
      </w:pPr>
      <w:r>
        <w:t xml:space="preserve">3.2 Prosci ADKAR 8</w:t>
      </w:r>
    </w:p>
    <w:p>
      <w:pPr>
        <w:pStyle w:val="BlockText"/>
      </w:pPr>
      <w:r>
        <w:t xml:space="preserve">3.3 Bridges' Transition Model 9</w:t>
      </w:r>
    </w:p>
    <w:p>
      <w:pPr>
        <w:pStyle w:val="BlockText"/>
      </w:pPr>
      <w:r>
        <w:t xml:space="preserve">3.4 Kübler-Ross Change Curve 9</w:t>
      </w:r>
    </w:p>
    <w:p>
      <w:pPr>
        <w:pStyle w:val="BlockText"/>
      </w:pPr>
      <w:r>
        <w:t xml:space="preserve">3.5 The Project / Change / Joint Tag 9</w:t>
      </w:r>
    </w:p>
    <w:p>
      <w:pPr>
        <w:pStyle w:val="FirstParagraph"/>
      </w:pPr>
      <w:r>
        <w:rPr>
          <w:bCs/>
          <w:b/>
        </w:rPr>
        <w:t xml:space="preserve">4. Process Map — Macro Process, Tasks &amp; Nature</w:t>
      </w:r>
      <w:r>
        <w:t xml:space="preserve"> </w:t>
      </w:r>
      <w:r>
        <w:t xml:space="preserve">10</w:t>
      </w:r>
    </w:p>
    <w:p>
      <w:pPr>
        <w:pStyle w:val="BlockText"/>
      </w:pPr>
      <w:r>
        <w:t xml:space="preserve">4.1 Macro Process — Task — Nature Reference Table 10</w:t>
      </w:r>
    </w:p>
    <w:p>
      <w:pPr>
        <w:pStyle w:val="FirstParagraph"/>
      </w:pPr>
      <w:r>
        <w:rPr>
          <w:bCs/>
          <w:b/>
        </w:rPr>
        <w:t xml:space="preserve">5. Week-by-Week Implementation Timeline</w:t>
      </w:r>
      <w:r>
        <w:t xml:space="preserve"> </w:t>
      </w:r>
      <w:r>
        <w:t xml:space="preserve">13</w:t>
      </w:r>
    </w:p>
    <w:p>
      <w:pPr>
        <w:pStyle w:val="BlockText"/>
      </w:pPr>
      <w:r>
        <w:t xml:space="preserve">5.1 Phase 1 — Discovery &amp; Design (Weeks 1–12) 13</w:t>
      </w:r>
    </w:p>
    <w:p>
      <w:pPr>
        <w:pStyle w:val="BlockText"/>
      </w:pPr>
      <w:r>
        <w:t xml:space="preserve">5.2 Phase 2 — Build &amp; Configuration (Weeks 5–24 (overlaps Phase 1 close and Phase 3 start)) 13</w:t>
      </w:r>
    </w:p>
    <w:p>
      <w:pPr>
        <w:pStyle w:val="BlockText"/>
      </w:pPr>
      <w:r>
        <w:t xml:space="preserve">5.3 Phase 3 — Data Migration &amp; Integration (Weeks 13–28 (runs alongside Phase 2)) 14</w:t>
      </w:r>
    </w:p>
    <w:p>
      <w:pPr>
        <w:pStyle w:val="BlockText"/>
      </w:pPr>
      <w:r>
        <w:t xml:space="preserve">5.4 Phase 4 — Testing (SIT / UAT) (Weeks 25–32 (overlaps Phase 3 close and Phase 5)) 14</w:t>
      </w:r>
    </w:p>
    <w:p>
      <w:pPr>
        <w:pStyle w:val="BlockText"/>
      </w:pPr>
      <w:r>
        <w:t xml:space="preserve">5.5 Phase 5 — Training &amp; Change Readiness (Weeks 25–36 (overlaps Testing)) 15</w:t>
      </w:r>
    </w:p>
    <w:p>
      <w:pPr>
        <w:pStyle w:val="BlockText"/>
      </w:pPr>
      <w:r>
        <w:t xml:space="preserve">5.6 Phase 6 — Cutover &amp; Go-Live (Week 37 (short, discrete event)) 15</w:t>
      </w:r>
    </w:p>
    <w:p>
      <w:pPr>
        <w:pStyle w:val="BlockText"/>
      </w:pPr>
      <w:r>
        <w:t xml:space="preserve">5.7 Phase 7 — Hypercare &amp; Stabilization (Weeks 37–48) 16</w:t>
      </w:r>
    </w:p>
    <w:p>
      <w:pPr>
        <w:pStyle w:val="BlockText"/>
      </w:pPr>
      <w:r>
        <w:t xml:space="preserve">5.8 Phase 8 — Sustainment &amp; Closure (Weeks 45–52+) 16</w:t>
      </w:r>
    </w:p>
    <w:p>
      <w:pPr>
        <w:pStyle w:val="FirstParagraph"/>
      </w:pPr>
      <w:r>
        <w:rPr>
          <w:bCs/>
          <w:b/>
        </w:rPr>
        <w:t xml:space="preserve">6. Detailed Phase Playbooks — SIPOC, Timeline, Tasks, Steps &amp; RACSI</w:t>
      </w:r>
      <w:r>
        <w:t xml:space="preserve"> </w:t>
      </w:r>
      <w:r>
        <w:t xml:space="preserve">17</w:t>
      </w:r>
    </w:p>
    <w:p>
      <w:pPr>
        <w:pStyle w:val="BlockText"/>
      </w:pPr>
      <w:r>
        <w:t xml:space="preserve">6.1 Phase 1 — Discovery &amp; Design (Weeks 1–12) 18</w:t>
      </w:r>
    </w:p>
    <w:p>
      <w:pPr>
        <w:pStyle w:val="BlockText"/>
      </w:pPr>
      <w:r>
        <w:t xml:space="preserve">6.2 Phase 2 — Build &amp; Configuration (Weeks 5–24) 25</w:t>
      </w:r>
    </w:p>
    <w:p>
      <w:pPr>
        <w:pStyle w:val="BlockText"/>
      </w:pPr>
      <w:r>
        <w:t xml:space="preserve">6.3 Phase 3 — Data Migration &amp; Integration (Weeks 13–28) 32</w:t>
      </w:r>
    </w:p>
    <w:p>
      <w:pPr>
        <w:pStyle w:val="BlockText"/>
      </w:pPr>
      <w:r>
        <w:t xml:space="preserve">6.4 Phase 4 — Testing (SIT / UAT) (Weeks 25–32) 39</w:t>
      </w:r>
    </w:p>
    <w:p>
      <w:pPr>
        <w:pStyle w:val="BlockText"/>
      </w:pPr>
      <w:r>
        <w:t xml:space="preserve">6.5 Phase 5 — Training &amp; Change Readiness (Weeks 25–36) 45</w:t>
      </w:r>
    </w:p>
    <w:p>
      <w:pPr>
        <w:pStyle w:val="BlockText"/>
      </w:pPr>
      <w:r>
        <w:t xml:space="preserve">6.6 Phase 6 — Cutover &amp; Go-Live (Week 37) 52</w:t>
      </w:r>
    </w:p>
    <w:p>
      <w:pPr>
        <w:pStyle w:val="BlockText"/>
      </w:pPr>
      <w:r>
        <w:t xml:space="preserve">6.7 Phase 7 — Hypercare &amp; Stabilization (Weeks 37–48) 58</w:t>
      </w:r>
    </w:p>
    <w:p>
      <w:pPr>
        <w:pStyle w:val="BlockText"/>
      </w:pPr>
      <w:r>
        <w:t xml:space="preserve">6.8 Phase 8 — Sustainment &amp; Closure (Weeks 45–52+) 65</w:t>
      </w:r>
    </w:p>
    <w:p>
      <w:pPr>
        <w:pStyle w:val="FirstParagraph"/>
      </w:pPr>
      <w:r>
        <w:rPr>
          <w:bCs/>
          <w:b/>
        </w:rPr>
        <w:t xml:space="preserve">7. What to Track — By Cadence</w:t>
      </w:r>
      <w:r>
        <w:t xml:space="preserve"> </w:t>
      </w:r>
      <w:r>
        <w:t xml:space="preserve">72</w:t>
      </w:r>
    </w:p>
    <w:p>
      <w:pPr>
        <w:pStyle w:val="BlockText"/>
      </w:pPr>
      <w:r>
        <w:t xml:space="preserve">7.1 Daily 72</w:t>
      </w:r>
    </w:p>
    <w:p>
      <w:pPr>
        <w:pStyle w:val="BlockText"/>
      </w:pPr>
      <w:r>
        <w:t xml:space="preserve">7.2 Weekly 72</w:t>
      </w:r>
    </w:p>
    <w:p>
      <w:pPr>
        <w:pStyle w:val="BlockText"/>
      </w:pPr>
      <w:r>
        <w:t xml:space="preserve">7.3 Bi-Weekly 72</w:t>
      </w:r>
    </w:p>
    <w:p>
      <w:pPr>
        <w:pStyle w:val="BlockText"/>
      </w:pPr>
      <w:r>
        <w:t xml:space="preserve">7.4 Monthly 72</w:t>
      </w:r>
    </w:p>
    <w:p>
      <w:pPr>
        <w:pStyle w:val="BlockText"/>
      </w:pPr>
      <w:r>
        <w:t xml:space="preserve">7.5 Escalation Thresholds 73</w:t>
      </w:r>
    </w:p>
    <w:p>
      <w:pPr>
        <w:pStyle w:val="BlockText"/>
      </w:pPr>
      <w:r>
        <w:t xml:space="preserve">7.6 Weekly Dashboard — What a Healthy Week Looks Like 73</w:t>
      </w:r>
    </w:p>
    <w:p>
      <w:pPr>
        <w:pStyle w:val="FirstParagraph"/>
      </w:pPr>
      <w:r>
        <w:rPr>
          <w:bCs/>
          <w:b/>
        </w:rPr>
        <w:t xml:space="preserve">8. Simulated Data Walkthrough — Project Meridian</w:t>
      </w:r>
      <w:r>
        <w:t xml:space="preserve"> </w:t>
      </w:r>
      <w:r>
        <w:t xml:space="preserve">74</w:t>
      </w:r>
    </w:p>
    <w:p>
      <w:pPr>
        <w:pStyle w:val="BlockText"/>
      </w:pPr>
      <w:r>
        <w:t xml:space="preserve">8.1 Reading the Simulation 75</w:t>
      </w:r>
    </w:p>
    <w:p>
      <w:pPr>
        <w:pStyle w:val="FirstParagraph"/>
      </w:pPr>
      <w:r>
        <w:rPr>
          <w:bCs/>
          <w:b/>
        </w:rPr>
        <w:t xml:space="preserve">9. Exception Playbook — Detailed SIPOC, Tasks, Steps &amp; RACSI</w:t>
      </w:r>
      <w:r>
        <w:t xml:space="preserve"> </w:t>
      </w:r>
      <w:r>
        <w:t xml:space="preserve">76</w:t>
      </w:r>
    </w:p>
    <w:p>
      <w:pPr>
        <w:pStyle w:val="BlockText"/>
      </w:pPr>
      <w:r>
        <w:t xml:space="preserve">9.1 E1 — Desire Stall During Data Migration &amp; Integration 77</w:t>
      </w:r>
    </w:p>
    <w:p>
      <w:pPr>
        <w:pStyle w:val="BlockText"/>
      </w:pPr>
      <w:r>
        <w:t xml:space="preserve">9.2 E2 — Divergence Pattern Detected During Testing / Training 81</w:t>
      </w:r>
    </w:p>
    <w:p>
      <w:pPr>
        <w:pStyle w:val="BlockText"/>
      </w:pPr>
      <w:r>
        <w:t xml:space="preserve">9.3 E3 — Two-Clock Problem at Cutover &amp; Go-Live 85</w:t>
      </w:r>
    </w:p>
    <w:p>
      <w:pPr>
        <w:pStyle w:val="BlockText"/>
      </w:pPr>
      <w:r>
        <w:t xml:space="preserve">9.4 E4 — Sentiment Regression During Hypercare 90</w:t>
      </w:r>
    </w:p>
    <w:p>
      <w:pPr>
        <w:pStyle w:val="BlockText"/>
      </w:pPr>
      <w:r>
        <w:t xml:space="preserve">9.5 E5 — Reinforcement Gap at Sustainment &amp; Closure 94</w:t>
      </w:r>
    </w:p>
    <w:p>
      <w:pPr>
        <w:pStyle w:val="BlockText"/>
      </w:pPr>
      <w:r>
        <w:t xml:space="preserve">9.6 E6 — Cohort Divergence Across Sites or Departments 98</w:t>
      </w:r>
    </w:p>
    <w:p>
      <w:pPr>
        <w:pStyle w:val="FirstParagraph"/>
      </w:pPr>
      <w:r>
        <w:rPr>
          <w:bCs/>
          <w:b/>
        </w:rPr>
        <w:t xml:space="preserve">10. Governance &amp; Reporting Cadence</w:t>
      </w:r>
      <w:r>
        <w:t xml:space="preserve"> </w:t>
      </w:r>
      <w:r>
        <w:t xml:space="preserve">103</w:t>
      </w:r>
    </w:p>
    <w:p>
      <w:pPr>
        <w:pStyle w:val="BodyText"/>
      </w:pPr>
      <w:r>
        <w:rPr>
          <w:bCs/>
          <w:b/>
        </w:rPr>
        <w:t xml:space="preserve">Appendix — Quick Reference</w:t>
      </w:r>
      <w:r>
        <w:t xml:space="preserve"> </w:t>
      </w:r>
      <w:r>
        <w:t xml:space="preserve">104</w:t>
      </w:r>
    </w:p>
    <w:p>
      <w:pPr>
        <w:pStyle w:val="BlockText"/>
      </w:pPr>
      <w:r>
        <w:t xml:space="preserve">A.1 Role Legend 104</w:t>
      </w:r>
    </w:p>
    <w:p>
      <w:pPr>
        <w:pStyle w:val="BlockText"/>
      </w:pPr>
      <w:r>
        <w:t xml:space="preserve">A.2 RACSI Legend 104</w:t>
      </w:r>
    </w:p>
    <w:p>
      <w:pPr>
        <w:pStyle w:val="BlockText"/>
      </w:pPr>
      <w:r>
        <w:t xml:space="preserve">A.3 Project / Change Tag Legend 104</w:t>
      </w:r>
    </w:p>
    <w:p>
      <w:pPr>
        <w:pStyle w:val="BlockText"/>
      </w:pPr>
      <w:r>
        <w:t xml:space="preserve">A.4 Blank Weekly Tracker Template 104</w:t>
      </w:r>
    </w:p>
    <w:p>
      <w:pPr>
        <w:pStyle w:val="BlockText"/>
      </w:pPr>
      <w:r>
        <w:t xml:space="preserve">A.5 Consolidated Open-Source Tool Reference 105</w:t>
      </w:r>
    </w:p>
    <w:p>
      <w:pPr>
        <w:pStyle w:val="BlockText"/>
      </w:pPr>
      <w:r>
        <w:t xml:space="preserve">A.6 Recommended Reading Order by Role 106</w:t>
      </w:r>
    </w:p>
    <w:p>
      <w:pPr>
        <w:pStyle w:val="BlockText"/>
      </w:pPr>
      <w:r>
        <w:t xml:space="preserve">A.7 Frequently Asked Questions 106</w:t>
      </w:r>
    </w:p>
    <w:p>
      <w:pPr>
        <w:pStyle w:val="BlockText"/>
      </w:pPr>
      <w:r>
        <w:t xml:space="preserve">A.8 Glossary 107</w:t>
      </w:r>
    </w:p>
    <w:p>
      <w:pPr>
        <w:pStyle w:val="BlockText"/>
      </w:pPr>
      <w:r>
        <w:t xml:space="preserve">A.9 Technique Reference107</w:t>
      </w:r>
    </w:p>
    <w:p>
      <w:pPr>
        <w:pStyle w:val="FirstParagraph"/>
      </w:pPr>
      <w:r>
        <w:rPr>
          <w:bCs/>
          <w:b/>
          <w:color w:val="1F4B45"/>
          <w:sz w:val="34"/>
        </w:rPr>
        <w:t xml:space="preserve">Executive Summary</w:t>
      </w:r>
    </w:p>
    <w:p>
      <w:pPr>
        <w:pStyle w:val="BodyText"/>
      </w:pPr>
      <w:r>
        <w:t xml:space="preserve">This guide operationalizes journi's Framework Interaction Map for a 12-month, vendor-agnostic ERP implementation. It is built for day-to-day use: a Change Manager, Project Manager, Executive Sponsor or Frontline Supervisor should be able to open any page and know exactly what to do that week, which journi module to update, and what evidence to log.</w:t>
      </w:r>
    </w:p>
    <w:p>
      <w:pPr>
        <w:pStyle w:val="BodyText"/>
      </w:pPr>
      <w:r>
        <w:t xml:space="preserve">The guide covers 8 implementation phases, broken into 40 Tasks (15 Project Management, 16 Change Management, 9 Joint), each broken further into 80 individually specified Steps — every Step naming a facilitation or analysis technique, its goal, a working description of how to run it, and a recommended open-source tool. Six recurring exception patterns (E1–E6), covering a further 30 recovery Tasks, tell the Change Manager exactly what to do when the normal flow breaks down in one of its typical, recognizable ways.</w:t>
      </w:r>
    </w:p>
    <w:p>
      <w:pPr>
        <w:pStyle w:val="BodyText"/>
      </w:pPr>
      <w:r>
        <w:rPr>
          <w:bCs/>
          <w:b/>
        </w:rPr>
        <w:t xml:space="preserve">What This Guide Contains</w:t>
      </w:r>
    </w:p>
    <w:p>
      <w:pPr>
        <w:numPr>
          <w:ilvl w:val="0"/>
          <w:numId w:val="1001"/>
        </w:numPr>
      </w:pPr>
      <w:r>
        <w:t xml:space="preserve">A visual Process Map of all 8 phases and every Task, colored by nature (Project Management, Change Management, or Joint), so the two disciplines' contributions are visible at a glance (Section 4).</w:t>
      </w:r>
    </w:p>
    <w:p>
      <w:pPr>
        <w:numPr>
          <w:ilvl w:val="0"/>
          <w:numId w:val="1001"/>
        </w:numPr>
      </w:pPr>
      <w:r>
        <w:t xml:space="preserve">A week-by-week timeline across the full 12-month program, phase by phase (Section 5).</w:t>
      </w:r>
    </w:p>
    <w:p>
      <w:pPr>
        <w:numPr>
          <w:ilvl w:val="0"/>
          <w:numId w:val="1001"/>
        </w:numPr>
      </w:pPr>
      <w:r>
        <w:t xml:space="preserve">A full operational playbook for every phase: SIPOC, timeline, and every Task broken into Steps with technique, goal, execution detail, recommended open-source tool, journi module cross-references, and RACSI (Section 6).</w:t>
      </w:r>
    </w:p>
    <w:p>
      <w:pPr>
        <w:numPr>
          <w:ilvl w:val="0"/>
          <w:numId w:val="1001"/>
        </w:numPr>
      </w:pPr>
      <w:r>
        <w:t xml:space="preserve">A cadence-based tracking model — daily, weekly, bi-weekly, monthly — with explicit escalation thresholds (Section 7).</w:t>
      </w:r>
    </w:p>
    <w:p>
      <w:pPr>
        <w:numPr>
          <w:ilvl w:val="0"/>
          <w:numId w:val="1001"/>
        </w:numPr>
      </w:pPr>
      <w:r>
        <w:t xml:space="preserve">A fully simulated 12-month program,</w:t>
      </w:r>
      <w:r>
        <w:t xml:space="preserve"> </w:t>
      </w:r>
      <w:r>
        <w:t xml:space="preserve">“</w:t>
      </w:r>
      <w:r>
        <w:t xml:space="preserve">Project Meridian,</w:t>
      </w:r>
      <w:r>
        <w:t xml:space="preserve">”</w:t>
      </w:r>
      <w:r>
        <w:t xml:space="preserve"> </w:t>
      </w:r>
      <w:r>
        <w:t xml:space="preserve">showing what the framework readings and journi's alerts actually look like month over month (Section 8).</w:t>
      </w:r>
    </w:p>
    <w:p>
      <w:pPr>
        <w:numPr>
          <w:ilvl w:val="0"/>
          <w:numId w:val="1001"/>
        </w:numPr>
      </w:pPr>
      <w:r>
        <w:t xml:space="preserve">The same SIPOC / Task / Step / RACSI detail applied to all six exception patterns (Section 9).</w:t>
      </w:r>
    </w:p>
    <w:p>
      <w:pPr>
        <w:numPr>
          <w:ilvl w:val="0"/>
          <w:numId w:val="1001"/>
        </w:numPr>
      </w:pPr>
      <w:r>
        <w:t xml:space="preserve">Standing governance cadence, a consolidated open-source tool reference, a role-based reading guide, an FAQ, and a glossary (Section 10 and Appendix).</w:t>
      </w:r>
    </w:p>
    <w:p>
      <w:pPr>
        <w:pStyle w:val="FirstParagraph"/>
      </w:pPr>
      <w:r>
        <w:rPr>
          <w:bCs/>
          <w:b/>
        </w:rPr>
        <w:t xml:space="preserve">How to Use It</w:t>
      </w:r>
    </w:p>
    <w:p>
      <w:pPr>
        <w:pStyle w:val="BodyText"/>
      </w:pPr>
      <w:r>
        <w:t xml:space="preserve">Read Sections 1–3 once, at the start of the program, to establish shared vocabulary. From there, use the guide as a reference: Section 5 for</w:t>
      </w:r>
      <w:r>
        <w:t xml:space="preserve"> </w:t>
      </w:r>
      <w:r>
        <w:t xml:space="preserve">“</w:t>
      </w:r>
      <w:r>
        <w:t xml:space="preserve">what happens this week,</w:t>
      </w:r>
      <w:r>
        <w:t xml:space="preserve">”</w:t>
      </w:r>
      <w:r>
        <w:t xml:space="preserve"> </w:t>
      </w:r>
      <w:r>
        <w:t xml:space="preserve">Section 6 for</w:t>
      </w:r>
      <w:r>
        <w:t xml:space="preserve"> </w:t>
      </w:r>
      <w:r>
        <w:t xml:space="preserve">“</w:t>
      </w:r>
      <w:r>
        <w:t xml:space="preserve">exactly how do I run this Task,</w:t>
      </w:r>
      <w:r>
        <w:t xml:space="preserve">”</w:t>
      </w:r>
      <w:r>
        <w:t xml:space="preserve"> </w:t>
      </w:r>
      <w:r>
        <w:t xml:space="preserve">Section 7 for</w:t>
      </w:r>
      <w:r>
        <w:t xml:space="preserve"> </w:t>
      </w:r>
      <w:r>
        <w:t xml:space="preserve">“</w:t>
      </w:r>
      <w:r>
        <w:t xml:space="preserve">what should I be checking right now,</w:t>
      </w:r>
      <w:r>
        <w:t xml:space="preserve">”</w:t>
      </w:r>
      <w:r>
        <w:t xml:space="preserve"> </w:t>
      </w:r>
      <w:r>
        <w:t xml:space="preserve">and Section 9 the moment something looks like it's going off the expected path. Appendix A.6 gives a role-specific reading order if you don't want to read linearly.</w:t>
      </w:r>
    </w:p>
    <w:p>
      <w:pPr>
        <w:pStyle w:val="BodyText"/>
      </w:pPr>
      <w:r>
        <w:rPr>
          <w:bCs/>
          <w:b/>
          <w:color w:val="1F4B45"/>
          <w:sz w:val="34"/>
        </w:rPr>
        <w:t xml:space="preserve">1. Introduction</w:t>
      </w:r>
    </w:p>
    <w:p>
      <w:pPr>
        <w:pStyle w:val="BodyText"/>
      </w:pPr>
      <w:r>
        <w:rPr>
          <w:bCs/>
          <w:b/>
          <w:color w:val="275650"/>
          <w:sz w:val="27"/>
        </w:rPr>
        <w:t xml:space="preserve">1.1 Purpose of This Guide</w:t>
      </w:r>
    </w:p>
    <w:p>
      <w:pPr>
        <w:pStyle w:val="BodyText"/>
      </w:pPr>
      <w:r>
        <w:t xml:space="preserve">This is a practitioner's how-to guide, not a framework reference. It tells a Change Manager, Project Manager, Sponsor and Frontline Supervisor what to do, week by week, over the course of a 12-month ERP implementation running on journi — and exactly what to track, when, and why. It assumes the reader already understands the four frameworks journi tracks (Lewin, Prosci ADKAR, Bridges' Transition Model and the Kübler-Ross Change Curve) at a conceptual level; Section 3 provides a condensed refresher with the observable signs behind every stage.</w:t>
      </w:r>
    </w:p>
    <w:p>
      <w:pPr>
        <w:pStyle w:val="BodyText"/>
      </w:pPr>
      <w:r>
        <w:t xml:space="preserve">Section 6 breaks every phase down to its full operational detail — every Task's SIPOC, every Step within it with a named technique, goal, execution detail and recommended open-source tool, and a RACSI assignment (allowing more than one Responsible role, but exactly one Accountable role). Section 8 then walks through a fully simulated program —</w:t>
      </w:r>
      <w:r>
        <w:t xml:space="preserve"> </w:t>
      </w:r>
      <w:r>
        <w:t xml:space="preserve">“</w:t>
      </w:r>
      <w:r>
        <w:t xml:space="preserve">Project Meridian</w:t>
      </w:r>
      <w:r>
        <w:t xml:space="preserve">”</w:t>
      </w:r>
      <w:r>
        <w:t xml:space="preserve"> </w:t>
      </w:r>
      <w:r>
        <w:t xml:space="preserve">— so the reader can see what the framework readings, the Composite Readiness Index, and journi's exception alerts actually look like month over month, rather than only reading about them in the abstract.</w:t>
      </w:r>
    </w:p>
    <w:p>
      <w:pPr>
        <w:pStyle w:val="BodyText"/>
      </w:pPr>
      <w:r>
        <w:rPr>
          <w:bCs/>
          <w:b/>
          <w:color w:val="275650"/>
          <w:sz w:val="27"/>
        </w:rPr>
        <w:t xml:space="preserve">1.2 Who This Guide Is For</w:t>
      </w:r>
    </w:p>
    <w:p>
      <w:pPr>
        <w:numPr>
          <w:ilvl w:val="0"/>
          <w:numId w:val="1002"/>
        </w:numPr>
      </w:pPr>
      <w:r>
        <w:t xml:space="preserve">Change Manager (CM) — the primary user of this guide; owns the four framework readings and the adoption plan.</w:t>
      </w:r>
    </w:p>
    <w:p>
      <w:pPr>
        <w:numPr>
          <w:ilvl w:val="0"/>
          <w:numId w:val="1002"/>
        </w:numPr>
      </w:pPr>
      <w:r>
        <w:t xml:space="preserve">Program / Project Manager (PM) — owns scope, schedule, budget and delivery milestones.</w:t>
      </w:r>
    </w:p>
    <w:p>
      <w:pPr>
        <w:numPr>
          <w:ilvl w:val="0"/>
          <w:numId w:val="1002"/>
        </w:numPr>
      </w:pPr>
      <w:r>
        <w:t xml:space="preserve">Executive Sponsor (ES) — owns the business case, delivers high-stakes messages, and clears organizational barriers.</w:t>
      </w:r>
    </w:p>
    <w:p>
      <w:pPr>
        <w:numPr>
          <w:ilvl w:val="0"/>
          <w:numId w:val="1002"/>
        </w:numPr>
      </w:pPr>
      <w:r>
        <w:t xml:space="preserve">Frontline Supervisors (SUP) — coach the cohort day to day and are the first line of defense against regression.</w:t>
      </w:r>
    </w:p>
    <w:p>
      <w:pPr>
        <w:pStyle w:val="FirstParagraph"/>
      </w:pPr>
      <w:r>
        <w:rPr>
          <w:bCs/>
          <w:b/>
          <w:color w:val="275650"/>
          <w:sz w:val="27"/>
        </w:rPr>
        <w:t xml:space="preserve">1.3 How the Eight journi Phases Map to a 12-Month Calendar</w:t>
      </w:r>
    </w:p>
    <w:p>
      <w:pPr>
        <w:pStyle w:val="BodyText"/>
      </w:pPr>
      <w:r>
        <w:t xml:space="preserve">journi's applied interaction map defines eight implementation phases. This guide converts those phase-level month ranges into a week-by-week calendar (Weeks 1–52+) so that day-to-day action items are unambiguous. Because real ERP programs run phases in parallel — Build &amp; Configuration overlaps Data Migration, which overlaps Testing — several week ranges below appear in more than one phase table. That overlap is intentional: it reflects the two workstreams (Project Management and Change Management) running concurrently, not a scheduling error.</w:t>
      </w:r>
    </w:p>
    <w:tbl>
      <w:tblPr>
        <w:tblStyle w:val="Table"/>
        <w:tblW w:type="pct" w:w="4904"/>
        <w:tblLook w:firstRow="1" w:lastRow="0" w:firstColumn="0" w:lastColumn="0" w:noHBand="0" w:noVBand="0" w:val="0020"/>
        <w:jc w:val="start"/>
      </w:tblPr>
      <w:tblGrid>
        <w:gridCol w:w="1066"/>
        <w:gridCol w:w="2360"/>
        <w:gridCol w:w="4340"/>
      </w:tblGrid>
      <w:tr>
        <w:trPr>
          <w:tblHeader w:val="true"/>
        </w:trPr>
        <w:tc>
          <w:tcPr>
            <w:shd w:val="clear" w:fill="1F4B45"/>
          </w:tcPr>
          <w:p>
            <w:pPr>
              <w:pStyle w:val="Compact"/>
              <w:jc w:val="left"/>
            </w:pPr>
            <w:r>
              <w:rPr>
                <w:bCs/>
                <w:b/>
                <w:color w:val="FFFFFF"/>
              </w:rPr>
              <w:t xml:space="preserve">Phase</w:t>
            </w:r>
          </w:p>
        </w:tc>
        <w:tc>
          <w:tcPr>
            <w:shd w:val="clear" w:fill="1F4B45"/>
          </w:tcPr>
          <w:p>
            <w:pPr>
              <w:pStyle w:val="Compact"/>
              <w:jc w:val="left"/>
            </w:pPr>
            <w:r>
              <w:rPr>
                <w:bCs/>
                <w:b/>
                <w:color w:val="FFFFFF"/>
              </w:rPr>
              <w:t xml:space="preserve">Title</w:t>
            </w:r>
          </w:p>
        </w:tc>
        <w:tc>
          <w:tcPr>
            <w:shd w:val="clear" w:fill="1F4B45"/>
          </w:tcPr>
          <w:p>
            <w:pPr>
              <w:pStyle w:val="Compact"/>
              <w:jc w:val="left"/>
            </w:pPr>
            <w:r>
              <w:rPr>
                <w:bCs/>
                <w:b/>
                <w:color w:val="FFFFFF"/>
              </w:rPr>
              <w:t xml:space="preserve">Weeks</w:t>
            </w:r>
          </w:p>
        </w:tc>
      </w:tr>
      <w:tr>
        <w:tc>
          <w:tcPr/>
          <w:p>
            <w:pPr>
              <w:pStyle w:val="Compact"/>
              <w:jc w:val="left"/>
            </w:pPr>
            <w:r>
              <w:rPr>
                <w:bCs/>
                <w:b/>
              </w:rPr>
              <w:t xml:space="preserve">Phase 1</w:t>
            </w:r>
          </w:p>
        </w:tc>
        <w:tc>
          <w:tcPr/>
          <w:p>
            <w:pPr>
              <w:pStyle w:val="Compact"/>
              <w:jc w:val="left"/>
            </w:pPr>
            <w:r>
              <w:t xml:space="preserve">Discovery &amp; Design</w:t>
            </w:r>
          </w:p>
        </w:tc>
        <w:tc>
          <w:tcPr/>
          <w:p>
            <w:pPr>
              <w:pStyle w:val="Compact"/>
              <w:jc w:val="left"/>
            </w:pPr>
            <w:r>
              <w:t xml:space="preserve">Weeks 1–12</w:t>
            </w:r>
          </w:p>
        </w:tc>
      </w:tr>
      <w:tr>
        <w:tc>
          <w:tcPr/>
          <w:p>
            <w:pPr>
              <w:pStyle w:val="Compact"/>
              <w:jc w:val="left"/>
            </w:pPr>
            <w:r>
              <w:rPr>
                <w:bCs/>
                <w:b/>
              </w:rPr>
              <w:t xml:space="preserve">Phase 2</w:t>
            </w:r>
          </w:p>
        </w:tc>
        <w:tc>
          <w:tcPr/>
          <w:p>
            <w:pPr>
              <w:pStyle w:val="Compact"/>
              <w:jc w:val="left"/>
            </w:pPr>
            <w:r>
              <w:t xml:space="preserve">Build &amp; Configuration</w:t>
            </w:r>
          </w:p>
        </w:tc>
        <w:tc>
          <w:tcPr/>
          <w:p>
            <w:pPr>
              <w:pStyle w:val="Compact"/>
              <w:jc w:val="left"/>
            </w:pPr>
            <w:r>
              <w:t xml:space="preserve">Weeks 5–24 (overlaps Phase 1 close and Phase 3 start)</w:t>
            </w:r>
          </w:p>
        </w:tc>
      </w:tr>
      <w:tr>
        <w:tc>
          <w:tcPr/>
          <w:p>
            <w:pPr>
              <w:pStyle w:val="Compact"/>
              <w:jc w:val="left"/>
            </w:pPr>
            <w:r>
              <w:rPr>
                <w:bCs/>
                <w:b/>
              </w:rPr>
              <w:t xml:space="preserve">Phase 3</w:t>
            </w:r>
          </w:p>
        </w:tc>
        <w:tc>
          <w:tcPr/>
          <w:p>
            <w:pPr>
              <w:pStyle w:val="Compact"/>
              <w:jc w:val="left"/>
            </w:pPr>
            <w:r>
              <w:t xml:space="preserve">Data Migration &amp; Integration</w:t>
            </w:r>
          </w:p>
        </w:tc>
        <w:tc>
          <w:tcPr/>
          <w:p>
            <w:pPr>
              <w:pStyle w:val="Compact"/>
              <w:jc w:val="left"/>
            </w:pPr>
            <w:r>
              <w:t xml:space="preserve">Weeks 13–28 (runs alongside Phase 2)</w:t>
            </w:r>
          </w:p>
        </w:tc>
      </w:tr>
      <w:tr>
        <w:tc>
          <w:tcPr/>
          <w:p>
            <w:pPr>
              <w:pStyle w:val="Compact"/>
              <w:jc w:val="left"/>
            </w:pPr>
            <w:r>
              <w:rPr>
                <w:bCs/>
                <w:b/>
              </w:rPr>
              <w:t xml:space="preserve">Phase 4</w:t>
            </w:r>
          </w:p>
        </w:tc>
        <w:tc>
          <w:tcPr/>
          <w:p>
            <w:pPr>
              <w:pStyle w:val="Compact"/>
              <w:jc w:val="left"/>
            </w:pPr>
            <w:r>
              <w:t xml:space="preserve">Testing (SIT / UAT)</w:t>
            </w:r>
          </w:p>
        </w:tc>
        <w:tc>
          <w:tcPr/>
          <w:p>
            <w:pPr>
              <w:pStyle w:val="Compact"/>
              <w:jc w:val="left"/>
            </w:pPr>
            <w:r>
              <w:t xml:space="preserve">Weeks 25–32 (overlaps Phase 3 close and Phase 5)</w:t>
            </w:r>
          </w:p>
        </w:tc>
      </w:tr>
      <w:tr>
        <w:tc>
          <w:tcPr/>
          <w:p>
            <w:pPr>
              <w:pStyle w:val="Compact"/>
              <w:jc w:val="left"/>
            </w:pPr>
            <w:r>
              <w:rPr>
                <w:bCs/>
                <w:b/>
              </w:rPr>
              <w:t xml:space="preserve">Phase 5</w:t>
            </w:r>
          </w:p>
        </w:tc>
        <w:tc>
          <w:tcPr/>
          <w:p>
            <w:pPr>
              <w:pStyle w:val="Compact"/>
              <w:jc w:val="left"/>
            </w:pPr>
            <w:r>
              <w:t xml:space="preserve">Training &amp; Change Readiness</w:t>
            </w:r>
          </w:p>
        </w:tc>
        <w:tc>
          <w:tcPr/>
          <w:p>
            <w:pPr>
              <w:pStyle w:val="Compact"/>
              <w:jc w:val="left"/>
            </w:pPr>
            <w:r>
              <w:t xml:space="preserve">Weeks 25–36 (overlaps Testing)</w:t>
            </w:r>
          </w:p>
        </w:tc>
      </w:tr>
      <w:tr>
        <w:tc>
          <w:tcPr/>
          <w:p>
            <w:pPr>
              <w:pStyle w:val="Compact"/>
              <w:jc w:val="left"/>
            </w:pPr>
            <w:r>
              <w:rPr>
                <w:bCs/>
                <w:b/>
              </w:rPr>
              <w:t xml:space="preserve">Phase 6</w:t>
            </w:r>
          </w:p>
        </w:tc>
        <w:tc>
          <w:tcPr/>
          <w:p>
            <w:pPr>
              <w:pStyle w:val="Compact"/>
              <w:jc w:val="left"/>
            </w:pPr>
            <w:r>
              <w:t xml:space="preserve">Cutover &amp; Go-Live</w:t>
            </w:r>
          </w:p>
        </w:tc>
        <w:tc>
          <w:tcPr/>
          <w:p>
            <w:pPr>
              <w:pStyle w:val="Compact"/>
              <w:jc w:val="left"/>
            </w:pPr>
            <w:r>
              <w:t xml:space="preserve">Week 37 (short, discrete event)</w:t>
            </w:r>
          </w:p>
        </w:tc>
      </w:tr>
      <w:tr>
        <w:tc>
          <w:tcPr/>
          <w:p>
            <w:pPr>
              <w:pStyle w:val="Compact"/>
              <w:jc w:val="left"/>
            </w:pPr>
            <w:r>
              <w:rPr>
                <w:bCs/>
                <w:b/>
              </w:rPr>
              <w:t xml:space="preserve">Phase 7</w:t>
            </w:r>
          </w:p>
        </w:tc>
        <w:tc>
          <w:tcPr/>
          <w:p>
            <w:pPr>
              <w:pStyle w:val="Compact"/>
              <w:jc w:val="left"/>
            </w:pPr>
            <w:r>
              <w:t xml:space="preserve">Hypercare &amp; Stabilization</w:t>
            </w:r>
          </w:p>
        </w:tc>
        <w:tc>
          <w:tcPr/>
          <w:p>
            <w:pPr>
              <w:pStyle w:val="Compact"/>
              <w:jc w:val="left"/>
            </w:pPr>
            <w:r>
              <w:t xml:space="preserve">Weeks 37–48</w:t>
            </w:r>
          </w:p>
        </w:tc>
      </w:tr>
      <w:tr>
        <w:tc>
          <w:tcPr/>
          <w:p>
            <w:pPr>
              <w:pStyle w:val="Compact"/>
              <w:jc w:val="left"/>
            </w:pPr>
            <w:r>
              <w:rPr>
                <w:bCs/>
                <w:b/>
              </w:rPr>
              <w:t xml:space="preserve">Phase 8</w:t>
            </w:r>
          </w:p>
        </w:tc>
        <w:tc>
          <w:tcPr/>
          <w:p>
            <w:pPr>
              <w:pStyle w:val="Compact"/>
              <w:jc w:val="left"/>
            </w:pPr>
            <w:r>
              <w:t xml:space="preserve">Sustainment &amp; Closure</w:t>
            </w:r>
          </w:p>
        </w:tc>
        <w:tc>
          <w:tcPr/>
          <w:p>
            <w:pPr>
              <w:pStyle w:val="Compact"/>
              <w:jc w:val="left"/>
            </w:pPr>
            <w:r>
              <w:t xml:space="preserve">Weeks 45–52+</w:t>
            </w:r>
          </w:p>
        </w:tc>
      </w:tr>
    </w:tbl>
    <w:p>
      <w:pPr>
        <w:pStyle w:val="BodyText"/>
      </w:pPr>
      <w:r>
        <w:rPr>
          <w:iCs/>
          <w:i/>
        </w:rPr>
        <w:t xml:space="preserve">Table 1.1 — The eight journi phases and their week ranges across the 12-month program.</w:t>
      </w:r>
    </w:p>
    <w:p>
      <w:pPr>
        <w:pStyle w:val="BodyText"/>
      </w:pPr>
      <w:r>
        <w:rPr>
          <w:bCs/>
          <w:b/>
          <w:color w:val="1F4B45"/>
          <w:sz w:val="34"/>
        </w:rPr>
        <w:t xml:space="preserve">2. Getting Started in journi</w:t>
      </w:r>
    </w:p>
    <w:p>
      <w:pPr>
        <w:pStyle w:val="BodyText"/>
      </w:pPr>
      <w:r>
        <w:rPr>
          <w:bCs/>
          <w:b/>
          <w:color w:val="275650"/>
          <w:sz w:val="27"/>
        </w:rPr>
        <w:t xml:space="preserve">2.1 Core Modules Referenced Throughout This Guide</w:t>
      </w:r>
    </w:p>
    <w:p>
      <w:pPr>
        <w:numPr>
          <w:ilvl w:val="0"/>
          <w:numId w:val="1003"/>
        </w:numPr>
      </w:pPr>
      <w:r>
        <w:t xml:space="preserve">M3 — Initiative &amp; Portfolio Registry: single-select Lewin phase; drives the Benchmarking reference band in M14 (Metrics &amp; Analytics Dashboard).</w:t>
      </w:r>
    </w:p>
    <w:p>
      <w:pPr>
        <w:numPr>
          <w:ilvl w:val="0"/>
          <w:numId w:val="1003"/>
        </w:numPr>
      </w:pPr>
      <w:r>
        <w:t xml:space="preserve">M4 — Stakeholder &amp; Impact Mapping: cohort, site and department structure used for disaggregated readiness views.</w:t>
      </w:r>
    </w:p>
    <w:p>
      <w:pPr>
        <w:numPr>
          <w:ilvl w:val="0"/>
          <w:numId w:val="1003"/>
        </w:numPr>
      </w:pPr>
      <w:r>
        <w:t xml:space="preserve">M5 — ADKAR Engine: five 1–5 block scores plus mandatory barrier-reason notes for any score ≤ 2 (auto-escalated).</w:t>
      </w:r>
    </w:p>
    <w:p>
      <w:pPr>
        <w:numPr>
          <w:ilvl w:val="0"/>
          <w:numId w:val="1003"/>
        </w:numPr>
      </w:pPr>
      <w:r>
        <w:t xml:space="preserve">M6 — Emotional &amp; Transition Layer: Bridges and Kübler-Ross, single-select or inferred from free text; feeds the Divergence Pattern Detector (Notification Center alert ALT-001, computed from M5 + M6 data) and the Composite Readiness Index.</w:t>
      </w:r>
    </w:p>
    <w:p>
      <w:pPr>
        <w:numPr>
          <w:ilvl w:val="0"/>
          <w:numId w:val="1003"/>
        </w:numPr>
      </w:pPr>
      <w:r>
        <w:t xml:space="preserve">M14 — Metrics &amp; Analytics Dashboard (Benchmarking tab): reference bands used at every go/no-go checkpoint.</w:t>
      </w:r>
    </w:p>
    <w:p>
      <w:pPr>
        <w:pStyle w:val="FirstParagraph"/>
      </w:pPr>
      <w:r>
        <w:rPr>
          <w:bCs/>
          <w:b/>
          <w:color w:val="275650"/>
          <w:sz w:val="27"/>
        </w:rPr>
        <w:t xml:space="preserve">2.2 One Rule Before You Start Logging Anything</w:t>
      </w:r>
    </w:p>
    <w:p>
      <w:pPr>
        <w:pStyle w:val="BodyText"/>
      </w:pPr>
      <w:r>
        <w:t xml:space="preserve">Every entry into journi should be backed by an observed signal — something a person said, something a person did, or something the data shows — not a gut-feel estimate. Section 3 catalogues the specific signals behind every stage of all four frameworks; Section 7 tells you which cadence to check them on. A score with no signal behind it is a guess wearing a number.</w:t>
      </w:r>
    </w:p>
    <w:p>
      <w:pPr>
        <w:pStyle w:val="BodyText"/>
      </w:pPr>
      <w:r>
        <w:rPr>
          <w:bCs/>
          <w:b/>
          <w:color w:val="275650"/>
          <w:sz w:val="27"/>
        </w:rPr>
        <w:t xml:space="preserve">2.3 journi's Two Computed Metrics (the only automated calls journi makes)</w:t>
      </w:r>
    </w:p>
    <w:p>
      <w:pPr>
        <w:pStyle w:val="BodyText"/>
      </w:pPr>
      <w:r>
        <w:t xml:space="preserve">journi deliberately never auto-computes a Lewin, Bridges or Kübler-Ross reading — these remain Change Manager judgment calls. Two narrow exceptions are fully automated:</w:t>
      </w:r>
    </w:p>
    <w:p>
      <w:pPr>
        <w:numPr>
          <w:ilvl w:val="0"/>
          <w:numId w:val="1004"/>
        </w:numPr>
      </w:pPr>
      <w:r>
        <w:t xml:space="preserve">Composite Readiness Index — blends ADKAR (50%), Kübler-Ross sentiment (25%) and training completion (25%). Recalculate at least monthly (Section 7).</w:t>
      </w:r>
    </w:p>
    <w:p>
      <w:pPr>
        <w:numPr>
          <w:ilvl w:val="0"/>
          <w:numId w:val="1004"/>
        </w:numPr>
      </w:pPr>
      <w:r>
        <w:t xml:space="preserve">Divergence Pattern Detector — a boolean alert: fires when Knowledge ≥ 3 and Ability ≥ 3 while Bridges reads exactly</w:t>
      </w:r>
      <w:r>
        <w:t xml:space="preserve"> </w:t>
      </w:r>
      <w:r>
        <w:t xml:space="preserve">“</w:t>
      </w:r>
      <w:r>
        <w:t xml:space="preserve">Ending.</w:t>
      </w:r>
      <w:r>
        <w:t xml:space="preserve">”</w:t>
      </w:r>
      <w:r>
        <w:t xml:space="preserve"> </w:t>
      </w:r>
      <w:r>
        <w:t xml:space="preserve">See Exception E2 in Section 9.</w:t>
      </w:r>
    </w:p>
    <w:p>
      <w:pPr>
        <w:pStyle w:val="FirstParagraph"/>
      </w:pPr>
      <w:r>
        <w:rPr>
          <w:bCs/>
          <w:b/>
          <w:color w:val="275650"/>
          <w:sz w:val="27"/>
        </w:rPr>
        <w:t xml:space="preserve">2.4 Where to Find journi Cross-References in This Guide</w:t>
      </w:r>
    </w:p>
    <w:p>
      <w:pPr>
        <w:pStyle w:val="BodyText"/>
      </w:pPr>
      <w:r>
        <w:t xml:space="preserve">Throughout Sections 6 and 9, any Task or Step that involves entering or updating data in journi carries a short</w:t>
      </w:r>
      <w:r>
        <w:t xml:space="preserve"> </w:t>
      </w:r>
      <w:r>
        <w:t xml:space="preserve">“</w:t>
      </w:r>
      <w:r>
        <w:t xml:space="preserve">journi:</w:t>
      </w:r>
      <w:r>
        <w:t xml:space="preserve">”</w:t>
      </w:r>
      <w:r>
        <w:t xml:space="preserve"> </w:t>
      </w:r>
      <w:r>
        <w:t xml:space="preserve">note naming the specific module. Steps with no such note are executed outside journi (a workshop, a document, an external tool) even though their output may later inform a journi entry.</w:t>
      </w:r>
    </w:p>
    <w:p>
      <w:pPr>
        <w:pStyle w:val="BodyText"/>
      </w:pPr>
      <w:r>
        <w:rPr>
          <w:bCs/>
          <w:b/>
          <w:color w:val="1F4B45"/>
          <w:sz w:val="34"/>
        </w:rPr>
        <w:t xml:space="preserve">3. The Four Frameworks — Quick Primer and Signal Catalogue</w:t>
      </w:r>
    </w:p>
    <w:p>
      <w:pPr>
        <w:pStyle w:val="BodyText"/>
      </w:pPr>
      <w:r>
        <w:t xml:space="preserve">Each framework operates at a different altitude and answers a different question. None of the four can substitute for the others; journi requires all four so that no single blind spot is possible. The tables below condense each framework's stages together with the concrete, observable signals — what people say, what people do, and what the data shows — that tell a Change Manager which stage is actually in play.</w:t>
      </w:r>
    </w:p>
    <w:p>
      <w:pPr>
        <w:pStyle w:val="BodyText"/>
      </w:pPr>
      <w:r>
        <w:rPr>
          <w:bCs/>
          <w:b/>
          <w:color w:val="275650"/>
          <w:sz w:val="27"/>
        </w:rPr>
        <w:t xml:space="preserve">3.1 Lewin's Unfreeze – Change – Refreeze</w:t>
      </w:r>
    </w:p>
    <w:p>
      <w:pPr>
        <w:pStyle w:val="BodyText"/>
      </w:pPr>
      <w:r>
        <w:rPr>
          <w:iCs/>
          <w:i/>
        </w:rPr>
        <w:t xml:space="preserve">Kurt Lewin, 1947 · Altitude: organizational / systemic.</w:t>
      </w:r>
    </w:p>
    <w:tbl>
      <w:tblPr>
        <w:tblStyle w:val="Table"/>
        <w:tblW w:type="pct" w:w="4968"/>
        <w:tblLook w:firstRow="1" w:lastRow="0" w:firstColumn="0" w:lastColumn="0" w:noHBand="0" w:noVBand="0" w:val="0020"/>
        <w:jc w:val="start"/>
      </w:tblPr>
      <w:tblGrid>
        <w:gridCol w:w="303"/>
        <w:gridCol w:w="2150"/>
        <w:gridCol w:w="5414"/>
      </w:tblGrid>
      <w:tr>
        <w:trPr>
          <w:tblHeader w:val="true"/>
        </w:trPr>
        <w:tc>
          <w:tcPr>
            <w:shd w:val="clear" w:fill="1F4B45"/>
          </w:tcPr>
          <w:p>
            <w:pPr>
              <w:pStyle w:val="Compact"/>
              <w:jc w:val="left"/>
            </w:pPr>
            <w:r>
              <w:rPr>
                <w:bCs/>
                <w:b/>
                <w:color w:val="FFFFFF"/>
              </w:rPr>
              <w:t xml:space="preserve">Stage</w:t>
            </w:r>
          </w:p>
        </w:tc>
        <w:tc>
          <w:tcPr>
            <w:shd w:val="clear" w:fill="1F4B45"/>
          </w:tcPr>
          <w:p>
            <w:pPr>
              <w:pStyle w:val="Compact"/>
              <w:jc w:val="left"/>
            </w:pPr>
            <w:r>
              <w:rPr>
                <w:bCs/>
                <w:b/>
                <w:color w:val="FFFFFF"/>
              </w:rPr>
              <w:t xml:space="preserve">Meaning</w:t>
            </w:r>
          </w:p>
        </w:tc>
        <w:tc>
          <w:tcPr>
            <w:shd w:val="clear" w:fill="1F4B45"/>
          </w:tcPr>
          <w:p>
            <w:pPr>
              <w:pStyle w:val="Compact"/>
              <w:jc w:val="left"/>
            </w:pPr>
            <w:r>
              <w:rPr>
                <w:bCs/>
                <w:b/>
                <w:color w:val="FFFFFF"/>
              </w:rPr>
              <w:t xml:space="preserve">Signs It Is Active</w:t>
            </w:r>
          </w:p>
        </w:tc>
      </w:tr>
      <w:tr>
        <w:tc>
          <w:tcPr/>
          <w:p>
            <w:pPr>
              <w:pStyle w:val="Compact"/>
              <w:jc w:val="left"/>
            </w:pPr>
            <w:r>
              <w:t xml:space="preserve">Unfreeze</w:t>
            </w:r>
          </w:p>
        </w:tc>
        <w:tc>
          <w:tcPr/>
          <w:p>
            <w:pPr>
              <w:pStyle w:val="Compact"/>
              <w:jc w:val="left"/>
            </w:pPr>
            <w:r>
              <w:t xml:space="preserve">Building the case for change and loosening attachment to the status quo.</w:t>
            </w:r>
          </w:p>
        </w:tc>
        <w:tc>
          <w:tcPr/>
          <w:p>
            <w:pPr>
              <w:pStyle w:val="Compact"/>
              <w:jc w:val="left"/>
            </w:pPr>
            <w:r>
              <w:t xml:space="preserve">Leadership publicly questions</w:t>
            </w:r>
            <w:r>
              <w:t xml:space="preserve"> </w:t>
            </w:r>
            <w:r>
              <w:t xml:space="preserve">“</w:t>
            </w:r>
            <w:r>
              <w:t xml:space="preserve">the way we've always done it</w:t>
            </w:r>
            <w:r>
              <w:t xml:space="preserve">”</w:t>
            </w:r>
            <w:r>
              <w:t xml:space="preserve">; hallway/chat chatter rises; people ask</w:t>
            </w:r>
            <w:r>
              <w:t xml:space="preserve"> </w:t>
            </w:r>
            <w:r>
              <w:t xml:space="preserve">“</w:t>
            </w:r>
            <w:r>
              <w:t xml:space="preserve">why now?</w:t>
            </w:r>
            <w:r>
              <w:t xml:space="preserve">”</w:t>
            </w:r>
            <w:r>
              <w:t xml:space="preserve">; requests for job-security reassurance increase; early skepticism (</w:t>
            </w:r>
            <w:r>
              <w:t xml:space="preserve">“</w:t>
            </w:r>
            <w:r>
              <w:t xml:space="preserve">we tried this before</w:t>
            </w:r>
            <w:r>
              <w:t xml:space="preserve">”</w:t>
            </w:r>
            <w:r>
              <w:t xml:space="preserve">).</w:t>
            </w:r>
          </w:p>
        </w:tc>
      </w:tr>
      <w:tr>
        <w:tc>
          <w:tcPr/>
          <w:p>
            <w:pPr>
              <w:pStyle w:val="Compact"/>
              <w:jc w:val="left"/>
            </w:pPr>
            <w:r>
              <w:t xml:space="preserve">Change</w:t>
            </w:r>
          </w:p>
        </w:tc>
        <w:tc>
          <w:tcPr/>
          <w:p>
            <w:pPr>
              <w:pStyle w:val="Compact"/>
              <w:jc w:val="left"/>
            </w:pPr>
            <w:r>
              <w:t xml:space="preserve">The transition itself — old patterns released, new ones not yet habitual.</w:t>
            </w:r>
          </w:p>
        </w:tc>
        <w:tc>
          <w:tcPr/>
          <w:p>
            <w:pPr>
              <w:pStyle w:val="Compact"/>
              <w:jc w:val="left"/>
            </w:pPr>
            <w:r>
              <w:t xml:space="preserve">Old-process usage falls and new-process usage rises in system data; help-desk tickets spike; workarounds appear; supervisors coach more on the floor; a temporary productivity dip; informal peer champions emerge.</w:t>
            </w:r>
          </w:p>
        </w:tc>
      </w:tr>
      <w:tr>
        <w:tc>
          <w:tcPr/>
          <w:p>
            <w:pPr>
              <w:pStyle w:val="Compact"/>
              <w:jc w:val="left"/>
            </w:pPr>
            <w:r>
              <w:t xml:space="preserve">Refreeze</w:t>
            </w:r>
          </w:p>
        </w:tc>
        <w:tc>
          <w:tcPr/>
          <w:p>
            <w:pPr>
              <w:pStyle w:val="Compact"/>
              <w:jc w:val="left"/>
            </w:pPr>
            <w:r>
              <w:t xml:space="preserve">The new state is deliberately stabilized until it is simply</w:t>
            </w:r>
            <w:r>
              <w:t xml:space="preserve"> </w:t>
            </w:r>
            <w:r>
              <w:t xml:space="preserve">“</w:t>
            </w:r>
            <w:r>
              <w:t xml:space="preserve">how things are done.</w:t>
            </w:r>
            <w:r>
              <w:t xml:space="preserve">”</w:t>
            </w:r>
          </w:p>
        </w:tc>
        <w:tc>
          <w:tcPr/>
          <w:p>
            <w:pPr>
              <w:pStyle w:val="Compact"/>
              <w:jc w:val="left"/>
            </w:pPr>
            <w:r>
              <w:t xml:space="preserve">The new process is cited without qualification; onboarding materials updated; old system access retired; KPIs stable across multiple cycles; the change survives a manager turnover.</w:t>
            </w:r>
          </w:p>
        </w:tc>
      </w:tr>
    </w:tbl>
    <w:p>
      <w:pPr>
        <w:pStyle w:val="BodyText"/>
      </w:pPr>
      <w:r>
        <w:rPr>
          <w:iCs/>
          <w:i/>
        </w:rPr>
        <w:t xml:space="preserve">Signal catalogue — 3.1 Lewin's Unfreeze – Change – Refreeze: what to watch for, drawn from verbal, behavioral and data signals.</w:t>
      </w:r>
    </w:p>
    <w:p>
      <w:pPr>
        <w:pStyle w:val="BodyText"/>
      </w:pPr>
      <w:r>
        <w:rPr>
          <w:bCs/>
          <w:b/>
          <w:color w:val="275650"/>
          <w:sz w:val="27"/>
        </w:rPr>
        <w:t xml:space="preserve">3.2 Prosci ADKAR</w:t>
      </w:r>
    </w:p>
    <w:p>
      <w:pPr>
        <w:pStyle w:val="BodyText"/>
      </w:pPr>
      <w:r>
        <w:rPr>
          <w:iCs/>
          <w:i/>
        </w:rPr>
        <w:t xml:space="preserve">Prosci · Altitude: individual / cohort · strictly sequential.</w:t>
      </w:r>
    </w:p>
    <w:tbl>
      <w:tblPr>
        <w:tblStyle w:val="Table"/>
        <w:tblW w:type="pct" w:w="4964"/>
        <w:tblLook w:firstRow="1" w:lastRow="0" w:firstColumn="0" w:lastColumn="0" w:noHBand="0" w:noVBand="0" w:val="0020"/>
        <w:jc w:val="start"/>
      </w:tblPr>
      <w:tblGrid>
        <w:gridCol w:w="460"/>
        <w:gridCol w:w="1699"/>
        <w:gridCol w:w="2736"/>
        <w:gridCol w:w="2966"/>
      </w:tblGrid>
      <w:tr>
        <w:trPr>
          <w:tblHeader w:val="true"/>
        </w:trPr>
        <w:tc>
          <w:tcPr>
            <w:shd w:val="clear" w:fill="1F4B45"/>
          </w:tcPr>
          <w:p>
            <w:pPr>
              <w:pStyle w:val="Compact"/>
              <w:jc w:val="left"/>
            </w:pPr>
            <w:r>
              <w:rPr>
                <w:bCs/>
                <w:b/>
                <w:color w:val="FFFFFF"/>
              </w:rPr>
              <w:t xml:space="preserve">Block</w:t>
            </w:r>
          </w:p>
        </w:tc>
        <w:tc>
          <w:tcPr>
            <w:shd w:val="clear" w:fill="1F4B45"/>
          </w:tcPr>
          <w:p>
            <w:pPr>
              <w:pStyle w:val="Compact"/>
              <w:jc w:val="left"/>
            </w:pPr>
            <w:r>
              <w:rPr>
                <w:bCs/>
                <w:b/>
                <w:color w:val="FFFFFF"/>
              </w:rPr>
              <w:t xml:space="preserve">Meaning</w:t>
            </w:r>
          </w:p>
        </w:tc>
        <w:tc>
          <w:tcPr>
            <w:shd w:val="clear" w:fill="1F4B45"/>
          </w:tcPr>
          <w:p>
            <w:pPr>
              <w:pStyle w:val="Compact"/>
              <w:jc w:val="left"/>
            </w:pPr>
            <w:r>
              <w:rPr>
                <w:bCs/>
                <w:b/>
                <w:color w:val="FFFFFF"/>
              </w:rPr>
              <w:t xml:space="preserve">Signs the Block Is in Place</w:t>
            </w:r>
          </w:p>
        </w:tc>
        <w:tc>
          <w:tcPr>
            <w:shd w:val="clear" w:fill="1F4B45"/>
          </w:tcPr>
          <w:p>
            <w:pPr>
              <w:pStyle w:val="Compact"/>
              <w:jc w:val="left"/>
            </w:pPr>
            <w:r>
              <w:rPr>
                <w:bCs/>
                <w:b/>
                <w:color w:val="FFFFFF"/>
              </w:rPr>
              <w:t xml:space="preserve">Signs of a Gap (barrier-reason territory)</w:t>
            </w:r>
          </w:p>
        </w:tc>
      </w:tr>
      <w:tr>
        <w:tc>
          <w:tcPr/>
          <w:p>
            <w:pPr>
              <w:pStyle w:val="Compact"/>
              <w:jc w:val="left"/>
            </w:pPr>
            <w:r>
              <w:t xml:space="preserve">Awareness</w:t>
            </w:r>
          </w:p>
        </w:tc>
        <w:tc>
          <w:tcPr/>
          <w:p>
            <w:pPr>
              <w:pStyle w:val="Compact"/>
              <w:jc w:val="left"/>
            </w:pPr>
            <w:r>
              <w:t xml:space="preserve">Understands why the change is happening.</w:t>
            </w:r>
          </w:p>
        </w:tc>
        <w:tc>
          <w:tcPr/>
          <w:p>
            <w:pPr>
              <w:pStyle w:val="Compact"/>
              <w:jc w:val="left"/>
            </w:pPr>
            <w:r>
              <w:t xml:space="preserve">Restates the business case unprompted; fewer</w:t>
            </w:r>
            <w:r>
              <w:t xml:space="preserve"> </w:t>
            </w:r>
            <w:r>
              <w:t xml:space="preserve">“</w:t>
            </w:r>
            <w:r>
              <w:t xml:space="preserve">why are we doing this</w:t>
            </w:r>
            <w:r>
              <w:t xml:space="preserve">”</w:t>
            </w:r>
            <w:r>
              <w:t xml:space="preserve"> </w:t>
            </w:r>
            <w:r>
              <w:t xml:space="preserve">questions.</w:t>
            </w:r>
          </w:p>
        </w:tc>
        <w:tc>
          <w:tcPr/>
          <w:p>
            <w:pPr>
              <w:pStyle w:val="Compact"/>
              <w:jc w:val="left"/>
            </w:pPr>
            <w:r>
              <w:t xml:space="preserve">Rumor replaces official messaging;</w:t>
            </w:r>
            <w:r>
              <w:t xml:space="preserve"> </w:t>
            </w:r>
            <w:r>
              <w:t xml:space="preserve">“</w:t>
            </w:r>
            <w:r>
              <w:t xml:space="preserve">nobody told me</w:t>
            </w:r>
            <w:r>
              <w:t xml:space="preserve">”</w:t>
            </w:r>
            <w:r>
              <w:t xml:space="preserve"> </w:t>
            </w:r>
            <w:r>
              <w:t xml:space="preserve">comments;</w:t>
            </w:r>
            <w:r>
              <w:t xml:space="preserve"> </w:t>
            </w:r>
            <w:r>
              <w:t xml:space="preserve">“</w:t>
            </w:r>
            <w:r>
              <w:t xml:space="preserve">yet another initiative</w:t>
            </w:r>
            <w:r>
              <w:t xml:space="preserve">”</w:t>
            </w:r>
            <w:r>
              <w:t xml:space="preserve"> </w:t>
            </w:r>
            <w:r>
              <w:t xml:space="preserve">cynicism.</w:t>
            </w:r>
          </w:p>
        </w:tc>
      </w:tr>
      <w:tr>
        <w:tc>
          <w:tcPr/>
          <w:p>
            <w:pPr>
              <w:pStyle w:val="Compact"/>
              <w:jc w:val="left"/>
            </w:pPr>
            <w:r>
              <w:t xml:space="preserve">Desire</w:t>
            </w:r>
          </w:p>
        </w:tc>
        <w:tc>
          <w:tcPr/>
          <w:p>
            <w:pPr>
              <w:pStyle w:val="Compact"/>
              <w:jc w:val="left"/>
            </w:pPr>
            <w:r>
              <w:t xml:space="preserve">Personally wants to participate, not just understand.</w:t>
            </w:r>
          </w:p>
        </w:tc>
        <w:tc>
          <w:tcPr/>
          <w:p>
            <w:pPr>
              <w:pStyle w:val="Compact"/>
              <w:jc w:val="left"/>
            </w:pPr>
            <w:r>
              <w:t xml:space="preserve">Volunteers for pilots; asks how to prepare; advocates to peers unprompted.</w:t>
            </w:r>
          </w:p>
        </w:tc>
        <w:tc>
          <w:tcPr/>
          <w:p>
            <w:pPr>
              <w:pStyle w:val="Compact"/>
              <w:jc w:val="left"/>
            </w:pPr>
            <w:r>
              <w:t xml:space="preserve">“</w:t>
            </w:r>
            <w:r>
              <w:t xml:space="preserve">I'll do it because I have to</w:t>
            </w:r>
            <w:r>
              <w:t xml:space="preserve">”</w:t>
            </w:r>
            <w:r>
              <w:t xml:space="preserve"> </w:t>
            </w:r>
            <w:r>
              <w:t xml:space="preserve">language; low turnout at optional sessions; no clear WIIFM.</w:t>
            </w:r>
          </w:p>
        </w:tc>
      </w:tr>
      <w:tr>
        <w:tc>
          <w:tcPr/>
          <w:p>
            <w:pPr>
              <w:pStyle w:val="Compact"/>
              <w:jc w:val="left"/>
            </w:pPr>
            <w:r>
              <w:t xml:space="preserve">Knowledge</w:t>
            </w:r>
          </w:p>
        </w:tc>
        <w:tc>
          <w:tcPr/>
          <w:p>
            <w:pPr>
              <w:pStyle w:val="Compact"/>
              <w:jc w:val="left"/>
            </w:pPr>
            <w:r>
              <w:t xml:space="preserve">Knows the specific steps to operate in the future state.</w:t>
            </w:r>
          </w:p>
        </w:tc>
        <w:tc>
          <w:tcPr/>
          <w:p>
            <w:pPr>
              <w:pStyle w:val="Compact"/>
              <w:jc w:val="left"/>
            </w:pPr>
            <w:r>
              <w:t xml:space="preserve">Describes new-process steps accurately; seeks extra training unprompted.</w:t>
            </w:r>
          </w:p>
        </w:tc>
        <w:tc>
          <w:tcPr/>
          <w:p>
            <w:pPr>
              <w:pStyle w:val="Compact"/>
              <w:jc w:val="left"/>
            </w:pPr>
            <w:r>
              <w:t xml:space="preserve">Vague answers under light questioning; avoids hands-on practice; keeps relying on cheat-sheets.</w:t>
            </w:r>
          </w:p>
        </w:tc>
      </w:tr>
      <w:tr>
        <w:tc>
          <w:tcPr/>
          <w:p>
            <w:pPr>
              <w:pStyle w:val="Compact"/>
              <w:jc w:val="left"/>
            </w:pPr>
            <w:r>
              <w:t xml:space="preserve">Ability</w:t>
            </w:r>
          </w:p>
        </w:tc>
        <w:tc>
          <w:tcPr/>
          <w:p>
            <w:pPr>
              <w:pStyle w:val="Compact"/>
              <w:jc w:val="left"/>
            </w:pPr>
            <w:r>
              <w:t xml:space="preserve">Can demonstrate the new skills under real conditions.</w:t>
            </w:r>
          </w:p>
        </w:tc>
        <w:tc>
          <w:tcPr/>
          <w:p>
            <w:pPr>
              <w:pStyle w:val="Compact"/>
              <w:jc w:val="left"/>
            </w:pPr>
            <w:r>
              <w:t xml:space="preserve">Consistent accurate completion without escalation; coaches peers unprompted.</w:t>
            </w:r>
          </w:p>
        </w:tc>
        <w:tc>
          <w:tcPr/>
          <w:p>
            <w:pPr>
              <w:pStyle w:val="Compact"/>
              <w:jc w:val="left"/>
            </w:pPr>
            <w:r>
              <w:t xml:space="preserve">Repeated errors on the same step; manual workarounds; rising help-desk escalations.</w:t>
            </w:r>
          </w:p>
        </w:tc>
      </w:tr>
      <w:tr>
        <w:tc>
          <w:tcPr/>
          <w:p>
            <w:pPr>
              <w:pStyle w:val="Compact"/>
              <w:jc w:val="left"/>
            </w:pPr>
            <w:r>
              <w:t xml:space="preserve">Reinforcement</w:t>
            </w:r>
          </w:p>
        </w:tc>
        <w:tc>
          <w:tcPr/>
          <w:p>
            <w:pPr>
              <w:pStyle w:val="Compact"/>
              <w:jc w:val="left"/>
            </w:pPr>
            <w:r>
              <w:t xml:space="preserve">Mechanisms exist to make the change durable.</w:t>
            </w:r>
          </w:p>
        </w:tc>
        <w:tc>
          <w:tcPr/>
          <w:p>
            <w:pPr>
              <w:pStyle w:val="Compact"/>
              <w:jc w:val="left"/>
            </w:pPr>
            <w:r>
              <w:t xml:space="preserve">Recognition is visible; new metrics in performance conversations; check-ins actually happen.</w:t>
            </w:r>
          </w:p>
        </w:tc>
        <w:tc>
          <w:tcPr/>
          <w:p>
            <w:pPr>
              <w:pStyle w:val="Compact"/>
              <w:jc w:val="left"/>
            </w:pPr>
            <w:r>
              <w:t xml:space="preserve">No follow-up cadence after go-live; backslide when unsupervised; champion network quietly dissolves.</w:t>
            </w:r>
          </w:p>
        </w:tc>
      </w:tr>
    </w:tbl>
    <w:p>
      <w:pPr>
        <w:pStyle w:val="BodyText"/>
      </w:pPr>
      <w:r>
        <w:rPr>
          <w:iCs/>
          <w:i/>
        </w:rPr>
        <w:t xml:space="preserve">Signal catalogue — 3.2 Prosci ADKAR: what to watch for, drawn from verbal, behavioral and data signals.</w:t>
      </w:r>
    </w:p>
    <w:p>
      <w:pPr>
        <w:pStyle w:val="BodyText"/>
      </w:pPr>
      <w:r>
        <w:rPr>
          <w:bCs/>
          <w:b/>
          <w:color w:val="275650"/>
          <w:sz w:val="27"/>
        </w:rPr>
        <w:t xml:space="preserve">3.3 Bridges' Transition Model</w:t>
      </w:r>
    </w:p>
    <w:p>
      <w:pPr>
        <w:pStyle w:val="BodyText"/>
      </w:pPr>
      <w:r>
        <w:rPr>
          <w:iCs/>
          <w:i/>
        </w:rPr>
        <w:t xml:space="preserve">William Bridges, Managing Transitions, 1991 · Altitude: psychological / identity.</w:t>
      </w:r>
    </w:p>
    <w:tbl>
      <w:tblPr>
        <w:tblStyle w:val="Table"/>
        <w:tblW w:type="pct" w:w="4961"/>
        <w:tblLook w:firstRow="1" w:lastRow="0" w:firstColumn="0" w:lastColumn="0" w:noHBand="0" w:noVBand="0" w:val="0020"/>
        <w:jc w:val="start"/>
      </w:tblPr>
      <w:tblGrid>
        <w:gridCol w:w="491"/>
        <w:gridCol w:w="2732"/>
        <w:gridCol w:w="4635"/>
      </w:tblGrid>
      <w:tr>
        <w:trPr>
          <w:tblHeader w:val="true"/>
        </w:trPr>
        <w:tc>
          <w:tcPr>
            <w:shd w:val="clear" w:fill="1F4B45"/>
          </w:tcPr>
          <w:p>
            <w:pPr>
              <w:pStyle w:val="Compact"/>
              <w:jc w:val="left"/>
            </w:pPr>
            <w:r>
              <w:rPr>
                <w:bCs/>
                <w:b/>
                <w:color w:val="FFFFFF"/>
              </w:rPr>
              <w:t xml:space="preserve">Stage</w:t>
            </w:r>
          </w:p>
        </w:tc>
        <w:tc>
          <w:tcPr>
            <w:shd w:val="clear" w:fill="1F4B45"/>
          </w:tcPr>
          <w:p>
            <w:pPr>
              <w:pStyle w:val="Compact"/>
              <w:jc w:val="left"/>
            </w:pPr>
            <w:r>
              <w:rPr>
                <w:bCs/>
                <w:b/>
                <w:color w:val="FFFFFF"/>
              </w:rPr>
              <w:t xml:space="preserve">Meaning</w:t>
            </w:r>
          </w:p>
        </w:tc>
        <w:tc>
          <w:tcPr>
            <w:shd w:val="clear" w:fill="1F4B45"/>
          </w:tcPr>
          <w:p>
            <w:pPr>
              <w:pStyle w:val="Compact"/>
              <w:jc w:val="left"/>
            </w:pPr>
            <w:r>
              <w:rPr>
                <w:bCs/>
                <w:b/>
                <w:color w:val="FFFFFF"/>
              </w:rPr>
              <w:t xml:space="preserve">Signs to Look For</w:t>
            </w:r>
          </w:p>
        </w:tc>
      </w:tr>
      <w:tr>
        <w:tc>
          <w:tcPr/>
          <w:p>
            <w:pPr>
              <w:pStyle w:val="Compact"/>
              <w:jc w:val="left"/>
            </w:pPr>
            <w:r>
              <w:t xml:space="preserve">Ending</w:t>
            </w:r>
          </w:p>
        </w:tc>
        <w:tc>
          <w:tcPr/>
          <w:p>
            <w:pPr>
              <w:pStyle w:val="Compact"/>
              <w:jc w:val="left"/>
            </w:pPr>
            <w:r>
              <w:t xml:space="preserve">Letting go of the old identity, competence and relationships — often with real loss.</w:t>
            </w:r>
          </w:p>
        </w:tc>
        <w:tc>
          <w:tcPr/>
          <w:p>
            <w:pPr>
              <w:pStyle w:val="Compact"/>
              <w:jc w:val="left"/>
            </w:pPr>
            <w:r>
              <w:t xml:space="preserve">Spontaneous expressions of loss;</w:t>
            </w:r>
            <w:r>
              <w:t xml:space="preserve"> </w:t>
            </w:r>
            <w:r>
              <w:t xml:space="preserve">“</w:t>
            </w:r>
            <w:r>
              <w:t xml:space="preserve">old days</w:t>
            </w:r>
            <w:r>
              <w:t xml:space="preserve">”</w:t>
            </w:r>
            <w:r>
              <w:t xml:space="preserve"> </w:t>
            </w:r>
            <w:r>
              <w:t xml:space="preserve">storytelling; resistance to retiring old tools; denial statements; a dip in discretionary effort.</w:t>
            </w:r>
          </w:p>
        </w:tc>
      </w:tr>
      <w:tr>
        <w:tc>
          <w:tcPr/>
          <w:p>
            <w:pPr>
              <w:pStyle w:val="Compact"/>
              <w:jc w:val="left"/>
            </w:pPr>
            <w:r>
              <w:t xml:space="preserve">Neutral Zone</w:t>
            </w:r>
          </w:p>
        </w:tc>
        <w:tc>
          <w:tcPr/>
          <w:p>
            <w:pPr>
              <w:pStyle w:val="Compact"/>
              <w:jc w:val="left"/>
            </w:pPr>
            <w:r>
              <w:t xml:space="preserve">The disorienting in-between — old ways gone, new ways not yet automatic.</w:t>
            </w:r>
          </w:p>
        </w:tc>
        <w:tc>
          <w:tcPr/>
          <w:p>
            <w:pPr>
              <w:pStyle w:val="Compact"/>
              <w:jc w:val="left"/>
            </w:pPr>
            <w:r>
              <w:t xml:space="preserve">Confusion about roles and</w:t>
            </w:r>
            <w:r>
              <w:t xml:space="preserve"> </w:t>
            </w:r>
            <w:r>
              <w:t xml:space="preserve">“</w:t>
            </w:r>
            <w:r>
              <w:t xml:space="preserve">which rule applies now</w:t>
            </w:r>
            <w:r>
              <w:t xml:space="preserve">”</w:t>
            </w:r>
            <w:r>
              <w:t xml:space="preserve">; a temporary morale dip; ambiguity-driven errors; active rumor mill; requests for more structure.</w:t>
            </w:r>
          </w:p>
        </w:tc>
      </w:tr>
      <w:tr>
        <w:tc>
          <w:tcPr/>
          <w:p>
            <w:pPr>
              <w:pStyle w:val="Compact"/>
              <w:jc w:val="left"/>
            </w:pPr>
            <w:r>
              <w:t xml:space="preserve">New Beginning</w:t>
            </w:r>
          </w:p>
        </w:tc>
        <w:tc>
          <w:tcPr/>
          <w:p>
            <w:pPr>
              <w:pStyle w:val="Compact"/>
              <w:jc w:val="left"/>
            </w:pPr>
            <w:r>
              <w:t xml:space="preserve">Genuine buy-in and a new identity forming — ownership, not compliance.</w:t>
            </w:r>
          </w:p>
        </w:tc>
        <w:tc>
          <w:tcPr/>
          <w:p>
            <w:pPr>
              <w:pStyle w:val="Compact"/>
              <w:jc w:val="left"/>
            </w:pPr>
            <w:r>
              <w:t xml:space="preserve">New vocabulary (</w:t>
            </w:r>
            <w:r>
              <w:t xml:space="preserve">“</w:t>
            </w:r>
            <w:r>
              <w:t xml:space="preserve">we're a digital team now</w:t>
            </w:r>
            <w:r>
              <w:t xml:space="preserve">”</w:t>
            </w:r>
            <w:r>
              <w:t xml:space="preserve">); visible pride; teaching newcomers unprompted; forward-looking improvement suggestions.</w:t>
            </w:r>
          </w:p>
        </w:tc>
      </w:tr>
    </w:tbl>
    <w:p>
      <w:pPr>
        <w:pStyle w:val="BodyText"/>
      </w:pPr>
      <w:r>
        <w:rPr>
          <w:iCs/>
          <w:i/>
        </w:rPr>
        <w:t xml:space="preserve">Signal catalogue — 3.3 Bridges' Transition Model: what to watch for, drawn from verbal, behavioral and data signals.</w:t>
      </w:r>
    </w:p>
    <w:p>
      <w:pPr>
        <w:pStyle w:val="BodyText"/>
      </w:pPr>
      <w:r>
        <w:rPr>
          <w:bCs/>
          <w:b/>
          <w:color w:val="275650"/>
          <w:sz w:val="27"/>
        </w:rPr>
        <w:t xml:space="preserve">3.4 Kübler-Ross Change Curve</w:t>
      </w:r>
    </w:p>
    <w:p>
      <w:pPr>
        <w:pStyle w:val="BodyText"/>
      </w:pPr>
      <w:r>
        <w:rPr>
          <w:iCs/>
          <w:i/>
        </w:rPr>
        <w:t xml:space="preserve">Adapted from Elisabeth Kübler-Ross, 1969 · Altitude: emotional / moment-to-moment.</w:t>
      </w:r>
    </w:p>
    <w:tbl>
      <w:tblPr>
        <w:tblStyle w:val="Table"/>
        <w:tblW w:type="pct" w:w="4957"/>
        <w:tblLook w:firstRow="1" w:lastRow="0" w:firstColumn="0" w:lastColumn="0" w:noHBand="0" w:noVBand="0" w:val="0020"/>
        <w:jc w:val="start"/>
      </w:tblPr>
      <w:tblGrid>
        <w:gridCol w:w="716"/>
        <w:gridCol w:w="2696"/>
        <w:gridCol w:w="4437"/>
      </w:tblGrid>
      <w:tr>
        <w:trPr>
          <w:tblHeader w:val="true"/>
        </w:trPr>
        <w:tc>
          <w:tcPr>
            <w:shd w:val="clear" w:fill="1F4B45"/>
          </w:tcPr>
          <w:p>
            <w:pPr>
              <w:pStyle w:val="Compact"/>
              <w:jc w:val="left"/>
            </w:pPr>
            <w:r>
              <w:rPr>
                <w:bCs/>
                <w:b/>
                <w:color w:val="FFFFFF"/>
              </w:rPr>
              <w:t xml:space="preserve">Stage</w:t>
            </w:r>
          </w:p>
        </w:tc>
        <w:tc>
          <w:tcPr>
            <w:shd w:val="clear" w:fill="1F4B45"/>
          </w:tcPr>
          <w:p>
            <w:pPr>
              <w:pStyle w:val="Compact"/>
              <w:jc w:val="left"/>
            </w:pPr>
            <w:r>
              <w:rPr>
                <w:bCs/>
                <w:b/>
                <w:color w:val="FFFFFF"/>
              </w:rPr>
              <w:t xml:space="preserve">Meaning</w:t>
            </w:r>
          </w:p>
        </w:tc>
        <w:tc>
          <w:tcPr>
            <w:shd w:val="clear" w:fill="1F4B45"/>
          </w:tcPr>
          <w:p>
            <w:pPr>
              <w:pStyle w:val="Compact"/>
              <w:jc w:val="left"/>
            </w:pPr>
            <w:r>
              <w:rPr>
                <w:bCs/>
                <w:b/>
                <w:color w:val="FFFFFF"/>
              </w:rPr>
              <w:t xml:space="preserve">Signs to Look For</w:t>
            </w:r>
          </w:p>
        </w:tc>
      </w:tr>
      <w:tr>
        <w:tc>
          <w:tcPr/>
          <w:p>
            <w:pPr>
              <w:pStyle w:val="Compact"/>
              <w:jc w:val="left"/>
            </w:pPr>
            <w:r>
              <w:t xml:space="preserve">Denial</w:t>
            </w:r>
          </w:p>
        </w:tc>
        <w:tc>
          <w:tcPr/>
          <w:p>
            <w:pPr>
              <w:pStyle w:val="Compact"/>
              <w:jc w:val="left"/>
            </w:pPr>
            <w:r>
              <w:t xml:space="preserve">The change is not yet accepted as real or personally relevant.</w:t>
            </w:r>
          </w:p>
        </w:tc>
        <w:tc>
          <w:tcPr/>
          <w:p>
            <w:pPr>
              <w:pStyle w:val="Compact"/>
              <w:jc w:val="left"/>
            </w:pPr>
            <w:r>
              <w:t xml:space="preserve">“</w:t>
            </w:r>
            <w:r>
              <w:t xml:space="preserve">This doesn't really apply to us</w:t>
            </w:r>
            <w:r>
              <w:t xml:space="preserve">”</w:t>
            </w:r>
            <w:r>
              <w:t xml:space="preserve">; unopened comms; business-as-usual behavior; minimal engagement at info sessions.</w:t>
            </w:r>
          </w:p>
        </w:tc>
      </w:tr>
      <w:tr>
        <w:tc>
          <w:tcPr/>
          <w:p>
            <w:pPr>
              <w:pStyle w:val="Compact"/>
              <w:jc w:val="left"/>
            </w:pPr>
            <w:r>
              <w:t xml:space="preserve">Resistance / Anger</w:t>
            </w:r>
          </w:p>
        </w:tc>
        <w:tc>
          <w:tcPr/>
          <w:p>
            <w:pPr>
              <w:pStyle w:val="Compact"/>
              <w:jc w:val="left"/>
            </w:pPr>
            <w:r>
              <w:t xml:space="preserve">Active, visible pushback — a normal, necessary phase, not pure negativity.</w:t>
            </w:r>
          </w:p>
        </w:tc>
        <w:tc>
          <w:tcPr/>
          <w:p>
            <w:pPr>
              <w:pStyle w:val="Compact"/>
              <w:jc w:val="left"/>
            </w:pPr>
            <w:r>
              <w:t xml:space="preserve">Vocal public complaints; blame-shifting; escalations to leadership; sarcasm; slow-walking tasks; rising interpersonal friction.</w:t>
            </w:r>
          </w:p>
        </w:tc>
      </w:tr>
      <w:tr>
        <w:tc>
          <w:tcPr/>
          <w:p>
            <w:pPr>
              <w:pStyle w:val="Compact"/>
              <w:jc w:val="left"/>
            </w:pPr>
            <w:r>
              <w:t xml:space="preserve">Exploration</w:t>
            </w:r>
          </w:p>
        </w:tc>
        <w:tc>
          <w:tcPr/>
          <w:p>
            <w:pPr>
              <w:pStyle w:val="Compact"/>
              <w:jc w:val="left"/>
            </w:pPr>
            <w:r>
              <w:t xml:space="preserve">Cautious engagement mixing curiosity with residual doubt.</w:t>
            </w:r>
          </w:p>
        </w:tc>
        <w:tc>
          <w:tcPr/>
          <w:p>
            <w:pPr>
              <w:pStyle w:val="Compact"/>
              <w:jc w:val="left"/>
            </w:pPr>
            <w:r>
              <w:t xml:space="preserve">Tentative questions rather than flat refusal; willingness to pilot; mixed sentiment in the same room; sandbox experimentation.</w:t>
            </w:r>
          </w:p>
        </w:tc>
      </w:tr>
      <w:tr>
        <w:tc>
          <w:tcPr/>
          <w:p>
            <w:pPr>
              <w:pStyle w:val="Compact"/>
              <w:jc w:val="left"/>
            </w:pPr>
            <w:r>
              <w:t xml:space="preserve">Commitment</w:t>
            </w:r>
          </w:p>
        </w:tc>
        <w:tc>
          <w:tcPr/>
          <w:p>
            <w:pPr>
              <w:pStyle w:val="Compact"/>
              <w:jc w:val="left"/>
            </w:pPr>
            <w:r>
              <w:t xml:space="preserve">Active, willing participation, sustained without being watched.</w:t>
            </w:r>
          </w:p>
        </w:tc>
        <w:tc>
          <w:tcPr/>
          <w:p>
            <w:pPr>
              <w:pStyle w:val="Compact"/>
              <w:jc w:val="left"/>
            </w:pPr>
            <w:r>
              <w:t xml:space="preserve">Proactive unprompted use in real work; peer advocacy; improvement suggestions rather than requests to revert.</w:t>
            </w:r>
          </w:p>
        </w:tc>
      </w:tr>
    </w:tbl>
    <w:p>
      <w:pPr>
        <w:pStyle w:val="BodyText"/>
      </w:pPr>
      <w:r>
        <w:rPr>
          <w:iCs/>
          <w:i/>
        </w:rPr>
        <w:t xml:space="preserve">Signal catalogue — 3.4 Kübler-Ross Change Curve: what to watch for, drawn from verbal, behavioral and data signals.</w:t>
      </w:r>
    </w:p>
    <w:p>
      <w:pPr>
        <w:pStyle w:val="BodyText"/>
      </w:pPr>
      <w:r>
        <w:rPr>
          <w:bCs/>
          <w:b/>
          <w:color w:val="275650"/>
          <w:sz w:val="27"/>
        </w:rPr>
        <w:t xml:space="preserve">3.5 The Project / Change / Joint Tag</w:t>
      </w:r>
    </w:p>
    <w:p>
      <w:pPr>
        <w:pStyle w:val="BodyText"/>
      </w:pPr>
      <w:r>
        <w:t xml:space="preserve">Every Task in Sections 6 and 9 is tagged so the two disciplines' contributions stay distinguishable:</w:t>
      </w:r>
    </w:p>
    <w:p>
      <w:pPr>
        <w:numPr>
          <w:ilvl w:val="0"/>
          <w:numId w:val="1005"/>
        </w:numPr>
      </w:pPr>
      <w:r>
        <w:t xml:space="preserve">[PROJECT] — scope, schedule, budget, technical build, data, delivery milestones. Owned by the PM and ITL.</w:t>
      </w:r>
    </w:p>
    <w:p>
      <w:pPr>
        <w:numPr>
          <w:ilvl w:val="0"/>
          <w:numId w:val="1005"/>
        </w:numPr>
      </w:pPr>
      <w:r>
        <w:t xml:space="preserve">[CHANGE] — awareness, desire, capability adoption, identity/transition and sentiment work. Owned by the CM, ES and Supervisors.</w:t>
      </w:r>
    </w:p>
    <w:p>
      <w:pPr>
        <w:numPr>
          <w:ilvl w:val="0"/>
          <w:numId w:val="1005"/>
        </w:numPr>
      </w:pPr>
      <w:r>
        <w:t xml:space="preserve">[JOINT] — Tasks where a delivery decision and a change activity are fused into one action (a go/no-go call, a champion-network handoff) — no single discipline can own these alone.</w:t>
      </w:r>
    </w:p>
    <w:p>
      <w:pPr>
        <w:pStyle w:val="FirstParagraph"/>
      </w:pPr>
      <w:r>
        <w:rPr>
          <w:bCs/>
          <w:b/>
          <w:color w:val="1F4B45"/>
          <w:sz w:val="34"/>
        </w:rPr>
        <w:t xml:space="preserve">4. Process Map — Macro Process, Tasks &amp; Nature</w:t>
      </w:r>
    </w:p>
    <w:p>
      <w:pPr>
        <w:pStyle w:val="BodyText"/>
      </w:pPr>
      <w:r>
        <w:t xml:space="preserve">The diagram below shows the full macro process — all 8 phases — with every Task placed in one of three lanes according to its nature: Project Management, Change Management, or Joint. Reading left to right shows how the balance of work shifts across the program: Project Management work concentrates in the early build and the technical cutover (Phases 1–3 and 6); Change Management work concentrates in the back half (Phases 7–8); Joint work clusters exactly where a delivery decision and an adoption decision cannot be separated (the go/no-go call in Phase 5, and the go-live communication and hypercare activation in Phase 6).</w:t>
      </w:r>
    </w:p>
    <w:p>
      <w:pPr>
        <w:pStyle w:val="BodyText"/>
      </w:pPr>
      <w:r>
        <w:drawing>
          <wp:inline>
            <wp:extent cx="5334000" cy="2659380"/>
            <wp:effectExtent b="0" l="0" r="0" t="0"/>
            <wp:docPr descr="" title="" id="21" name="Picture"/>
            <a:graphic>
              <a:graphicData uri="http://schemas.openxmlformats.org/drawingml/2006/picture">
                <pic:pic>
                  <pic:nvPicPr>
                    <pic:cNvPr descr="media/5098ae9ebb1d7b7abf70ead1bb867ea3c97252fd.png" id="22" name="Picture"/>
                    <pic:cNvPicPr>
                      <a:picLocks noChangeArrowheads="1" noChangeAspect="1"/>
                    </pic:cNvPicPr>
                  </pic:nvPicPr>
                  <pic:blipFill>
                    <a:blip r:embed="rId20"/>
                    <a:stretch>
                      <a:fillRect/>
                    </a:stretch>
                  </pic:blipFill>
                  <pic:spPr bwMode="auto">
                    <a:xfrm>
                      <a:off x="0" y="0"/>
                      <a:ext cx="5334000" cy="2659380"/>
                    </a:xfrm>
                    <a:prstGeom prst="rect">
                      <a:avLst/>
                    </a:prstGeom>
                    <a:noFill/>
                    <a:ln w="9525">
                      <a:noFill/>
                      <a:headEnd/>
                      <a:tailEnd/>
                    </a:ln>
                  </pic:spPr>
                </pic:pic>
              </a:graphicData>
            </a:graphic>
          </wp:inline>
        </w:drawing>
      </w:r>
    </w:p>
    <w:p>
      <w:pPr>
        <w:pStyle w:val="BodyText"/>
      </w:pPr>
      <w:r>
        <w:rPr>
          <w:iCs/>
          <w:i/>
        </w:rPr>
        <w:t xml:space="preserve">Figure 4.1 — Process map: 8 phases × all Tasks, colored by nature (Project Management / Change Management / Joint).</w:t>
      </w:r>
    </w:p>
    <w:p>
      <w:pPr>
        <w:pStyle w:val="BodyText"/>
      </w:pPr>
      <w:r>
        <w:rPr>
          <w:bCs/>
          <w:b/>
          <w:color w:val="275650"/>
          <w:sz w:val="27"/>
        </w:rPr>
        <w:t xml:space="preserve">4.1 Macro Process — Task — Nature Reference Table</w:t>
      </w:r>
    </w:p>
    <w:p>
      <w:pPr>
        <w:pStyle w:val="BodyText"/>
      </w:pPr>
      <w:r>
        <w:t xml:space="preserve">The same information as the diagram, in tabular form for accessibility and quick lookup.</w:t>
      </w:r>
    </w:p>
    <w:p>
      <w:pPr>
        <w:pStyle w:val="BodyText"/>
      </w:pPr>
      <w:r>
        <w:rPr>
          <w:bCs/>
          <w:b/>
        </w:rPr>
        <w:t xml:space="preserve">Phase 1 — Discovery &amp; Design</w:t>
      </w:r>
    </w:p>
    <w:tbl>
      <w:tblPr>
        <w:tblStyle w:val="Table"/>
        <w:tblW w:type="pct" w:w="4889"/>
        <w:tblLook w:firstRow="1" w:lastRow="0" w:firstColumn="0" w:lastColumn="0" w:noHBand="0" w:noVBand="0" w:val="0020"/>
        <w:jc w:val="start"/>
      </w:tblPr>
      <w:tblGrid>
        <w:gridCol w:w="968"/>
        <w:gridCol w:w="5456"/>
        <w:gridCol w:w="1320"/>
      </w:tblGrid>
      <w:tr>
        <w:trPr>
          <w:tblHeader w:val="true"/>
        </w:trPr>
        <w:tc>
          <w:tcPr>
            <w:shd w:val="clear" w:fill="1F4B45"/>
          </w:tcPr>
          <w:p>
            <w:pPr>
              <w:pStyle w:val="Compact"/>
              <w:jc w:val="left"/>
            </w:pPr>
            <w:r>
              <w:rPr>
                <w:bCs/>
                <w:b/>
                <w:color w:val="FFFFFF"/>
              </w:rPr>
              <w:t xml:space="preserve">Task</w:t>
            </w:r>
          </w:p>
        </w:tc>
        <w:tc>
          <w:tcPr>
            <w:shd w:val="clear" w:fill="1F4B45"/>
          </w:tcPr>
          <w:p>
            <w:pPr>
              <w:pStyle w:val="Compact"/>
              <w:jc w:val="left"/>
            </w:pPr>
            <w:r>
              <w:rPr>
                <w:bCs/>
                <w:b/>
                <w:color w:val="FFFFFF"/>
              </w:rPr>
              <w:t xml:space="preserve">Task Name</w:t>
            </w:r>
          </w:p>
        </w:tc>
        <w:tc>
          <w:tcPr>
            <w:shd w:val="clear" w:fill="1F4B45"/>
          </w:tcPr>
          <w:p>
            <w:pPr>
              <w:pStyle w:val="Compact"/>
              <w:jc w:val="left"/>
            </w:pPr>
            <w:r>
              <w:rPr>
                <w:bCs/>
                <w:b/>
                <w:color w:val="FFFFFF"/>
              </w:rPr>
              <w:t xml:space="preserve">Nature</w:t>
            </w:r>
          </w:p>
        </w:tc>
      </w:tr>
      <w:tr>
        <w:tc>
          <w:tcPr/>
          <w:p>
            <w:pPr>
              <w:pStyle w:val="Compact"/>
              <w:jc w:val="left"/>
            </w:pPr>
            <w:r>
              <w:t xml:space="preserve">T1</w:t>
            </w:r>
          </w:p>
        </w:tc>
        <w:tc>
          <w:tcPr/>
          <w:p>
            <w:pPr>
              <w:pStyle w:val="Compact"/>
              <w:jc w:val="left"/>
            </w:pPr>
            <w:r>
              <w:t xml:space="preserve">Run current-state discovery workshops per impacted function</w:t>
            </w:r>
          </w:p>
        </w:tc>
        <w:tc>
          <w:tcPr/>
          <w:p>
            <w:pPr>
              <w:pStyle w:val="Compact"/>
              <w:jc w:val="left"/>
            </w:pPr>
            <w:r>
              <w:t xml:space="preserve">[PROJECT]</w:t>
            </w:r>
          </w:p>
        </w:tc>
      </w:tr>
      <w:tr>
        <w:tc>
          <w:tcPr/>
          <w:p>
            <w:pPr>
              <w:pStyle w:val="Compact"/>
              <w:jc w:val="left"/>
            </w:pPr>
            <w:r>
              <w:t xml:space="preserve">T2</w:t>
            </w:r>
          </w:p>
        </w:tc>
        <w:tc>
          <w:tcPr/>
          <w:p>
            <w:pPr>
              <w:pStyle w:val="Compact"/>
              <w:jc w:val="left"/>
            </w:pPr>
            <w:r>
              <w:t xml:space="preserve">Quantify pain points and the cost of inaction</w:t>
            </w:r>
          </w:p>
        </w:tc>
        <w:tc>
          <w:tcPr/>
          <w:p>
            <w:pPr>
              <w:pStyle w:val="Compact"/>
              <w:jc w:val="left"/>
            </w:pPr>
            <w:r>
              <w:t xml:space="preserve">[PROJECT]</w:t>
            </w:r>
          </w:p>
        </w:tc>
      </w:tr>
      <w:tr>
        <w:tc>
          <w:tcPr/>
          <w:p>
            <w:pPr>
              <w:pStyle w:val="Compact"/>
              <w:jc w:val="left"/>
            </w:pPr>
            <w:r>
              <w:t xml:space="preserve">T3</w:t>
            </w:r>
          </w:p>
        </w:tc>
        <w:tc>
          <w:tcPr/>
          <w:p>
            <w:pPr>
              <w:pStyle w:val="Compact"/>
              <w:jc w:val="left"/>
            </w:pPr>
            <w:r>
              <w:t xml:space="preserve">Define future-state process scope and design principles</w:t>
            </w:r>
          </w:p>
        </w:tc>
        <w:tc>
          <w:tcPr/>
          <w:p>
            <w:pPr>
              <w:pStyle w:val="Compact"/>
              <w:jc w:val="left"/>
            </w:pPr>
            <w:r>
              <w:t xml:space="preserve">[PROJECT]</w:t>
            </w:r>
          </w:p>
        </w:tc>
      </w:tr>
      <w:tr>
        <w:tc>
          <w:tcPr/>
          <w:p>
            <w:pPr>
              <w:pStyle w:val="Compact"/>
              <w:jc w:val="left"/>
            </w:pPr>
            <w:r>
              <w:t xml:space="preserve">T4</w:t>
            </w:r>
          </w:p>
        </w:tc>
        <w:tc>
          <w:tcPr/>
          <w:p>
            <w:pPr>
              <w:pStyle w:val="Compact"/>
              <w:jc w:val="left"/>
            </w:pPr>
            <w:r>
              <w:t xml:space="preserve">Open the Change Management project; set the Lewin phase</w:t>
            </w:r>
          </w:p>
        </w:tc>
        <w:tc>
          <w:tcPr/>
          <w:p>
            <w:pPr>
              <w:pStyle w:val="Compact"/>
              <w:jc w:val="left"/>
            </w:pPr>
            <w:r>
              <w:t xml:space="preserve">[CHANGE]</w:t>
            </w:r>
          </w:p>
        </w:tc>
      </w:tr>
      <w:tr>
        <w:tc>
          <w:tcPr/>
          <w:p>
            <w:pPr>
              <w:pStyle w:val="Compact"/>
              <w:jc w:val="left"/>
            </w:pPr>
            <w:r>
              <w:t xml:space="preserve">T5</w:t>
            </w:r>
          </w:p>
        </w:tc>
        <w:tc>
          <w:tcPr/>
          <w:p>
            <w:pPr>
              <w:pStyle w:val="Compact"/>
              <w:jc w:val="left"/>
            </w:pPr>
            <w:r>
              <w:t xml:space="preserve">Run the baseline ADKAR / Bridges / Kübler-Ross pulse</w:t>
            </w:r>
          </w:p>
        </w:tc>
        <w:tc>
          <w:tcPr/>
          <w:p>
            <w:pPr>
              <w:pStyle w:val="Compact"/>
              <w:jc w:val="left"/>
            </w:pPr>
            <w:r>
              <w:t xml:space="preserve">[CHANGE]</w:t>
            </w:r>
          </w:p>
        </w:tc>
      </w:tr>
    </w:tbl>
    <w:p>
      <w:pPr>
        <w:pStyle w:val="BodyText"/>
      </w:pPr>
      <w:r>
        <w:rPr>
          <w:bCs/>
          <w:b/>
        </w:rPr>
        <w:t xml:space="preserve">Phase 2 — Build &amp; Configuration</w:t>
      </w:r>
    </w:p>
    <w:tbl>
      <w:tblPr>
        <w:tblStyle w:val="Table"/>
        <w:tblW w:type="pct" w:w="4894"/>
        <w:tblLook w:firstRow="1" w:lastRow="0" w:firstColumn="0" w:lastColumn="0" w:noHBand="0" w:noVBand="0" w:val="0020"/>
        <w:jc w:val="start"/>
      </w:tblPr>
      <w:tblGrid>
        <w:gridCol w:w="926"/>
        <w:gridCol w:w="5560"/>
        <w:gridCol w:w="1263"/>
      </w:tblGrid>
      <w:tr>
        <w:trPr>
          <w:tblHeader w:val="true"/>
        </w:trPr>
        <w:tc>
          <w:tcPr>
            <w:shd w:val="clear" w:fill="1F4B45"/>
          </w:tcPr>
          <w:p>
            <w:pPr>
              <w:pStyle w:val="Compact"/>
              <w:jc w:val="left"/>
            </w:pPr>
            <w:r>
              <w:rPr>
                <w:bCs/>
                <w:b/>
                <w:color w:val="FFFFFF"/>
              </w:rPr>
              <w:t xml:space="preserve">Task</w:t>
            </w:r>
          </w:p>
        </w:tc>
        <w:tc>
          <w:tcPr>
            <w:shd w:val="clear" w:fill="1F4B45"/>
          </w:tcPr>
          <w:p>
            <w:pPr>
              <w:pStyle w:val="Compact"/>
              <w:jc w:val="left"/>
            </w:pPr>
            <w:r>
              <w:rPr>
                <w:bCs/>
                <w:b/>
                <w:color w:val="FFFFFF"/>
              </w:rPr>
              <w:t xml:space="preserve">Task Name</w:t>
            </w:r>
          </w:p>
        </w:tc>
        <w:tc>
          <w:tcPr>
            <w:shd w:val="clear" w:fill="1F4B45"/>
          </w:tcPr>
          <w:p>
            <w:pPr>
              <w:pStyle w:val="Compact"/>
              <w:jc w:val="left"/>
            </w:pPr>
            <w:r>
              <w:rPr>
                <w:bCs/>
                <w:b/>
                <w:color w:val="FFFFFF"/>
              </w:rPr>
              <w:t xml:space="preserve">Nature</w:t>
            </w:r>
          </w:p>
        </w:tc>
      </w:tr>
      <w:tr>
        <w:tc>
          <w:tcPr/>
          <w:p>
            <w:pPr>
              <w:pStyle w:val="Compact"/>
              <w:jc w:val="left"/>
            </w:pPr>
            <w:r>
              <w:t xml:space="preserve">T1</w:t>
            </w:r>
          </w:p>
        </w:tc>
        <w:tc>
          <w:tcPr/>
          <w:p>
            <w:pPr>
              <w:pStyle w:val="Compact"/>
              <w:jc w:val="left"/>
            </w:pPr>
            <w:r>
              <w:t xml:space="preserve">Configure the platform against the approved future-state design</w:t>
            </w:r>
          </w:p>
        </w:tc>
        <w:tc>
          <w:tcPr/>
          <w:p>
            <w:pPr>
              <w:pStyle w:val="Compact"/>
              <w:jc w:val="left"/>
            </w:pPr>
            <w:r>
              <w:t xml:space="preserve">[PROJECT]</w:t>
            </w:r>
          </w:p>
        </w:tc>
      </w:tr>
      <w:tr>
        <w:tc>
          <w:tcPr/>
          <w:p>
            <w:pPr>
              <w:pStyle w:val="Compact"/>
              <w:jc w:val="left"/>
            </w:pPr>
            <w:r>
              <w:t xml:space="preserve">T2</w:t>
            </w:r>
          </w:p>
        </w:tc>
        <w:tc>
          <w:tcPr/>
          <w:p>
            <w:pPr>
              <w:pStyle w:val="Compact"/>
              <w:jc w:val="left"/>
            </w:pPr>
            <w:r>
              <w:t xml:space="preserve">Run design-review checkpoints with functional owners</w:t>
            </w:r>
          </w:p>
        </w:tc>
        <w:tc>
          <w:tcPr/>
          <w:p>
            <w:pPr>
              <w:pStyle w:val="Compact"/>
              <w:jc w:val="left"/>
            </w:pPr>
            <w:r>
              <w:t xml:space="preserve">[PROJECT]</w:t>
            </w:r>
          </w:p>
        </w:tc>
      </w:tr>
      <w:tr>
        <w:tc>
          <w:tcPr/>
          <w:p>
            <w:pPr>
              <w:pStyle w:val="Compact"/>
              <w:jc w:val="left"/>
            </w:pPr>
            <w:r>
              <w:t xml:space="preserve">T3</w:t>
            </w:r>
          </w:p>
        </w:tc>
        <w:tc>
          <w:tcPr/>
          <w:p>
            <w:pPr>
              <w:pStyle w:val="Compact"/>
              <w:jc w:val="left"/>
            </w:pPr>
            <w:r>
              <w:t xml:space="preserve">Launch Phase-1 communications and an FAQ channel</w:t>
            </w:r>
          </w:p>
        </w:tc>
        <w:tc>
          <w:tcPr/>
          <w:p>
            <w:pPr>
              <w:pStyle w:val="Compact"/>
              <w:jc w:val="left"/>
            </w:pPr>
            <w:r>
              <w:t xml:space="preserve">[CHANGE]</w:t>
            </w:r>
          </w:p>
        </w:tc>
      </w:tr>
      <w:tr>
        <w:tc>
          <w:tcPr/>
          <w:p>
            <w:pPr>
              <w:pStyle w:val="Compact"/>
              <w:jc w:val="left"/>
            </w:pPr>
            <w:r>
              <w:t xml:space="preserve">T4</w:t>
            </w:r>
          </w:p>
        </w:tc>
        <w:tc>
          <w:tcPr/>
          <w:p>
            <w:pPr>
              <w:pStyle w:val="Compact"/>
              <w:jc w:val="left"/>
            </w:pPr>
            <w:r>
              <w:t xml:space="preserve">Recruit and brief the change champion network</w:t>
            </w:r>
          </w:p>
        </w:tc>
        <w:tc>
          <w:tcPr/>
          <w:p>
            <w:pPr>
              <w:pStyle w:val="Compact"/>
              <w:jc w:val="left"/>
            </w:pPr>
            <w:r>
              <w:t xml:space="preserve">[CHANGE]</w:t>
            </w:r>
          </w:p>
        </w:tc>
      </w:tr>
      <w:tr>
        <w:tc>
          <w:tcPr/>
          <w:p>
            <w:pPr>
              <w:pStyle w:val="Compact"/>
              <w:jc w:val="left"/>
            </w:pPr>
            <w:r>
              <w:t xml:space="preserve">T5</w:t>
            </w:r>
          </w:p>
        </w:tc>
        <w:tc>
          <w:tcPr/>
          <w:p>
            <w:pPr>
              <w:pStyle w:val="Compact"/>
              <w:jc w:val="left"/>
            </w:pPr>
            <w:r>
              <w:t xml:space="preserve">Re-run the ADKAR pulse (Awareness / early Desire)</w:t>
            </w:r>
          </w:p>
        </w:tc>
        <w:tc>
          <w:tcPr/>
          <w:p>
            <w:pPr>
              <w:pStyle w:val="Compact"/>
              <w:jc w:val="left"/>
            </w:pPr>
            <w:r>
              <w:t xml:space="preserve">[CHANGE]</w:t>
            </w:r>
          </w:p>
        </w:tc>
      </w:tr>
    </w:tbl>
    <w:p>
      <w:pPr>
        <w:pStyle w:val="BodyText"/>
      </w:pPr>
      <w:r>
        <w:rPr>
          <w:bCs/>
          <w:b/>
        </w:rPr>
        <w:t xml:space="preserve">Phase 3 — Data Migration &amp; Integration</w:t>
      </w:r>
    </w:p>
    <w:tbl>
      <w:tblPr>
        <w:tblStyle w:val="Table"/>
        <w:tblW w:type="pct" w:w="4891"/>
        <w:tblLook w:firstRow="1" w:lastRow="0" w:firstColumn="0" w:lastColumn="0" w:noHBand="0" w:noVBand="0" w:val="0020"/>
        <w:jc w:val="start"/>
      </w:tblPr>
      <w:tblGrid>
        <w:gridCol w:w="946"/>
        <w:gridCol w:w="5509"/>
        <w:gridCol w:w="1291"/>
      </w:tblGrid>
      <w:tr>
        <w:trPr>
          <w:tblHeader w:val="true"/>
        </w:trPr>
        <w:tc>
          <w:tcPr>
            <w:shd w:val="clear" w:fill="1F4B45"/>
          </w:tcPr>
          <w:p>
            <w:pPr>
              <w:pStyle w:val="Compact"/>
              <w:jc w:val="left"/>
            </w:pPr>
            <w:r>
              <w:rPr>
                <w:bCs/>
                <w:b/>
                <w:color w:val="FFFFFF"/>
              </w:rPr>
              <w:t xml:space="preserve">Task</w:t>
            </w:r>
          </w:p>
        </w:tc>
        <w:tc>
          <w:tcPr>
            <w:shd w:val="clear" w:fill="1F4B45"/>
          </w:tcPr>
          <w:p>
            <w:pPr>
              <w:pStyle w:val="Compact"/>
              <w:jc w:val="left"/>
            </w:pPr>
            <w:r>
              <w:rPr>
                <w:bCs/>
                <w:b/>
                <w:color w:val="FFFFFF"/>
              </w:rPr>
              <w:t xml:space="preserve">Task Name</w:t>
            </w:r>
          </w:p>
        </w:tc>
        <w:tc>
          <w:tcPr>
            <w:shd w:val="clear" w:fill="1F4B45"/>
          </w:tcPr>
          <w:p>
            <w:pPr>
              <w:pStyle w:val="Compact"/>
              <w:jc w:val="left"/>
            </w:pPr>
            <w:r>
              <w:rPr>
                <w:bCs/>
                <w:b/>
                <w:color w:val="FFFFFF"/>
              </w:rPr>
              <w:t xml:space="preserve">Nature</w:t>
            </w:r>
          </w:p>
        </w:tc>
      </w:tr>
      <w:tr>
        <w:tc>
          <w:tcPr/>
          <w:p>
            <w:pPr>
              <w:pStyle w:val="Compact"/>
              <w:jc w:val="left"/>
            </w:pPr>
            <w:r>
              <w:t xml:space="preserve">T1</w:t>
            </w:r>
          </w:p>
        </w:tc>
        <w:tc>
          <w:tcPr/>
          <w:p>
            <w:pPr>
              <w:pStyle w:val="Compact"/>
              <w:jc w:val="left"/>
            </w:pPr>
            <w:r>
              <w:t xml:space="preserve">Cleanse and map legacy data to the future-state model</w:t>
            </w:r>
          </w:p>
        </w:tc>
        <w:tc>
          <w:tcPr/>
          <w:p>
            <w:pPr>
              <w:pStyle w:val="Compact"/>
              <w:jc w:val="left"/>
            </w:pPr>
            <w:r>
              <w:t xml:space="preserve">[PROJECT]</w:t>
            </w:r>
          </w:p>
        </w:tc>
      </w:tr>
      <w:tr>
        <w:tc>
          <w:tcPr/>
          <w:p>
            <w:pPr>
              <w:pStyle w:val="Compact"/>
              <w:jc w:val="left"/>
            </w:pPr>
            <w:r>
              <w:t xml:space="preserve">T2</w:t>
            </w:r>
          </w:p>
        </w:tc>
        <w:tc>
          <w:tcPr/>
          <w:p>
            <w:pPr>
              <w:pStyle w:val="Compact"/>
              <w:jc w:val="left"/>
            </w:pPr>
            <w:r>
              <w:t xml:space="preserve">Build and test integrations with adjacent systems</w:t>
            </w:r>
          </w:p>
        </w:tc>
        <w:tc>
          <w:tcPr/>
          <w:p>
            <w:pPr>
              <w:pStyle w:val="Compact"/>
              <w:jc w:val="left"/>
            </w:pPr>
            <w:r>
              <w:t xml:space="preserve">[PROJECT]</w:t>
            </w:r>
          </w:p>
        </w:tc>
      </w:tr>
      <w:tr>
        <w:tc>
          <w:tcPr/>
          <w:p>
            <w:pPr>
              <w:pStyle w:val="Compact"/>
              <w:jc w:val="left"/>
            </w:pPr>
            <w:r>
              <w:t xml:space="preserve">T3</w:t>
            </w:r>
          </w:p>
        </w:tc>
        <w:tc>
          <w:tcPr/>
          <w:p>
            <w:pPr>
              <w:pStyle w:val="Compact"/>
              <w:jc w:val="left"/>
            </w:pPr>
            <w:r>
              <w:t xml:space="preserve">Run mock data-migration cycles and reconcile results</w:t>
            </w:r>
          </w:p>
        </w:tc>
        <w:tc>
          <w:tcPr/>
          <w:p>
            <w:pPr>
              <w:pStyle w:val="Compact"/>
              <w:jc w:val="left"/>
            </w:pPr>
            <w:r>
              <w:t xml:space="preserve">[PROJECT]</w:t>
            </w:r>
          </w:p>
        </w:tc>
      </w:tr>
      <w:tr>
        <w:tc>
          <w:tcPr/>
          <w:p>
            <w:pPr>
              <w:pStyle w:val="Compact"/>
              <w:jc w:val="left"/>
            </w:pPr>
            <w:r>
              <w:t xml:space="preserve">T4</w:t>
            </w:r>
          </w:p>
        </w:tc>
        <w:tc>
          <w:tcPr/>
          <w:p>
            <w:pPr>
              <w:pStyle w:val="Compact"/>
              <w:jc w:val="left"/>
            </w:pPr>
            <w:r>
              <w:t xml:space="preserve">Log Desire-block barrier reasons from low end-user visibility</w:t>
            </w:r>
          </w:p>
        </w:tc>
        <w:tc>
          <w:tcPr/>
          <w:p>
            <w:pPr>
              <w:pStyle w:val="Compact"/>
              <w:jc w:val="left"/>
            </w:pPr>
            <w:r>
              <w:t xml:space="preserve">[CHANGE]</w:t>
            </w:r>
          </w:p>
        </w:tc>
      </w:tr>
      <w:tr>
        <w:tc>
          <w:tcPr/>
          <w:p>
            <w:pPr>
              <w:pStyle w:val="Compact"/>
              <w:jc w:val="left"/>
            </w:pPr>
            <w:r>
              <w:t xml:space="preserve">T5</w:t>
            </w:r>
          </w:p>
        </w:tc>
        <w:tc>
          <w:tcPr/>
          <w:p>
            <w:pPr>
              <w:pStyle w:val="Compact"/>
              <w:jc w:val="left"/>
            </w:pPr>
            <w:r>
              <w:t xml:space="preserve">Update the Composite Readiness Index ahead of Testing</w:t>
            </w:r>
          </w:p>
        </w:tc>
        <w:tc>
          <w:tcPr/>
          <w:p>
            <w:pPr>
              <w:pStyle w:val="Compact"/>
              <w:jc w:val="left"/>
            </w:pPr>
            <w:r>
              <w:t xml:space="preserve">[CHANGE]</w:t>
            </w:r>
          </w:p>
        </w:tc>
      </w:tr>
    </w:tbl>
    <w:p>
      <w:pPr>
        <w:pStyle w:val="BodyText"/>
      </w:pPr>
      <w:r>
        <w:rPr>
          <w:bCs/>
          <w:b/>
        </w:rPr>
        <w:t xml:space="preserve">Phase 4 — Testing (SIT / UAT)</w:t>
      </w:r>
    </w:p>
    <w:tbl>
      <w:tblPr>
        <w:tblStyle w:val="Table"/>
        <w:tblW w:type="pct" w:w="4905"/>
        <w:tblLook w:firstRow="1" w:lastRow="0" w:firstColumn="0" w:lastColumn="0" w:noHBand="0" w:noVBand="0" w:val="0020"/>
        <w:jc w:val="start"/>
      </w:tblPr>
      <w:tblGrid>
        <w:gridCol w:w="829"/>
        <w:gridCol w:w="5808"/>
        <w:gridCol w:w="1131"/>
      </w:tblGrid>
      <w:tr>
        <w:trPr>
          <w:tblHeader w:val="true"/>
        </w:trPr>
        <w:tc>
          <w:tcPr>
            <w:shd w:val="clear" w:fill="1F4B45"/>
          </w:tcPr>
          <w:p>
            <w:pPr>
              <w:pStyle w:val="Compact"/>
              <w:jc w:val="left"/>
            </w:pPr>
            <w:r>
              <w:rPr>
                <w:bCs/>
                <w:b/>
                <w:color w:val="FFFFFF"/>
              </w:rPr>
              <w:t xml:space="preserve">Task</w:t>
            </w:r>
          </w:p>
        </w:tc>
        <w:tc>
          <w:tcPr>
            <w:shd w:val="clear" w:fill="1F4B45"/>
          </w:tcPr>
          <w:p>
            <w:pPr>
              <w:pStyle w:val="Compact"/>
              <w:jc w:val="left"/>
            </w:pPr>
            <w:r>
              <w:rPr>
                <w:bCs/>
                <w:b/>
                <w:color w:val="FFFFFF"/>
              </w:rPr>
              <w:t xml:space="preserve">Task Name</w:t>
            </w:r>
          </w:p>
        </w:tc>
        <w:tc>
          <w:tcPr>
            <w:shd w:val="clear" w:fill="1F4B45"/>
          </w:tcPr>
          <w:p>
            <w:pPr>
              <w:pStyle w:val="Compact"/>
              <w:jc w:val="left"/>
            </w:pPr>
            <w:r>
              <w:rPr>
                <w:bCs/>
                <w:b/>
                <w:color w:val="FFFFFF"/>
              </w:rPr>
              <w:t xml:space="preserve">Nature</w:t>
            </w:r>
          </w:p>
        </w:tc>
      </w:tr>
      <w:tr>
        <w:tc>
          <w:tcPr/>
          <w:p>
            <w:pPr>
              <w:pStyle w:val="Compact"/>
              <w:jc w:val="left"/>
            </w:pPr>
            <w:r>
              <w:t xml:space="preserve">T1</w:t>
            </w:r>
          </w:p>
        </w:tc>
        <w:tc>
          <w:tcPr/>
          <w:p>
            <w:pPr>
              <w:pStyle w:val="Compact"/>
              <w:jc w:val="left"/>
            </w:pPr>
            <w:r>
              <w:t xml:space="preserve">Execute system integration testing (SIT)</w:t>
            </w:r>
          </w:p>
        </w:tc>
        <w:tc>
          <w:tcPr/>
          <w:p>
            <w:pPr>
              <w:pStyle w:val="Compact"/>
              <w:jc w:val="left"/>
            </w:pPr>
            <w:r>
              <w:t xml:space="preserve">[PROJECT]</w:t>
            </w:r>
          </w:p>
        </w:tc>
      </w:tr>
      <w:tr>
        <w:tc>
          <w:tcPr/>
          <w:p>
            <w:pPr>
              <w:pStyle w:val="Compact"/>
              <w:jc w:val="left"/>
            </w:pPr>
            <w:r>
              <w:t xml:space="preserve">T2</w:t>
            </w:r>
          </w:p>
        </w:tc>
        <w:tc>
          <w:tcPr/>
          <w:p>
            <w:pPr>
              <w:pStyle w:val="Compact"/>
              <w:jc w:val="left"/>
            </w:pPr>
            <w:r>
              <w:t xml:space="preserve">Recruit a representative cohort for user acceptance testing (UAT)</w:t>
            </w:r>
          </w:p>
        </w:tc>
        <w:tc>
          <w:tcPr/>
          <w:p>
            <w:pPr>
              <w:pStyle w:val="Compact"/>
              <w:jc w:val="left"/>
            </w:pPr>
            <w:r>
              <w:t xml:space="preserve">[JOINT]</w:t>
            </w:r>
          </w:p>
        </w:tc>
      </w:tr>
      <w:tr>
        <w:tc>
          <w:tcPr/>
          <w:p>
            <w:pPr>
              <w:pStyle w:val="Compact"/>
              <w:jc w:val="left"/>
            </w:pPr>
            <w:r>
              <w:t xml:space="preserve">T3</w:t>
            </w:r>
          </w:p>
        </w:tc>
        <w:tc>
          <w:tcPr/>
          <w:p>
            <w:pPr>
              <w:pStyle w:val="Compact"/>
              <w:jc w:val="left"/>
            </w:pPr>
            <w:r>
              <w:t xml:space="preserve">Run UAT sessions and log defects and usability friction</w:t>
            </w:r>
          </w:p>
        </w:tc>
        <w:tc>
          <w:tcPr/>
          <w:p>
            <w:pPr>
              <w:pStyle w:val="Compact"/>
              <w:jc w:val="left"/>
            </w:pPr>
            <w:r>
              <w:t xml:space="preserve">[JOINT]</w:t>
            </w:r>
          </w:p>
        </w:tc>
      </w:tr>
      <w:tr>
        <w:tc>
          <w:tcPr/>
          <w:p>
            <w:pPr>
              <w:pStyle w:val="Compact"/>
              <w:jc w:val="left"/>
            </w:pPr>
            <w:r>
              <w:t xml:space="preserve">T4</w:t>
            </w:r>
          </w:p>
        </w:tc>
        <w:tc>
          <w:tcPr/>
          <w:p>
            <w:pPr>
              <w:pStyle w:val="Compact"/>
              <w:jc w:val="left"/>
            </w:pPr>
            <w:r>
              <w:t xml:space="preserve">Cross-check Knowledge / Ability against Bridges (Divergence Pattern check)</w:t>
            </w:r>
          </w:p>
        </w:tc>
        <w:tc>
          <w:tcPr/>
          <w:p>
            <w:pPr>
              <w:pStyle w:val="Compact"/>
              <w:jc w:val="left"/>
            </w:pPr>
            <w:r>
              <w:t xml:space="preserve">[CHANGE]</w:t>
            </w:r>
          </w:p>
        </w:tc>
      </w:tr>
      <w:tr>
        <w:tc>
          <w:tcPr/>
          <w:p>
            <w:pPr>
              <w:pStyle w:val="Compact"/>
              <w:jc w:val="left"/>
            </w:pPr>
            <w:r>
              <w:t xml:space="preserve">T5</w:t>
            </w:r>
          </w:p>
        </w:tc>
        <w:tc>
          <w:tcPr/>
          <w:p>
            <w:pPr>
              <w:pStyle w:val="Compact"/>
              <w:jc w:val="left"/>
            </w:pPr>
            <w:r>
              <w:t xml:space="preserve">Triage and remediate defects before sign-off</w:t>
            </w:r>
          </w:p>
        </w:tc>
        <w:tc>
          <w:tcPr/>
          <w:p>
            <w:pPr>
              <w:pStyle w:val="Compact"/>
              <w:jc w:val="left"/>
            </w:pPr>
            <w:r>
              <w:t xml:space="preserve">[PROJECT]</w:t>
            </w:r>
          </w:p>
        </w:tc>
      </w:tr>
    </w:tbl>
    <w:p>
      <w:pPr>
        <w:pStyle w:val="BodyText"/>
      </w:pPr>
      <w:r>
        <w:rPr>
          <w:bCs/>
          <w:b/>
        </w:rPr>
        <w:t xml:space="preserve">Phase 5 — Training &amp; Change Readiness</w:t>
      </w:r>
    </w:p>
    <w:tbl>
      <w:tblPr>
        <w:tblStyle w:val="Table"/>
        <w:tblW w:type="pct" w:w="4901"/>
        <w:tblLook w:firstRow="1" w:lastRow="0" w:firstColumn="0" w:lastColumn="0" w:noHBand="0" w:noVBand="0" w:val="0020"/>
        <w:jc w:val="start"/>
      </w:tblPr>
      <w:tblGrid>
        <w:gridCol w:w="862"/>
        <w:gridCol w:w="5724"/>
        <w:gridCol w:w="1176"/>
      </w:tblGrid>
      <w:tr>
        <w:trPr>
          <w:tblHeader w:val="true"/>
        </w:trPr>
        <w:tc>
          <w:tcPr>
            <w:shd w:val="clear" w:fill="1F4B45"/>
          </w:tcPr>
          <w:p>
            <w:pPr>
              <w:pStyle w:val="Compact"/>
              <w:jc w:val="left"/>
            </w:pPr>
            <w:r>
              <w:rPr>
                <w:bCs/>
                <w:b/>
                <w:color w:val="FFFFFF"/>
              </w:rPr>
              <w:t xml:space="preserve">Task</w:t>
            </w:r>
          </w:p>
        </w:tc>
        <w:tc>
          <w:tcPr>
            <w:shd w:val="clear" w:fill="1F4B45"/>
          </w:tcPr>
          <w:p>
            <w:pPr>
              <w:pStyle w:val="Compact"/>
              <w:jc w:val="left"/>
            </w:pPr>
            <w:r>
              <w:rPr>
                <w:bCs/>
                <w:b/>
                <w:color w:val="FFFFFF"/>
              </w:rPr>
              <w:t xml:space="preserve">Task Name</w:t>
            </w:r>
          </w:p>
        </w:tc>
        <w:tc>
          <w:tcPr>
            <w:shd w:val="clear" w:fill="1F4B45"/>
          </w:tcPr>
          <w:p>
            <w:pPr>
              <w:pStyle w:val="Compact"/>
              <w:jc w:val="left"/>
            </w:pPr>
            <w:r>
              <w:rPr>
                <w:bCs/>
                <w:b/>
                <w:color w:val="FFFFFF"/>
              </w:rPr>
              <w:t xml:space="preserve">Nature</w:t>
            </w:r>
          </w:p>
        </w:tc>
      </w:tr>
      <w:tr>
        <w:tc>
          <w:tcPr/>
          <w:p>
            <w:pPr>
              <w:pStyle w:val="Compact"/>
              <w:jc w:val="left"/>
            </w:pPr>
            <w:r>
              <w:t xml:space="preserve">T1</w:t>
            </w:r>
          </w:p>
        </w:tc>
        <w:tc>
          <w:tcPr/>
          <w:p>
            <w:pPr>
              <w:pStyle w:val="Compact"/>
              <w:jc w:val="left"/>
            </w:pPr>
            <w:r>
              <w:t xml:space="preserve">Deliver role-based training to all impacted cohorts</w:t>
            </w:r>
          </w:p>
        </w:tc>
        <w:tc>
          <w:tcPr/>
          <w:p>
            <w:pPr>
              <w:pStyle w:val="Compact"/>
              <w:jc w:val="left"/>
            </w:pPr>
            <w:r>
              <w:t xml:space="preserve">[JOINT]</w:t>
            </w:r>
          </w:p>
        </w:tc>
      </w:tr>
      <w:tr>
        <w:tc>
          <w:tcPr/>
          <w:p>
            <w:pPr>
              <w:pStyle w:val="Compact"/>
              <w:jc w:val="left"/>
            </w:pPr>
            <w:r>
              <w:t xml:space="preserve">T2</w:t>
            </w:r>
          </w:p>
        </w:tc>
        <w:tc>
          <w:tcPr/>
          <w:p>
            <w:pPr>
              <w:pStyle w:val="Compact"/>
              <w:jc w:val="left"/>
            </w:pPr>
            <w:r>
              <w:t xml:space="preserve">Deploy job aids and a sandbox practice environment</w:t>
            </w:r>
          </w:p>
        </w:tc>
        <w:tc>
          <w:tcPr/>
          <w:p>
            <w:pPr>
              <w:pStyle w:val="Compact"/>
              <w:jc w:val="left"/>
            </w:pPr>
            <w:r>
              <w:t xml:space="preserve">[JOINT]</w:t>
            </w:r>
          </w:p>
        </w:tc>
      </w:tr>
      <w:tr>
        <w:tc>
          <w:tcPr/>
          <w:p>
            <w:pPr>
              <w:pStyle w:val="Compact"/>
              <w:jc w:val="left"/>
            </w:pPr>
            <w:r>
              <w:t xml:space="preserve">T3</w:t>
            </w:r>
          </w:p>
        </w:tc>
        <w:tc>
          <w:tcPr/>
          <w:p>
            <w:pPr>
              <w:pStyle w:val="Compact"/>
              <w:jc w:val="left"/>
            </w:pPr>
            <w:r>
              <w:t xml:space="preserve">Run readiness assessments per cohort (Knowledge / Ability scoring)</w:t>
            </w:r>
          </w:p>
        </w:tc>
        <w:tc>
          <w:tcPr/>
          <w:p>
            <w:pPr>
              <w:pStyle w:val="Compact"/>
              <w:jc w:val="left"/>
            </w:pPr>
            <w:r>
              <w:t xml:space="preserve">[CHANGE]</w:t>
            </w:r>
          </w:p>
        </w:tc>
      </w:tr>
      <w:tr>
        <w:tc>
          <w:tcPr/>
          <w:p>
            <w:pPr>
              <w:pStyle w:val="Compact"/>
              <w:jc w:val="left"/>
            </w:pPr>
            <w:r>
              <w:t xml:space="preserve">T4</w:t>
            </w:r>
          </w:p>
        </w:tc>
        <w:tc>
          <w:tcPr/>
          <w:p>
            <w:pPr>
              <w:pStyle w:val="Compact"/>
              <w:jc w:val="left"/>
            </w:pPr>
            <w:r>
              <w:t xml:space="preserve">Brief supervisors on real-time floor-coaching expectations for go-live</w:t>
            </w:r>
          </w:p>
        </w:tc>
        <w:tc>
          <w:tcPr/>
          <w:p>
            <w:pPr>
              <w:pStyle w:val="Compact"/>
              <w:jc w:val="left"/>
            </w:pPr>
            <w:r>
              <w:t xml:space="preserve">[CHANGE]</w:t>
            </w:r>
          </w:p>
        </w:tc>
      </w:tr>
      <w:tr>
        <w:tc>
          <w:tcPr/>
          <w:p>
            <w:pPr>
              <w:pStyle w:val="Compact"/>
              <w:jc w:val="left"/>
            </w:pPr>
            <w:r>
              <w:t xml:space="preserve">T5</w:t>
            </w:r>
          </w:p>
        </w:tc>
        <w:tc>
          <w:tcPr/>
          <w:p>
            <w:pPr>
              <w:pStyle w:val="Compact"/>
              <w:jc w:val="left"/>
            </w:pPr>
            <w:r>
              <w:t xml:space="preserve">Confirm go/no-go readiness by cohort against benchmarking bands</w:t>
            </w:r>
          </w:p>
        </w:tc>
        <w:tc>
          <w:tcPr/>
          <w:p>
            <w:pPr>
              <w:pStyle w:val="Compact"/>
              <w:jc w:val="left"/>
            </w:pPr>
            <w:r>
              <w:t xml:space="preserve">[JOINT]</w:t>
            </w:r>
          </w:p>
        </w:tc>
      </w:tr>
    </w:tbl>
    <w:p>
      <w:pPr>
        <w:pStyle w:val="BodyText"/>
      </w:pPr>
      <w:r>
        <w:rPr>
          <w:bCs/>
          <w:b/>
        </w:rPr>
        <w:t xml:space="preserve">Phase 6 — Cutover &amp; Go-Live</w:t>
      </w:r>
    </w:p>
    <w:tbl>
      <w:tblPr>
        <w:tblStyle w:val="Table"/>
        <w:tblW w:type="pct" w:w="4886"/>
        <w:tblLook w:firstRow="1" w:lastRow="0" w:firstColumn="0" w:lastColumn="0" w:noHBand="0" w:noVBand="0" w:val="0020"/>
        <w:jc w:val="start"/>
      </w:tblPr>
      <w:tblGrid>
        <w:gridCol w:w="990"/>
        <w:gridCol w:w="5400"/>
        <w:gridCol w:w="1350"/>
      </w:tblGrid>
      <w:tr>
        <w:trPr>
          <w:tblHeader w:val="true"/>
        </w:trPr>
        <w:tc>
          <w:tcPr>
            <w:shd w:val="clear" w:fill="1F4B45"/>
          </w:tcPr>
          <w:p>
            <w:pPr>
              <w:pStyle w:val="Compact"/>
              <w:jc w:val="left"/>
            </w:pPr>
            <w:r>
              <w:rPr>
                <w:bCs/>
                <w:b/>
                <w:color w:val="FFFFFF"/>
              </w:rPr>
              <w:t xml:space="preserve">Task</w:t>
            </w:r>
          </w:p>
        </w:tc>
        <w:tc>
          <w:tcPr>
            <w:shd w:val="clear" w:fill="1F4B45"/>
          </w:tcPr>
          <w:p>
            <w:pPr>
              <w:pStyle w:val="Compact"/>
              <w:jc w:val="left"/>
            </w:pPr>
            <w:r>
              <w:rPr>
                <w:bCs/>
                <w:b/>
                <w:color w:val="FFFFFF"/>
              </w:rPr>
              <w:t xml:space="preserve">Task Name</w:t>
            </w:r>
          </w:p>
        </w:tc>
        <w:tc>
          <w:tcPr>
            <w:shd w:val="clear" w:fill="1F4B45"/>
          </w:tcPr>
          <w:p>
            <w:pPr>
              <w:pStyle w:val="Compact"/>
              <w:jc w:val="left"/>
            </w:pPr>
            <w:r>
              <w:rPr>
                <w:bCs/>
                <w:b/>
                <w:color w:val="FFFFFF"/>
              </w:rPr>
              <w:t xml:space="preserve">Nature</w:t>
            </w:r>
          </w:p>
        </w:tc>
      </w:tr>
      <w:tr>
        <w:tc>
          <w:tcPr/>
          <w:p>
            <w:pPr>
              <w:pStyle w:val="Compact"/>
              <w:jc w:val="left"/>
            </w:pPr>
            <w:r>
              <w:t xml:space="preserve">T1</w:t>
            </w:r>
          </w:p>
        </w:tc>
        <w:tc>
          <w:tcPr/>
          <w:p>
            <w:pPr>
              <w:pStyle w:val="Compact"/>
              <w:jc w:val="left"/>
            </w:pPr>
            <w:r>
              <w:t xml:space="preserve">Execute the data freeze and final migration</w:t>
            </w:r>
          </w:p>
        </w:tc>
        <w:tc>
          <w:tcPr/>
          <w:p>
            <w:pPr>
              <w:pStyle w:val="Compact"/>
              <w:jc w:val="left"/>
            </w:pPr>
            <w:r>
              <w:t xml:space="preserve">[PROJECT]</w:t>
            </w:r>
          </w:p>
        </w:tc>
      </w:tr>
      <w:tr>
        <w:tc>
          <w:tcPr/>
          <w:p>
            <w:pPr>
              <w:pStyle w:val="Compact"/>
              <w:jc w:val="left"/>
            </w:pPr>
            <w:r>
              <w:t xml:space="preserve">T2</w:t>
            </w:r>
          </w:p>
        </w:tc>
        <w:tc>
          <w:tcPr/>
          <w:p>
            <w:pPr>
              <w:pStyle w:val="Compact"/>
              <w:jc w:val="left"/>
            </w:pPr>
            <w:r>
              <w:t xml:space="preserve">Run the cutover runbook and technical validation checks</w:t>
            </w:r>
          </w:p>
        </w:tc>
        <w:tc>
          <w:tcPr/>
          <w:p>
            <w:pPr>
              <w:pStyle w:val="Compact"/>
              <w:jc w:val="left"/>
            </w:pPr>
            <w:r>
              <w:t xml:space="preserve">[PROJECT]</w:t>
            </w:r>
          </w:p>
        </w:tc>
      </w:tr>
      <w:tr>
        <w:tc>
          <w:tcPr/>
          <w:p>
            <w:pPr>
              <w:pStyle w:val="Compact"/>
              <w:jc w:val="left"/>
            </w:pPr>
            <w:r>
              <w:t xml:space="preserve">T3</w:t>
            </w:r>
          </w:p>
        </w:tc>
        <w:tc>
          <w:tcPr/>
          <w:p>
            <w:pPr>
              <w:pStyle w:val="Compact"/>
              <w:jc w:val="left"/>
            </w:pPr>
            <w:r>
              <w:t xml:space="preserve">Decommission or lock access to the legacy system per plan</w:t>
            </w:r>
          </w:p>
        </w:tc>
        <w:tc>
          <w:tcPr/>
          <w:p>
            <w:pPr>
              <w:pStyle w:val="Compact"/>
              <w:jc w:val="left"/>
            </w:pPr>
            <w:r>
              <w:t xml:space="preserve">[PROJECT]</w:t>
            </w:r>
          </w:p>
        </w:tc>
      </w:tr>
      <w:tr>
        <w:tc>
          <w:tcPr/>
          <w:p>
            <w:pPr>
              <w:pStyle w:val="Compact"/>
              <w:jc w:val="left"/>
            </w:pPr>
            <w:r>
              <w:t xml:space="preserve">T4</w:t>
            </w:r>
          </w:p>
        </w:tc>
        <w:tc>
          <w:tcPr/>
          <w:p>
            <w:pPr>
              <w:pStyle w:val="Compact"/>
              <w:jc w:val="left"/>
            </w:pPr>
            <w:r>
              <w:t xml:space="preserve">Communicate go-live confirmation to all cohorts</w:t>
            </w:r>
          </w:p>
        </w:tc>
        <w:tc>
          <w:tcPr/>
          <w:p>
            <w:pPr>
              <w:pStyle w:val="Compact"/>
              <w:jc w:val="left"/>
            </w:pPr>
            <w:r>
              <w:t xml:space="preserve">[CHANGE]</w:t>
            </w:r>
          </w:p>
        </w:tc>
      </w:tr>
      <w:tr>
        <w:tc>
          <w:tcPr/>
          <w:p>
            <w:pPr>
              <w:pStyle w:val="Compact"/>
              <w:jc w:val="left"/>
            </w:pPr>
            <w:r>
              <w:t xml:space="preserve">T5</w:t>
            </w:r>
          </w:p>
        </w:tc>
        <w:tc>
          <w:tcPr/>
          <w:p>
            <w:pPr>
              <w:pStyle w:val="Compact"/>
              <w:jc w:val="left"/>
            </w:pPr>
            <w:r>
              <w:t xml:space="preserve">Activate the hypercare support model on Day 1</w:t>
            </w:r>
          </w:p>
        </w:tc>
        <w:tc>
          <w:tcPr/>
          <w:p>
            <w:pPr>
              <w:pStyle w:val="Compact"/>
              <w:jc w:val="left"/>
            </w:pPr>
            <w:r>
              <w:t xml:space="preserve">[JOINT]</w:t>
            </w:r>
          </w:p>
        </w:tc>
      </w:tr>
    </w:tbl>
    <w:p>
      <w:pPr>
        <w:pStyle w:val="BodyText"/>
      </w:pPr>
      <w:r>
        <w:rPr>
          <w:bCs/>
          <w:b/>
        </w:rPr>
        <w:t xml:space="preserve">Phase 7 — Hypercare &amp; Stabilization</w:t>
      </w:r>
    </w:p>
    <w:tbl>
      <w:tblPr>
        <w:tblStyle w:val="Table"/>
        <w:tblW w:type="pct" w:w="4897"/>
        <w:tblLook w:firstRow="1" w:lastRow="0" w:firstColumn="0" w:lastColumn="0" w:noHBand="0" w:noVBand="0" w:val="0020"/>
        <w:jc w:val="start"/>
      </w:tblPr>
      <w:tblGrid>
        <w:gridCol w:w="898"/>
        <w:gridCol w:w="5633"/>
        <w:gridCol w:w="1224"/>
      </w:tblGrid>
      <w:tr>
        <w:trPr>
          <w:tblHeader w:val="true"/>
        </w:trPr>
        <w:tc>
          <w:tcPr>
            <w:shd w:val="clear" w:fill="1F4B45"/>
          </w:tcPr>
          <w:p>
            <w:pPr>
              <w:pStyle w:val="Compact"/>
              <w:jc w:val="left"/>
            </w:pPr>
            <w:r>
              <w:rPr>
                <w:bCs/>
                <w:b/>
                <w:color w:val="FFFFFF"/>
              </w:rPr>
              <w:t xml:space="preserve">Task</w:t>
            </w:r>
          </w:p>
        </w:tc>
        <w:tc>
          <w:tcPr>
            <w:shd w:val="clear" w:fill="1F4B45"/>
          </w:tcPr>
          <w:p>
            <w:pPr>
              <w:pStyle w:val="Compact"/>
              <w:jc w:val="left"/>
            </w:pPr>
            <w:r>
              <w:rPr>
                <w:bCs/>
                <w:b/>
                <w:color w:val="FFFFFF"/>
              </w:rPr>
              <w:t xml:space="preserve">Task Name</w:t>
            </w:r>
          </w:p>
        </w:tc>
        <w:tc>
          <w:tcPr>
            <w:shd w:val="clear" w:fill="1F4B45"/>
          </w:tcPr>
          <w:p>
            <w:pPr>
              <w:pStyle w:val="Compact"/>
              <w:jc w:val="left"/>
            </w:pPr>
            <w:r>
              <w:rPr>
                <w:bCs/>
                <w:b/>
                <w:color w:val="FFFFFF"/>
              </w:rPr>
              <w:t xml:space="preserve">Nature</w:t>
            </w:r>
          </w:p>
        </w:tc>
      </w:tr>
      <w:tr>
        <w:tc>
          <w:tcPr/>
          <w:p>
            <w:pPr>
              <w:pStyle w:val="Compact"/>
              <w:jc w:val="left"/>
            </w:pPr>
            <w:r>
              <w:t xml:space="preserve">T1</w:t>
            </w:r>
          </w:p>
        </w:tc>
        <w:tc>
          <w:tcPr/>
          <w:p>
            <w:pPr>
              <w:pStyle w:val="Compact"/>
              <w:jc w:val="left"/>
            </w:pPr>
            <w:r>
              <w:t xml:space="preserve">Staff an elevated support desk for the first weeks post-go-live</w:t>
            </w:r>
          </w:p>
        </w:tc>
        <w:tc>
          <w:tcPr/>
          <w:p>
            <w:pPr>
              <w:pStyle w:val="Compact"/>
              <w:jc w:val="left"/>
            </w:pPr>
            <w:r>
              <w:t xml:space="preserve">[PROJECT]</w:t>
            </w:r>
          </w:p>
        </w:tc>
      </w:tr>
      <w:tr>
        <w:tc>
          <w:tcPr/>
          <w:p>
            <w:pPr>
              <w:pStyle w:val="Compact"/>
              <w:jc w:val="left"/>
            </w:pPr>
            <w:r>
              <w:t xml:space="preserve">T2</w:t>
            </w:r>
          </w:p>
        </w:tc>
        <w:tc>
          <w:tcPr/>
          <w:p>
            <w:pPr>
              <w:pStyle w:val="Compact"/>
              <w:jc w:val="left"/>
            </w:pPr>
            <w:r>
              <w:t xml:space="preserve">Track adoption metrics daily and triage defects by severity</w:t>
            </w:r>
          </w:p>
        </w:tc>
        <w:tc>
          <w:tcPr/>
          <w:p>
            <w:pPr>
              <w:pStyle w:val="Compact"/>
              <w:jc w:val="left"/>
            </w:pPr>
            <w:r>
              <w:t xml:space="preserve">[PROJECT]</w:t>
            </w:r>
          </w:p>
        </w:tc>
      </w:tr>
      <w:tr>
        <w:tc>
          <w:tcPr/>
          <w:p>
            <w:pPr>
              <w:pStyle w:val="Compact"/>
              <w:jc w:val="left"/>
            </w:pPr>
            <w:r>
              <w:t xml:space="preserve">T3</w:t>
            </w:r>
          </w:p>
        </w:tc>
        <w:tc>
          <w:tcPr/>
          <w:p>
            <w:pPr>
              <w:pStyle w:val="Compact"/>
              <w:jc w:val="left"/>
            </w:pPr>
            <w:r>
              <w:t xml:space="preserve">Run a Kübler-Ross / Bridges re-pulse at 2 and 4 weeks post-go-live</w:t>
            </w:r>
          </w:p>
        </w:tc>
        <w:tc>
          <w:tcPr/>
          <w:p>
            <w:pPr>
              <w:pStyle w:val="Compact"/>
              <w:jc w:val="left"/>
            </w:pPr>
            <w:r>
              <w:t xml:space="preserve">[CHANGE]</w:t>
            </w:r>
          </w:p>
        </w:tc>
      </w:tr>
      <w:tr>
        <w:tc>
          <w:tcPr/>
          <w:p>
            <w:pPr>
              <w:pStyle w:val="Compact"/>
              <w:jc w:val="left"/>
            </w:pPr>
            <w:r>
              <w:t xml:space="preserve">T4</w:t>
            </w:r>
          </w:p>
        </w:tc>
        <w:tc>
          <w:tcPr/>
          <w:p>
            <w:pPr>
              <w:pStyle w:val="Compact"/>
              <w:jc w:val="left"/>
            </w:pPr>
            <w:r>
              <w:t xml:space="preserve">Coach any cohort showing regression</w:t>
            </w:r>
          </w:p>
        </w:tc>
        <w:tc>
          <w:tcPr/>
          <w:p>
            <w:pPr>
              <w:pStyle w:val="Compact"/>
              <w:jc w:val="left"/>
            </w:pPr>
            <w:r>
              <w:t xml:space="preserve">[CHANGE]</w:t>
            </w:r>
          </w:p>
        </w:tc>
      </w:tr>
      <w:tr>
        <w:tc>
          <w:tcPr/>
          <w:p>
            <w:pPr>
              <w:pStyle w:val="Compact"/>
              <w:jc w:val="left"/>
            </w:pPr>
            <w:r>
              <w:t xml:space="preserve">T5</w:t>
            </w:r>
          </w:p>
        </w:tc>
        <w:tc>
          <w:tcPr/>
          <w:p>
            <w:pPr>
              <w:pStyle w:val="Compact"/>
              <w:jc w:val="left"/>
            </w:pPr>
            <w:r>
              <w:t xml:space="preserve">Taper support toward standard service levels as metrics stabilize</w:t>
            </w:r>
          </w:p>
        </w:tc>
        <w:tc>
          <w:tcPr/>
          <w:p>
            <w:pPr>
              <w:pStyle w:val="Compact"/>
              <w:jc w:val="left"/>
            </w:pPr>
            <w:r>
              <w:t xml:space="preserve">[JOINT]</w:t>
            </w:r>
          </w:p>
        </w:tc>
      </w:tr>
    </w:tbl>
    <w:p>
      <w:pPr>
        <w:pStyle w:val="BodyText"/>
      </w:pPr>
      <w:r>
        <w:rPr>
          <w:bCs/>
          <w:b/>
        </w:rPr>
        <w:t xml:space="preserve">Phase 8 — Sustainment &amp; Closure</w:t>
      </w:r>
    </w:p>
    <w:tbl>
      <w:tblPr>
        <w:tblStyle w:val="Table"/>
        <w:tblW w:type="pct" w:w="4908"/>
        <w:tblLook w:firstRow="1" w:lastRow="0" w:firstColumn="0" w:lastColumn="0" w:noHBand="0" w:noVBand="0" w:val="0020"/>
        <w:jc w:val="start"/>
      </w:tblPr>
      <w:tblGrid>
        <w:gridCol w:w="799"/>
        <w:gridCol w:w="5885"/>
        <w:gridCol w:w="1089"/>
      </w:tblGrid>
      <w:tr>
        <w:trPr>
          <w:tblHeader w:val="true"/>
        </w:trPr>
        <w:tc>
          <w:tcPr>
            <w:shd w:val="clear" w:fill="1F4B45"/>
          </w:tcPr>
          <w:p>
            <w:pPr>
              <w:pStyle w:val="Compact"/>
              <w:jc w:val="left"/>
            </w:pPr>
            <w:r>
              <w:rPr>
                <w:bCs/>
                <w:b/>
                <w:color w:val="FFFFFF"/>
              </w:rPr>
              <w:t xml:space="preserve">Task</w:t>
            </w:r>
          </w:p>
        </w:tc>
        <w:tc>
          <w:tcPr>
            <w:shd w:val="clear" w:fill="1F4B45"/>
          </w:tcPr>
          <w:p>
            <w:pPr>
              <w:pStyle w:val="Compact"/>
              <w:jc w:val="left"/>
            </w:pPr>
            <w:r>
              <w:rPr>
                <w:bCs/>
                <w:b/>
                <w:color w:val="FFFFFF"/>
              </w:rPr>
              <w:t xml:space="preserve">Task Name</w:t>
            </w:r>
          </w:p>
        </w:tc>
        <w:tc>
          <w:tcPr>
            <w:shd w:val="clear" w:fill="1F4B45"/>
          </w:tcPr>
          <w:p>
            <w:pPr>
              <w:pStyle w:val="Compact"/>
              <w:jc w:val="left"/>
            </w:pPr>
            <w:r>
              <w:rPr>
                <w:bCs/>
                <w:b/>
                <w:color w:val="FFFFFF"/>
              </w:rPr>
              <w:t xml:space="preserve">Nature</w:t>
            </w:r>
          </w:p>
        </w:tc>
      </w:tr>
      <w:tr>
        <w:tc>
          <w:tcPr/>
          <w:p>
            <w:pPr>
              <w:pStyle w:val="Compact"/>
              <w:jc w:val="left"/>
            </w:pPr>
            <w:r>
              <w:t xml:space="preserve">T1</w:t>
            </w:r>
          </w:p>
        </w:tc>
        <w:tc>
          <w:tcPr/>
          <w:p>
            <w:pPr>
              <w:pStyle w:val="Compact"/>
              <w:jc w:val="left"/>
            </w:pPr>
            <w:r>
              <w:t xml:space="preserve">Embed new-process metrics into standard performance management</w:t>
            </w:r>
          </w:p>
        </w:tc>
        <w:tc>
          <w:tcPr/>
          <w:p>
            <w:pPr>
              <w:pStyle w:val="Compact"/>
              <w:jc w:val="left"/>
            </w:pPr>
            <w:r>
              <w:t xml:space="preserve">[JOINT]</w:t>
            </w:r>
          </w:p>
        </w:tc>
      </w:tr>
      <w:tr>
        <w:tc>
          <w:tcPr/>
          <w:p>
            <w:pPr>
              <w:pStyle w:val="Compact"/>
              <w:jc w:val="left"/>
            </w:pPr>
            <w:r>
              <w:t xml:space="preserve">T2</w:t>
            </w:r>
          </w:p>
        </w:tc>
        <w:tc>
          <w:tcPr/>
          <w:p>
            <w:pPr>
              <w:pStyle w:val="Compact"/>
              <w:jc w:val="left"/>
            </w:pPr>
            <w:r>
              <w:t xml:space="preserve">Confirm Reinforcement mechanisms are active</w:t>
            </w:r>
          </w:p>
        </w:tc>
        <w:tc>
          <w:tcPr/>
          <w:p>
            <w:pPr>
              <w:pStyle w:val="Compact"/>
              <w:jc w:val="left"/>
            </w:pPr>
            <w:r>
              <w:t xml:space="preserve">[CHANGE]</w:t>
            </w:r>
          </w:p>
        </w:tc>
      </w:tr>
      <w:tr>
        <w:tc>
          <w:tcPr/>
          <w:p>
            <w:pPr>
              <w:pStyle w:val="Compact"/>
              <w:jc w:val="left"/>
            </w:pPr>
            <w:r>
              <w:t xml:space="preserve">T3</w:t>
            </w:r>
          </w:p>
        </w:tc>
        <w:tc>
          <w:tcPr/>
          <w:p>
            <w:pPr>
              <w:pStyle w:val="Compact"/>
              <w:jc w:val="left"/>
            </w:pPr>
            <w:r>
              <w:t xml:space="preserve">Run 60-day and 90-day checkpoint reviews against benchmarking bands</w:t>
            </w:r>
          </w:p>
        </w:tc>
        <w:tc>
          <w:tcPr/>
          <w:p>
            <w:pPr>
              <w:pStyle w:val="Compact"/>
              <w:jc w:val="left"/>
            </w:pPr>
            <w:r>
              <w:t xml:space="preserve">[CHANGE]</w:t>
            </w:r>
          </w:p>
        </w:tc>
      </w:tr>
      <w:tr>
        <w:tc>
          <w:tcPr/>
          <w:p>
            <w:pPr>
              <w:pStyle w:val="Compact"/>
              <w:jc w:val="left"/>
            </w:pPr>
            <w:r>
              <w:t xml:space="preserve">T4</w:t>
            </w:r>
          </w:p>
        </w:tc>
        <w:tc>
          <w:tcPr/>
          <w:p>
            <w:pPr>
              <w:pStyle w:val="Compact"/>
              <w:jc w:val="left"/>
            </w:pPr>
            <w:r>
              <w:t xml:space="preserve">Call Refreeze formally once checkpoint evidence, not the calendar, supports it</w:t>
            </w:r>
          </w:p>
        </w:tc>
        <w:tc>
          <w:tcPr/>
          <w:p>
            <w:pPr>
              <w:pStyle w:val="Compact"/>
              <w:jc w:val="left"/>
            </w:pPr>
            <w:r>
              <w:t xml:space="preserve">[CHANGE]</w:t>
            </w:r>
          </w:p>
        </w:tc>
      </w:tr>
      <w:tr>
        <w:tc>
          <w:tcPr/>
          <w:p>
            <w:pPr>
              <w:pStyle w:val="Compact"/>
              <w:jc w:val="left"/>
            </w:pPr>
            <w:r>
              <w:t xml:space="preserve">T5</w:t>
            </w:r>
          </w:p>
        </w:tc>
        <w:tc>
          <w:tcPr/>
          <w:p>
            <w:pPr>
              <w:pStyle w:val="Compact"/>
              <w:jc w:val="left"/>
            </w:pPr>
            <w:r>
              <w:t xml:space="preserve">Close the Change Management project and hand off ongoing ownership</w:t>
            </w:r>
          </w:p>
        </w:tc>
        <w:tc>
          <w:tcPr/>
          <w:p>
            <w:pPr>
              <w:pStyle w:val="Compact"/>
              <w:jc w:val="left"/>
            </w:pPr>
            <w:r>
              <w:t xml:space="preserve">[JOINT]</w:t>
            </w:r>
          </w:p>
        </w:tc>
      </w:tr>
    </w:tbl>
    <w:p>
      <w:pPr>
        <w:pStyle w:val="BodyText"/>
      </w:pPr>
      <w:r>
        <w:rPr>
          <w:bCs/>
          <w:b/>
          <w:color w:val="1F4B45"/>
          <w:sz w:val="34"/>
        </w:rPr>
        <w:t xml:space="preserve">5. Week-by-Week Implementation Timeline</w:t>
      </w:r>
    </w:p>
    <w:p>
      <w:pPr>
        <w:pStyle w:val="BodyText"/>
      </w:pPr>
      <w:r>
        <w:t xml:space="preserve">Each phase below lists the concrete weekly actions, the journi module to update (if any), and who is primarily involved. Owner codes: ES = Executive Sponsor, CM = Change Manager, PM = Program/Project Manager, FPO = Functional Process Owner, ITL = IT/Technical Lead, SUP = Frontline Supervisor, EU = End User cohort. Section 6 gives the full Task/Step/technique detail behind each of these weekly actions.</w:t>
      </w:r>
    </w:p>
    <w:p>
      <w:pPr>
        <w:pStyle w:val="BodyText"/>
      </w:pPr>
      <w:r>
        <w:rPr>
          <w:bCs/>
          <w:b/>
          <w:color w:val="275650"/>
          <w:sz w:val="27"/>
        </w:rPr>
        <w:t xml:space="preserve">5.1 Phase 1 — Discovery &amp; Design (Weeks 1–12)</w:t>
      </w:r>
    </w:p>
    <w:p>
      <w:pPr>
        <w:pStyle w:val="BodyText"/>
      </w:pPr>
      <w:r>
        <w:t xml:space="preserve">Establishes the business case, opens the journi project, and captures the Month-0 baseline across all four frameworks before any visible change has happened.</w:t>
      </w:r>
    </w:p>
    <w:tbl>
      <w:tblPr>
        <w:tblStyle w:val="Table"/>
        <w:tblW w:type="pct" w:w="4934"/>
        <w:tblLook w:firstRow="1" w:lastRow="0" w:firstColumn="0" w:lastColumn="0" w:noHBand="0" w:noVBand="0" w:val="0020"/>
        <w:jc w:val="start"/>
      </w:tblPr>
      <w:tblGrid>
        <w:gridCol w:w="576"/>
        <w:gridCol w:w="4982"/>
        <w:gridCol w:w="1049"/>
        <w:gridCol w:w="1206"/>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Primary Owner(s)</w:t>
            </w:r>
          </w:p>
        </w:tc>
      </w:tr>
      <w:tr>
        <w:tc>
          <w:tcPr/>
          <w:p>
            <w:pPr>
              <w:pStyle w:val="Compact"/>
              <w:jc w:val="left"/>
            </w:pPr>
            <w:r>
              <w:t xml:space="preserve">W1</w:t>
            </w:r>
          </w:p>
        </w:tc>
        <w:tc>
          <w:tcPr/>
          <w:p>
            <w:pPr>
              <w:pStyle w:val="Compact"/>
              <w:jc w:val="left"/>
            </w:pPr>
            <w:r>
              <w:t xml:space="preserve">Kickoff; confirm Executive Sponsor; open the Initiative Registry and set Lewin = Unfreeze.</w:t>
            </w:r>
          </w:p>
        </w:tc>
        <w:tc>
          <w:tcPr/>
          <w:p>
            <w:pPr>
              <w:pStyle w:val="Compact"/>
              <w:jc w:val="left"/>
            </w:pPr>
            <w:r>
              <w:t xml:space="preserve">M3 CM, ES</w:t>
            </w:r>
          </w:p>
        </w:tc>
        <w:tc>
          <w:tcPr/>
          <w:p>
            <w:pPr>
              <w:pStyle w:val="Compact"/>
            </w:pPr>
          </w:p>
        </w:tc>
      </w:tr>
      <w:tr>
        <w:tc>
          <w:tcPr/>
          <w:p>
            <w:pPr>
              <w:pStyle w:val="Compact"/>
              <w:jc w:val="left"/>
            </w:pPr>
            <w:r>
              <w:t xml:space="preserve">W2–W3</w:t>
            </w:r>
          </w:p>
        </w:tc>
        <w:tc>
          <w:tcPr/>
          <w:p>
            <w:pPr>
              <w:pStyle w:val="Compact"/>
              <w:jc w:val="left"/>
            </w:pPr>
            <w:r>
              <w:t xml:space="preserve">Run current-state discovery workshops per impacted function.</w:t>
            </w:r>
          </w:p>
        </w:tc>
        <w:tc>
          <w:tcPr/>
          <w:p>
            <w:pPr>
              <w:pStyle w:val="Compact"/>
              <w:jc w:val="left"/>
            </w:pPr>
            <w:r>
              <w:t xml:space="preserve">—</w:t>
            </w:r>
          </w:p>
        </w:tc>
        <w:tc>
          <w:tcPr/>
          <w:p>
            <w:pPr>
              <w:pStyle w:val="Compact"/>
              <w:jc w:val="left"/>
            </w:pPr>
            <w:r>
              <w:t xml:space="preserve">PM, FPO</w:t>
            </w:r>
          </w:p>
        </w:tc>
      </w:tr>
      <w:tr>
        <w:tc>
          <w:tcPr/>
          <w:p>
            <w:pPr>
              <w:pStyle w:val="Compact"/>
              <w:jc w:val="left"/>
            </w:pPr>
            <w:r>
              <w:t xml:space="preserve">W4</w:t>
            </w:r>
          </w:p>
        </w:tc>
        <w:tc>
          <w:tcPr/>
          <w:p>
            <w:pPr>
              <w:pStyle w:val="Compact"/>
              <w:jc w:val="left"/>
            </w:pPr>
            <w:r>
              <w:t xml:space="preserve">Quantify pain points and the cost of inaction; build the Stakeholder Map.</w:t>
            </w:r>
          </w:p>
        </w:tc>
        <w:tc>
          <w:tcPr/>
          <w:p>
            <w:pPr>
              <w:pStyle w:val="Compact"/>
              <w:jc w:val="left"/>
            </w:pPr>
            <w:r>
              <w:t xml:space="preserve">M4 PM, CM</w:t>
            </w:r>
          </w:p>
        </w:tc>
        <w:tc>
          <w:tcPr/>
          <w:p>
            <w:pPr>
              <w:pStyle w:val="Compact"/>
            </w:pPr>
          </w:p>
        </w:tc>
      </w:tr>
      <w:tr>
        <w:tc>
          <w:tcPr/>
          <w:p>
            <w:pPr>
              <w:pStyle w:val="Compact"/>
              <w:jc w:val="left"/>
            </w:pPr>
            <w:r>
              <w:t xml:space="preserve">W5–W6</w:t>
            </w:r>
          </w:p>
        </w:tc>
        <w:tc>
          <w:tcPr/>
          <w:p>
            <w:pPr>
              <w:pStyle w:val="Compact"/>
              <w:jc w:val="left"/>
            </w:pPr>
            <w:r>
              <w:t xml:space="preserve">Draft and review future-state process scope and design principles.</w:t>
            </w:r>
          </w:p>
        </w:tc>
        <w:tc>
          <w:tcPr/>
          <w:p>
            <w:pPr>
              <w:pStyle w:val="Compact"/>
              <w:jc w:val="left"/>
            </w:pPr>
            <w:r>
              <w:t xml:space="preserve">—</w:t>
            </w:r>
          </w:p>
        </w:tc>
        <w:tc>
          <w:tcPr/>
          <w:p>
            <w:pPr>
              <w:pStyle w:val="Compact"/>
              <w:jc w:val="left"/>
            </w:pPr>
            <w:r>
              <w:t xml:space="preserve">PM, FPO, ITL</w:t>
            </w:r>
          </w:p>
        </w:tc>
      </w:tr>
      <w:tr>
        <w:tc>
          <w:tcPr/>
          <w:p>
            <w:pPr>
              <w:pStyle w:val="Compact"/>
              <w:jc w:val="left"/>
            </w:pPr>
            <w:r>
              <w:t xml:space="preserve">W7</w:t>
            </w:r>
          </w:p>
        </w:tc>
        <w:tc>
          <w:tcPr/>
          <w:p>
            <w:pPr>
              <w:pStyle w:val="Compact"/>
              <w:jc w:val="left"/>
            </w:pPr>
            <w:r>
              <w:t xml:space="preserve">Formally open the Change Management project; brief the CM team on Modules M5–M6.</w:t>
            </w:r>
          </w:p>
        </w:tc>
        <w:tc>
          <w:tcPr/>
          <w:p>
            <w:pPr>
              <w:pStyle w:val="Compact"/>
              <w:jc w:val="left"/>
            </w:pPr>
            <w:r>
              <w:t xml:space="preserve">M5–M6 CM</w:t>
            </w:r>
          </w:p>
        </w:tc>
        <w:tc>
          <w:tcPr/>
          <w:p>
            <w:pPr>
              <w:pStyle w:val="Compact"/>
            </w:pPr>
          </w:p>
        </w:tc>
      </w:tr>
      <w:tr>
        <w:tc>
          <w:tcPr/>
          <w:p>
            <w:pPr>
              <w:pStyle w:val="Compact"/>
              <w:jc w:val="left"/>
            </w:pPr>
            <w:r>
              <w:t xml:space="preserve">W8</w:t>
            </w:r>
          </w:p>
        </w:tc>
        <w:tc>
          <w:tcPr/>
          <w:p>
            <w:pPr>
              <w:pStyle w:val="Compact"/>
              <w:jc w:val="left"/>
            </w:pPr>
            <w:r>
              <w:t xml:space="preserve">Run the baseline ADKAR / Bridges / Kübler-Ross pulse (Month-0 reading).</w:t>
            </w:r>
          </w:p>
        </w:tc>
        <w:tc>
          <w:tcPr/>
          <w:p>
            <w:pPr>
              <w:pStyle w:val="Compact"/>
              <w:jc w:val="left"/>
            </w:pPr>
            <w:r>
              <w:t xml:space="preserve">M5–M6 CM</w:t>
            </w:r>
          </w:p>
        </w:tc>
        <w:tc>
          <w:tcPr/>
          <w:p>
            <w:pPr>
              <w:pStyle w:val="Compact"/>
            </w:pPr>
          </w:p>
        </w:tc>
      </w:tr>
      <w:tr>
        <w:tc>
          <w:tcPr/>
          <w:p>
            <w:pPr>
              <w:pStyle w:val="Compact"/>
              <w:jc w:val="left"/>
            </w:pPr>
            <w:r>
              <w:t xml:space="preserve">W9</w:t>
            </w:r>
          </w:p>
        </w:tc>
        <w:tc>
          <w:tcPr/>
          <w:p>
            <w:pPr>
              <w:pStyle w:val="Compact"/>
              <w:jc w:val="left"/>
            </w:pPr>
            <w:r>
              <w:t xml:space="preserve">Review baseline pulse with the Steering Committee; confirm the risk register.</w:t>
            </w:r>
          </w:p>
        </w:tc>
        <w:tc>
          <w:tcPr/>
          <w:p>
            <w:pPr>
              <w:pStyle w:val="Compact"/>
              <w:jc w:val="left"/>
            </w:pPr>
            <w:r>
              <w:t xml:space="preserve">—</w:t>
            </w:r>
          </w:p>
        </w:tc>
        <w:tc>
          <w:tcPr/>
          <w:p>
            <w:pPr>
              <w:pStyle w:val="Compact"/>
              <w:jc w:val="left"/>
            </w:pPr>
            <w:r>
              <w:t xml:space="preserve">CM, ES</w:t>
            </w:r>
          </w:p>
        </w:tc>
      </w:tr>
      <w:tr>
        <w:tc>
          <w:tcPr/>
          <w:p>
            <w:pPr>
              <w:pStyle w:val="Compact"/>
              <w:jc w:val="left"/>
            </w:pPr>
            <w:r>
              <w:t xml:space="preserve">W10</w:t>
            </w:r>
          </w:p>
        </w:tc>
        <w:tc>
          <w:tcPr/>
          <w:p>
            <w:pPr>
              <w:pStyle w:val="Compact"/>
              <w:jc w:val="left"/>
            </w:pPr>
            <w:r>
              <w:t xml:space="preserve">Approve the future-state design; close the Phase 1 SIPOC sign-off.</w:t>
            </w:r>
          </w:p>
        </w:tc>
        <w:tc>
          <w:tcPr/>
          <w:p>
            <w:pPr>
              <w:pStyle w:val="Compact"/>
              <w:jc w:val="left"/>
            </w:pPr>
            <w:r>
              <w:t xml:space="preserve">—</w:t>
            </w:r>
          </w:p>
        </w:tc>
        <w:tc>
          <w:tcPr/>
          <w:p>
            <w:pPr>
              <w:pStyle w:val="Compact"/>
              <w:jc w:val="left"/>
            </w:pPr>
            <w:r>
              <w:t xml:space="preserve">ES, FPO</w:t>
            </w:r>
          </w:p>
        </w:tc>
      </w:tr>
      <w:tr>
        <w:tc>
          <w:tcPr/>
          <w:p>
            <w:pPr>
              <w:pStyle w:val="Compact"/>
              <w:jc w:val="left"/>
            </w:pPr>
            <w:r>
              <w:t xml:space="preserve">W11</w:t>
            </w:r>
          </w:p>
        </w:tc>
        <w:tc>
          <w:tcPr/>
          <w:p>
            <w:pPr>
              <w:pStyle w:val="Compact"/>
              <w:jc w:val="left"/>
            </w:pPr>
            <w:r>
              <w:t xml:space="preserve">Buffer / catch-up; finalize the RAID log.</w:t>
            </w:r>
          </w:p>
        </w:tc>
        <w:tc>
          <w:tcPr/>
          <w:p>
            <w:pPr>
              <w:pStyle w:val="Compact"/>
              <w:jc w:val="left"/>
            </w:pPr>
            <w:r>
              <w:t xml:space="preserve">—</w:t>
            </w:r>
          </w:p>
        </w:tc>
        <w:tc>
          <w:tcPr/>
          <w:p>
            <w:pPr>
              <w:pStyle w:val="Compact"/>
              <w:jc w:val="left"/>
            </w:pPr>
            <w:r>
              <w:t xml:space="preserve">PM</w:t>
            </w:r>
          </w:p>
        </w:tc>
      </w:tr>
      <w:tr>
        <w:tc>
          <w:tcPr/>
          <w:p>
            <w:pPr>
              <w:pStyle w:val="Compact"/>
              <w:jc w:val="left"/>
            </w:pPr>
            <w:r>
              <w:t xml:space="preserve">W12</w:t>
            </w:r>
          </w:p>
        </w:tc>
        <w:tc>
          <w:tcPr/>
          <w:p>
            <w:pPr>
              <w:pStyle w:val="Compact"/>
              <w:jc w:val="left"/>
            </w:pPr>
            <w:r>
              <w:t xml:space="preserve">Phase 1 gate review — confirm the Unfreeze reading against the evidence, not the calendar.</w:t>
            </w:r>
          </w:p>
        </w:tc>
        <w:tc>
          <w:tcPr/>
          <w:p>
            <w:pPr>
              <w:pStyle w:val="Compact"/>
              <w:jc w:val="left"/>
            </w:pPr>
            <w:r>
              <w:t xml:space="preserve">M3 CM, ES</w:t>
            </w:r>
          </w:p>
        </w:tc>
        <w:tc>
          <w:tcPr/>
          <w:p>
            <w:pPr>
              <w:pStyle w:val="Compact"/>
            </w:pPr>
          </w:p>
        </w:tc>
      </w:tr>
    </w:tbl>
    <w:p>
      <w:pPr>
        <w:pStyle w:val="BodyText"/>
      </w:pPr>
      <w:r>
        <w:rPr>
          <w:iCs/>
          <w:i/>
        </w:rPr>
        <w:t xml:space="preserve">Table 5.1 — Weekly action plan for Discovery &amp; Design.</w:t>
      </w:r>
    </w:p>
    <w:p>
      <w:pPr>
        <w:pStyle w:val="BodyText"/>
      </w:pPr>
      <w:r>
        <w:rPr>
          <w:bCs/>
          <w:b/>
          <w:color w:val="275650"/>
          <w:sz w:val="27"/>
        </w:rPr>
        <w:t xml:space="preserve">5.2 Phase 2 — Build &amp; Configuration (Weeks 5–24 (overlaps Phase 1 close and Phase 3 start))</w:t>
      </w:r>
    </w:p>
    <w:p>
      <w:pPr>
        <w:pStyle w:val="BodyText"/>
      </w:pPr>
      <w:r>
        <w:t xml:space="preserve">Technical configuration proceeds in parallel with the first communications wave and the recruitment of the change champion network.</w:t>
      </w:r>
    </w:p>
    <w:tbl>
      <w:tblPr>
        <w:tblStyle w:val="Table"/>
        <w:tblW w:type="pct" w:w="4936"/>
        <w:tblLook w:firstRow="1" w:lastRow="0" w:firstColumn="0" w:lastColumn="0" w:noHBand="0" w:noVBand="0" w:val="0020"/>
        <w:jc w:val="start"/>
      </w:tblPr>
      <w:tblGrid>
        <w:gridCol w:w="558"/>
        <w:gridCol w:w="5076"/>
        <w:gridCol w:w="1015"/>
        <w:gridCol w:w="1167"/>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Primary Owner(s)</w:t>
            </w:r>
          </w:p>
        </w:tc>
      </w:tr>
      <w:tr>
        <w:tc>
          <w:tcPr/>
          <w:p>
            <w:pPr>
              <w:pStyle w:val="Compact"/>
              <w:jc w:val="left"/>
            </w:pPr>
            <w:r>
              <w:t xml:space="preserve">W5–W6</w:t>
            </w:r>
          </w:p>
        </w:tc>
        <w:tc>
          <w:tcPr/>
          <w:p>
            <w:pPr>
              <w:pStyle w:val="Compact"/>
              <w:jc w:val="left"/>
            </w:pPr>
            <w:r>
              <w:t xml:space="preserve">Stand up the configuration environment; begin platform configuration against the approved design.</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W7–W8</w:t>
            </w:r>
          </w:p>
        </w:tc>
        <w:tc>
          <w:tcPr/>
          <w:p>
            <w:pPr>
              <w:pStyle w:val="Compact"/>
              <w:jc w:val="left"/>
            </w:pPr>
            <w:r>
              <w:t xml:space="preserve">Continue configuration; begin design-review checkpoints with functional owners.</w:t>
            </w:r>
          </w:p>
        </w:tc>
        <w:tc>
          <w:tcPr/>
          <w:p>
            <w:pPr>
              <w:pStyle w:val="Compact"/>
              <w:jc w:val="left"/>
            </w:pPr>
            <w:r>
              <w:t xml:space="preserve">—</w:t>
            </w:r>
          </w:p>
        </w:tc>
        <w:tc>
          <w:tcPr/>
          <w:p>
            <w:pPr>
              <w:pStyle w:val="Compact"/>
              <w:jc w:val="left"/>
            </w:pPr>
            <w:r>
              <w:t xml:space="preserve">ITL, FPO</w:t>
            </w:r>
          </w:p>
        </w:tc>
      </w:tr>
      <w:tr>
        <w:tc>
          <w:tcPr/>
          <w:p>
            <w:pPr>
              <w:pStyle w:val="Compact"/>
              <w:jc w:val="left"/>
            </w:pPr>
            <w:r>
              <w:t xml:space="preserve">W9–W10</w:t>
            </w:r>
          </w:p>
        </w:tc>
        <w:tc>
          <w:tcPr/>
          <w:p>
            <w:pPr>
              <w:pStyle w:val="Compact"/>
              <w:jc w:val="left"/>
            </w:pPr>
            <w:r>
              <w:t xml:space="preserve">Recruit change champion network nominees.</w:t>
            </w:r>
          </w:p>
        </w:tc>
        <w:tc>
          <w:tcPr/>
          <w:p>
            <w:pPr>
              <w:pStyle w:val="Compact"/>
              <w:jc w:val="left"/>
            </w:pPr>
            <w:r>
              <w:t xml:space="preserve">M4 CM, SU</w:t>
            </w:r>
          </w:p>
        </w:tc>
        <w:tc>
          <w:tcPr/>
          <w:p>
            <w:pPr>
              <w:pStyle w:val="Compact"/>
              <w:jc w:val="left"/>
            </w:pPr>
            <w:r>
              <w:t xml:space="preserve">P</w:t>
            </w:r>
          </w:p>
        </w:tc>
      </w:tr>
      <w:tr>
        <w:tc>
          <w:tcPr/>
          <w:p>
            <w:pPr>
              <w:pStyle w:val="Compact"/>
              <w:jc w:val="left"/>
            </w:pPr>
            <w:r>
              <w:t xml:space="preserve">W11–W12</w:t>
            </w:r>
          </w:p>
        </w:tc>
        <w:tc>
          <w:tcPr/>
          <w:p>
            <w:pPr>
              <w:pStyle w:val="Compact"/>
              <w:jc w:val="left"/>
            </w:pPr>
            <w:r>
              <w:t xml:space="preserve">Launch Phase-1 communications (why / what / when) and an FAQ channel.</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W13–W14</w:t>
            </w:r>
          </w:p>
        </w:tc>
        <w:tc>
          <w:tcPr/>
          <w:p>
            <w:pPr>
              <w:pStyle w:val="Compact"/>
              <w:jc w:val="left"/>
            </w:pPr>
            <w:r>
              <w:t xml:space="preserve">Brief and activate the champion network.</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W15–W16</w:t>
            </w:r>
          </w:p>
        </w:tc>
        <w:tc>
          <w:tcPr/>
          <w:p>
            <w:pPr>
              <w:pStyle w:val="Compact"/>
              <w:jc w:val="left"/>
            </w:pPr>
            <w:r>
              <w:t xml:space="preserve">Re-run the ADKAR pulse (Awareness / early Desire).</w:t>
            </w:r>
          </w:p>
        </w:tc>
        <w:tc>
          <w:tcPr/>
          <w:p>
            <w:pPr>
              <w:pStyle w:val="Compact"/>
              <w:jc w:val="left"/>
            </w:pPr>
            <w:r>
              <w:t xml:space="preserve">M5 CM</w:t>
            </w:r>
          </w:p>
        </w:tc>
        <w:tc>
          <w:tcPr/>
          <w:p>
            <w:pPr>
              <w:pStyle w:val="Compact"/>
            </w:pPr>
          </w:p>
        </w:tc>
      </w:tr>
      <w:tr>
        <w:tc>
          <w:tcPr/>
          <w:p>
            <w:pPr>
              <w:pStyle w:val="Compact"/>
              <w:jc w:val="left"/>
            </w:pPr>
            <w:r>
              <w:t xml:space="preserve">W17–W18</w:t>
            </w:r>
          </w:p>
        </w:tc>
        <w:tc>
          <w:tcPr/>
          <w:p>
            <w:pPr>
              <w:pStyle w:val="Compact"/>
              <w:jc w:val="left"/>
            </w:pPr>
            <w:r>
              <w:t xml:space="preserve">Continue design-review checkpoints; resolve open build decisions.</w:t>
            </w:r>
          </w:p>
        </w:tc>
        <w:tc>
          <w:tcPr/>
          <w:p>
            <w:pPr>
              <w:pStyle w:val="Compact"/>
              <w:jc w:val="left"/>
            </w:pPr>
            <w:r>
              <w:t xml:space="preserve">—</w:t>
            </w:r>
          </w:p>
        </w:tc>
        <w:tc>
          <w:tcPr/>
          <w:p>
            <w:pPr>
              <w:pStyle w:val="Compact"/>
              <w:jc w:val="left"/>
            </w:pPr>
            <w:r>
              <w:t xml:space="preserve">PM, FPO</w:t>
            </w:r>
          </w:p>
        </w:tc>
      </w:tr>
      <w:tr>
        <w:tc>
          <w:tcPr/>
          <w:p>
            <w:pPr>
              <w:pStyle w:val="Compact"/>
              <w:jc w:val="left"/>
            </w:pPr>
            <w:r>
              <w:t xml:space="preserve">W19–W20</w:t>
            </w:r>
          </w:p>
        </w:tc>
        <w:tc>
          <w:tcPr/>
          <w:p>
            <w:pPr>
              <w:pStyle w:val="Compact"/>
              <w:jc w:val="left"/>
            </w:pPr>
            <w:r>
              <w:t xml:space="preserve">Configuration checkpoint review; confirm build readiness ahead of migration.</w:t>
            </w:r>
          </w:p>
        </w:tc>
        <w:tc>
          <w:tcPr/>
          <w:p>
            <w:pPr>
              <w:pStyle w:val="Compact"/>
              <w:jc w:val="left"/>
            </w:pPr>
            <w:r>
              <w:t xml:space="preserve">—</w:t>
            </w:r>
          </w:p>
        </w:tc>
        <w:tc>
          <w:tcPr/>
          <w:p>
            <w:pPr>
              <w:pStyle w:val="Compact"/>
              <w:jc w:val="left"/>
            </w:pPr>
            <w:r>
              <w:t xml:space="preserve">ITL, PM</w:t>
            </w:r>
          </w:p>
        </w:tc>
      </w:tr>
      <w:tr>
        <w:tc>
          <w:tcPr/>
          <w:p>
            <w:pPr>
              <w:pStyle w:val="Compact"/>
              <w:jc w:val="left"/>
            </w:pPr>
            <w:r>
              <w:t xml:space="preserve">W21–W22</w:t>
            </w:r>
          </w:p>
        </w:tc>
        <w:tc>
          <w:tcPr/>
          <w:p>
            <w:pPr>
              <w:pStyle w:val="Compact"/>
              <w:jc w:val="left"/>
            </w:pPr>
            <w:r>
              <w:t xml:space="preserve">Finalize the configuration decision log.</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W23–W24</w:t>
            </w:r>
          </w:p>
        </w:tc>
        <w:tc>
          <w:tcPr/>
          <w:p>
            <w:pPr>
              <w:pStyle w:val="Compact"/>
              <w:jc w:val="left"/>
            </w:pPr>
            <w:r>
              <w:t xml:space="preserve">Phase 2 gate review — confirm the Awareness → Desire trend with the Steering Committee.</w:t>
            </w:r>
          </w:p>
        </w:tc>
        <w:tc>
          <w:tcPr/>
          <w:p>
            <w:pPr>
              <w:pStyle w:val="Compact"/>
              <w:jc w:val="left"/>
            </w:pPr>
            <w:r>
              <w:t xml:space="preserve">M5 CM, PM</w:t>
            </w:r>
          </w:p>
        </w:tc>
        <w:tc>
          <w:tcPr/>
          <w:p>
            <w:pPr>
              <w:pStyle w:val="Compact"/>
            </w:pPr>
          </w:p>
        </w:tc>
      </w:tr>
    </w:tbl>
    <w:p>
      <w:pPr>
        <w:pStyle w:val="BodyText"/>
      </w:pPr>
      <w:r>
        <w:rPr>
          <w:iCs/>
          <w:i/>
        </w:rPr>
        <w:t xml:space="preserve">Table 5.2 — Weekly action plan for Build &amp; Configuration.</w:t>
      </w:r>
    </w:p>
    <w:p>
      <w:pPr>
        <w:pStyle w:val="BodyText"/>
      </w:pPr>
      <w:r>
        <w:rPr>
          <w:bCs/>
          <w:b/>
          <w:color w:val="275650"/>
          <w:sz w:val="27"/>
        </w:rPr>
        <w:t xml:space="preserve">5.3 Phase 3 — Data Migration &amp; Integration (Weeks 13–28 (runs alongside Phase 2))</w:t>
      </w:r>
    </w:p>
    <w:p>
      <w:pPr>
        <w:pStyle w:val="BodyText"/>
      </w:pPr>
      <w:r>
        <w:t xml:space="preserve">The highest-risk, least-visible phase — exactly where journi's own data shows a Desire stall is most likely (Exception E1).</w:t>
      </w:r>
    </w:p>
    <w:tbl>
      <w:tblPr>
        <w:tblStyle w:val="Table"/>
        <w:tblW w:type="pct" w:w="4935"/>
        <w:tblLook w:firstRow="1" w:lastRow="0" w:firstColumn="0" w:lastColumn="0" w:noHBand="0" w:noVBand="0" w:val="0020"/>
        <w:jc w:val="start"/>
      </w:tblPr>
      <w:tblGrid>
        <w:gridCol w:w="562"/>
        <w:gridCol w:w="5058"/>
        <w:gridCol w:w="1021"/>
        <w:gridCol w:w="1175"/>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Primary Owner(s)</w:t>
            </w:r>
          </w:p>
        </w:tc>
      </w:tr>
      <w:tr>
        <w:tc>
          <w:tcPr/>
          <w:p>
            <w:pPr>
              <w:pStyle w:val="Compact"/>
              <w:jc w:val="left"/>
            </w:pPr>
            <w:r>
              <w:t xml:space="preserve">W13–W14</w:t>
            </w:r>
          </w:p>
        </w:tc>
        <w:tc>
          <w:tcPr/>
          <w:p>
            <w:pPr>
              <w:pStyle w:val="Compact"/>
              <w:jc w:val="left"/>
            </w:pPr>
            <w:r>
              <w:t xml:space="preserve">Cleanse and map legacy data to the future-state model.</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W15–W16</w:t>
            </w:r>
          </w:p>
        </w:tc>
        <w:tc>
          <w:tcPr/>
          <w:p>
            <w:pPr>
              <w:pStyle w:val="Compact"/>
              <w:jc w:val="left"/>
            </w:pPr>
            <w:r>
              <w:t xml:space="preserve">Build integrations with adjacent systems.</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W17–W18</w:t>
            </w:r>
          </w:p>
        </w:tc>
        <w:tc>
          <w:tcPr/>
          <w:p>
            <w:pPr>
              <w:pStyle w:val="Compact"/>
              <w:jc w:val="left"/>
            </w:pPr>
            <w:r>
              <w:t xml:space="preserve">Test integrations; log defects.</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W19–W20</w:t>
            </w:r>
          </w:p>
        </w:tc>
        <w:tc>
          <w:tcPr/>
          <w:p>
            <w:pPr>
              <w:pStyle w:val="Compact"/>
              <w:jc w:val="left"/>
            </w:pPr>
            <w:r>
              <w:t xml:space="preserve">Run the first mock migration cycle and reconcile results.</w:t>
            </w:r>
          </w:p>
        </w:tc>
        <w:tc>
          <w:tcPr/>
          <w:p>
            <w:pPr>
              <w:pStyle w:val="Compact"/>
              <w:jc w:val="left"/>
            </w:pPr>
            <w:r>
              <w:t xml:space="preserve">—</w:t>
            </w:r>
          </w:p>
        </w:tc>
        <w:tc>
          <w:tcPr/>
          <w:p>
            <w:pPr>
              <w:pStyle w:val="Compact"/>
              <w:jc w:val="left"/>
            </w:pPr>
            <w:r>
              <w:t xml:space="preserve">ITL, PM</w:t>
            </w:r>
          </w:p>
        </w:tc>
      </w:tr>
      <w:tr>
        <w:tc>
          <w:tcPr/>
          <w:p>
            <w:pPr>
              <w:pStyle w:val="Compact"/>
              <w:jc w:val="left"/>
            </w:pPr>
            <w:r>
              <w:t xml:space="preserve">W21–W22</w:t>
            </w:r>
          </w:p>
        </w:tc>
        <w:tc>
          <w:tcPr/>
          <w:p>
            <w:pPr>
              <w:pStyle w:val="Compact"/>
              <w:jc w:val="left"/>
            </w:pPr>
            <w:r>
              <w:t xml:space="preserve">Watch for Desire-stall signals from low end-user visibility; log a barrier reason if Desire ≤ 2.</w:t>
            </w:r>
          </w:p>
        </w:tc>
        <w:tc>
          <w:tcPr/>
          <w:p>
            <w:pPr>
              <w:pStyle w:val="Compact"/>
              <w:jc w:val="left"/>
            </w:pPr>
            <w:r>
              <w:t xml:space="preserve">M5 CM</w:t>
            </w:r>
          </w:p>
        </w:tc>
        <w:tc>
          <w:tcPr/>
          <w:p>
            <w:pPr>
              <w:pStyle w:val="Compact"/>
            </w:pPr>
          </w:p>
        </w:tc>
      </w:tr>
      <w:tr>
        <w:tc>
          <w:tcPr/>
          <w:p>
            <w:pPr>
              <w:pStyle w:val="Compact"/>
              <w:jc w:val="left"/>
            </w:pPr>
            <w:r>
              <w:t xml:space="preserve">W23–W24</w:t>
            </w:r>
          </w:p>
        </w:tc>
        <w:tc>
          <w:tcPr/>
          <w:p>
            <w:pPr>
              <w:pStyle w:val="Compact"/>
              <w:jc w:val="left"/>
            </w:pPr>
            <w:r>
              <w:t xml:space="preserve">Run the second mock migration cycle; prepare data-quality sign-off.</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W25–W26</w:t>
            </w:r>
          </w:p>
        </w:tc>
        <w:tc>
          <w:tcPr/>
          <w:p>
            <w:pPr>
              <w:pStyle w:val="Compact"/>
              <w:jc w:val="left"/>
            </w:pPr>
            <w:r>
              <w:t xml:space="preserve">Update the Composite Readiness Index ahead of the Testing entry gate.</w:t>
            </w:r>
          </w:p>
        </w:tc>
        <w:tc>
          <w:tcPr/>
          <w:p>
            <w:pPr>
              <w:pStyle w:val="Compact"/>
              <w:jc w:val="left"/>
            </w:pPr>
            <w:r>
              <w:t xml:space="preserve">M5–M6 CM</w:t>
            </w:r>
          </w:p>
        </w:tc>
        <w:tc>
          <w:tcPr/>
          <w:p>
            <w:pPr>
              <w:pStyle w:val="Compact"/>
            </w:pPr>
          </w:p>
        </w:tc>
      </w:tr>
      <w:tr>
        <w:tc>
          <w:tcPr/>
          <w:p>
            <w:pPr>
              <w:pStyle w:val="Compact"/>
              <w:jc w:val="left"/>
            </w:pPr>
            <w:r>
              <w:t xml:space="preserve">W27–W28</w:t>
            </w:r>
          </w:p>
        </w:tc>
        <w:tc>
          <w:tcPr/>
          <w:p>
            <w:pPr>
              <w:pStyle w:val="Compact"/>
              <w:jc w:val="left"/>
            </w:pPr>
            <w:r>
              <w:t xml:space="preserve">Data-quality sign-off; Phase 3 gate review.</w:t>
            </w:r>
          </w:p>
        </w:tc>
        <w:tc>
          <w:tcPr/>
          <w:p>
            <w:pPr>
              <w:pStyle w:val="Compact"/>
              <w:jc w:val="left"/>
            </w:pPr>
            <w:r>
              <w:t xml:space="preserve">—</w:t>
            </w:r>
          </w:p>
        </w:tc>
        <w:tc>
          <w:tcPr/>
          <w:p>
            <w:pPr>
              <w:pStyle w:val="Compact"/>
              <w:jc w:val="left"/>
            </w:pPr>
            <w:r>
              <w:t xml:space="preserve">FPO, ES</w:t>
            </w:r>
          </w:p>
        </w:tc>
      </w:tr>
    </w:tbl>
    <w:p>
      <w:pPr>
        <w:pStyle w:val="BodyText"/>
      </w:pPr>
      <w:r>
        <w:rPr>
          <w:iCs/>
          <w:i/>
        </w:rPr>
        <w:t xml:space="preserve">Table 5.3 — Weekly action plan for Data Migration &amp; Integration.</w:t>
      </w:r>
    </w:p>
    <w:p>
      <w:pPr>
        <w:pStyle w:val="BodyText"/>
      </w:pPr>
      <w:r>
        <w:rPr>
          <w:bCs/>
          <w:b/>
          <w:color w:val="275650"/>
          <w:sz w:val="27"/>
        </w:rPr>
        <w:t xml:space="preserve">5.4 Phase 4 — Testing (SIT / UAT) (Weeks 25–32 (overlaps Phase 3 close and Phase 5))</w:t>
      </w:r>
    </w:p>
    <w:p>
      <w:pPr>
        <w:pStyle w:val="BodyText"/>
      </w:pPr>
      <w:r>
        <w:t xml:space="preserve">The first point where a representative slice of end users gets real hands-on exposure — and the first honest opportunity to run the Divergence Pattern check (Exception E2).</w:t>
      </w:r>
    </w:p>
    <w:tbl>
      <w:tblPr>
        <w:tblStyle w:val="Table"/>
        <w:tblW w:type="pct" w:w="4939"/>
        <w:tblLook w:firstRow="1" w:lastRow="0" w:firstColumn="0" w:lastColumn="0" w:noHBand="0" w:noVBand="0" w:val="0020"/>
        <w:jc w:val="start"/>
      </w:tblPr>
      <w:tblGrid>
        <w:gridCol w:w="534"/>
        <w:gridCol w:w="5199"/>
        <w:gridCol w:w="971"/>
        <w:gridCol w:w="1117"/>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Primary Owner(s)</w:t>
            </w:r>
          </w:p>
        </w:tc>
      </w:tr>
      <w:tr>
        <w:tc>
          <w:tcPr/>
          <w:p>
            <w:pPr>
              <w:pStyle w:val="Compact"/>
              <w:jc w:val="left"/>
            </w:pPr>
            <w:r>
              <w:t xml:space="preserve">W25–W26</w:t>
            </w:r>
          </w:p>
        </w:tc>
        <w:tc>
          <w:tcPr/>
          <w:p>
            <w:pPr>
              <w:pStyle w:val="Compact"/>
              <w:jc w:val="left"/>
            </w:pPr>
            <w:r>
              <w:t xml:space="preserve">Execute system integration testing (SIT).</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W27</w:t>
            </w:r>
          </w:p>
        </w:tc>
        <w:tc>
          <w:tcPr/>
          <w:p>
            <w:pPr>
              <w:pStyle w:val="Compact"/>
              <w:jc w:val="left"/>
            </w:pPr>
            <w:r>
              <w:t xml:space="preserve">Recruit a representative UAT cohort.</w:t>
            </w:r>
          </w:p>
        </w:tc>
        <w:tc>
          <w:tcPr/>
          <w:p>
            <w:pPr>
              <w:pStyle w:val="Compact"/>
              <w:jc w:val="left"/>
            </w:pPr>
            <w:r>
              <w:t xml:space="preserve">M4 CM, FP</w:t>
            </w:r>
          </w:p>
        </w:tc>
        <w:tc>
          <w:tcPr/>
          <w:p>
            <w:pPr>
              <w:pStyle w:val="Compact"/>
              <w:jc w:val="left"/>
            </w:pPr>
            <w:r>
              <w:t xml:space="preserve">O</w:t>
            </w:r>
          </w:p>
        </w:tc>
      </w:tr>
      <w:tr>
        <w:tc>
          <w:tcPr/>
          <w:p>
            <w:pPr>
              <w:pStyle w:val="Compact"/>
              <w:jc w:val="left"/>
            </w:pPr>
            <w:r>
              <w:t xml:space="preserve">W28–W29</w:t>
            </w:r>
          </w:p>
        </w:tc>
        <w:tc>
          <w:tcPr/>
          <w:p>
            <w:pPr>
              <w:pStyle w:val="Compact"/>
              <w:jc w:val="left"/>
            </w:pPr>
            <w:r>
              <w:t xml:space="preserve">Run UAT sessions; log defects and usability friction.</w:t>
            </w:r>
          </w:p>
        </w:tc>
        <w:tc>
          <w:tcPr/>
          <w:p>
            <w:pPr>
              <w:pStyle w:val="Compact"/>
              <w:jc w:val="left"/>
            </w:pPr>
            <w:r>
              <w:t xml:space="preserve">—</w:t>
            </w:r>
          </w:p>
        </w:tc>
        <w:tc>
          <w:tcPr/>
          <w:p>
            <w:pPr>
              <w:pStyle w:val="Compact"/>
              <w:jc w:val="left"/>
            </w:pPr>
            <w:r>
              <w:t xml:space="preserve">FPO, EU</w:t>
            </w:r>
          </w:p>
        </w:tc>
      </w:tr>
      <w:tr>
        <w:tc>
          <w:tcPr/>
          <w:p>
            <w:pPr>
              <w:pStyle w:val="Compact"/>
              <w:jc w:val="left"/>
            </w:pPr>
            <w:r>
              <w:t xml:space="preserve">W30</w:t>
            </w:r>
          </w:p>
        </w:tc>
        <w:tc>
          <w:tcPr/>
          <w:p>
            <w:pPr>
              <w:pStyle w:val="Compact"/>
              <w:jc w:val="left"/>
            </w:pPr>
            <w:r>
              <w:t xml:space="preserve">Cross-check Knowledge / Ability scores against the Bridges reading — run the Divergence Pattern check.</w:t>
            </w:r>
          </w:p>
        </w:tc>
        <w:tc>
          <w:tcPr/>
          <w:p>
            <w:pPr>
              <w:pStyle w:val="Compact"/>
              <w:jc w:val="left"/>
            </w:pPr>
            <w:r>
              <w:t xml:space="preserve">M6 CM</w:t>
            </w:r>
          </w:p>
        </w:tc>
        <w:tc>
          <w:tcPr/>
          <w:p>
            <w:pPr>
              <w:pStyle w:val="Compact"/>
            </w:pPr>
          </w:p>
        </w:tc>
      </w:tr>
      <w:tr>
        <w:tc>
          <w:tcPr/>
          <w:p>
            <w:pPr>
              <w:pStyle w:val="Compact"/>
              <w:jc w:val="left"/>
            </w:pPr>
            <w:r>
              <w:t xml:space="preserve">W31</w:t>
            </w:r>
          </w:p>
        </w:tc>
        <w:tc>
          <w:tcPr/>
          <w:p>
            <w:pPr>
              <w:pStyle w:val="Compact"/>
              <w:jc w:val="left"/>
            </w:pPr>
            <w:r>
              <w:t xml:space="preserve">Triage and remediate defects before sign-off.</w:t>
            </w:r>
          </w:p>
        </w:tc>
        <w:tc>
          <w:tcPr/>
          <w:p>
            <w:pPr>
              <w:pStyle w:val="Compact"/>
              <w:jc w:val="left"/>
            </w:pPr>
            <w:r>
              <w:t xml:space="preserve">—</w:t>
            </w:r>
          </w:p>
        </w:tc>
        <w:tc>
          <w:tcPr/>
          <w:p>
            <w:pPr>
              <w:pStyle w:val="Compact"/>
              <w:jc w:val="left"/>
            </w:pPr>
            <w:r>
              <w:t xml:space="preserve">ITL, PM</w:t>
            </w:r>
          </w:p>
        </w:tc>
      </w:tr>
      <w:tr>
        <w:tc>
          <w:tcPr/>
          <w:p>
            <w:pPr>
              <w:pStyle w:val="Compact"/>
              <w:jc w:val="left"/>
            </w:pPr>
            <w:r>
              <w:t xml:space="preserve">W32</w:t>
            </w:r>
          </w:p>
        </w:tc>
        <w:tc>
          <w:tcPr/>
          <w:p>
            <w:pPr>
              <w:pStyle w:val="Compact"/>
              <w:jc w:val="left"/>
            </w:pPr>
            <w:r>
              <w:t xml:space="preserve">SIT / UAT sign-off; Phase 4 gate review.</w:t>
            </w:r>
          </w:p>
        </w:tc>
        <w:tc>
          <w:tcPr/>
          <w:p>
            <w:pPr>
              <w:pStyle w:val="Compact"/>
              <w:jc w:val="left"/>
            </w:pPr>
            <w:r>
              <w:t xml:space="preserve">—</w:t>
            </w:r>
          </w:p>
        </w:tc>
        <w:tc>
          <w:tcPr/>
          <w:p>
            <w:pPr>
              <w:pStyle w:val="Compact"/>
              <w:jc w:val="left"/>
            </w:pPr>
            <w:r>
              <w:t xml:space="preserve">PM, ES</w:t>
            </w:r>
          </w:p>
        </w:tc>
      </w:tr>
    </w:tbl>
    <w:p>
      <w:pPr>
        <w:pStyle w:val="BodyText"/>
      </w:pPr>
      <w:r>
        <w:rPr>
          <w:iCs/>
          <w:i/>
        </w:rPr>
        <w:t xml:space="preserve">Table 5.4 — Weekly action plan for Testing (SIT / UAT).</w:t>
      </w:r>
    </w:p>
    <w:p>
      <w:pPr>
        <w:pStyle w:val="BodyText"/>
      </w:pPr>
      <w:r>
        <w:rPr>
          <w:bCs/>
          <w:b/>
          <w:color w:val="275650"/>
          <w:sz w:val="27"/>
        </w:rPr>
        <w:t xml:space="preserve">5.5 Phase 5 — Training &amp; Change Readiness (Weeks 25–36 (overlaps Testing))</w:t>
      </w:r>
    </w:p>
    <w:p>
      <w:pPr>
        <w:pStyle w:val="BodyText"/>
      </w:pPr>
      <w:r>
        <w:t xml:space="preserve">Knowledge becomes Ability under increasingly realistic conditions, while Bridges settles into the Neutral Zone.</w:t>
      </w:r>
    </w:p>
    <w:tbl>
      <w:tblPr>
        <w:tblStyle w:val="Table"/>
        <w:tblW w:type="pct" w:w="4924"/>
        <w:tblLook w:firstRow="1" w:lastRow="0" w:firstColumn="0" w:lastColumn="0" w:noHBand="0" w:noVBand="0" w:val="0020"/>
        <w:jc w:val="start"/>
      </w:tblPr>
      <w:tblGrid>
        <w:gridCol w:w="660"/>
        <w:gridCol w:w="4560"/>
        <w:gridCol w:w="1200"/>
        <w:gridCol w:w="1380"/>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Primary Owner(s)</w:t>
            </w:r>
          </w:p>
        </w:tc>
      </w:tr>
      <w:tr>
        <w:tc>
          <w:tcPr/>
          <w:p>
            <w:pPr>
              <w:pStyle w:val="Compact"/>
              <w:jc w:val="left"/>
            </w:pPr>
            <w:r>
              <w:t xml:space="preserve">W25–W27</w:t>
            </w:r>
          </w:p>
        </w:tc>
        <w:tc>
          <w:tcPr/>
          <w:p>
            <w:pPr>
              <w:pStyle w:val="Compact"/>
              <w:jc w:val="left"/>
            </w:pPr>
            <w:r>
              <w:t xml:space="preserve">Finalize the training curriculum and job aids.</w:t>
            </w:r>
          </w:p>
        </w:tc>
        <w:tc>
          <w:tcPr/>
          <w:p>
            <w:pPr>
              <w:pStyle w:val="Compact"/>
              <w:jc w:val="left"/>
            </w:pPr>
            <w:r>
              <w:t xml:space="preserve">—</w:t>
            </w:r>
          </w:p>
        </w:tc>
        <w:tc>
          <w:tcPr/>
          <w:p>
            <w:pPr>
              <w:pStyle w:val="Compact"/>
              <w:jc w:val="left"/>
            </w:pPr>
            <w:r>
              <w:t xml:space="preserve">CM (training lead)</w:t>
            </w:r>
          </w:p>
        </w:tc>
      </w:tr>
      <w:tr>
        <w:tc>
          <w:tcPr/>
          <w:p>
            <w:pPr>
              <w:pStyle w:val="Compact"/>
              <w:jc w:val="left"/>
            </w:pPr>
            <w:r>
              <w:t xml:space="preserve">W28–W30</w:t>
            </w:r>
          </w:p>
        </w:tc>
        <w:tc>
          <w:tcPr/>
          <w:p>
            <w:pPr>
              <w:pStyle w:val="Compact"/>
              <w:jc w:val="left"/>
            </w:pPr>
            <w:r>
              <w:t xml:space="preserve">Deliver role-based training, wave 1.</w:t>
            </w:r>
          </w:p>
        </w:tc>
        <w:tc>
          <w:tcPr/>
          <w:p>
            <w:pPr>
              <w:pStyle w:val="Compact"/>
              <w:jc w:val="left"/>
            </w:pPr>
            <w:r>
              <w:t xml:space="preserve">—</w:t>
            </w:r>
          </w:p>
        </w:tc>
        <w:tc>
          <w:tcPr/>
          <w:p>
            <w:pPr>
              <w:pStyle w:val="Compact"/>
              <w:jc w:val="left"/>
            </w:pPr>
            <w:r>
              <w:t xml:space="preserve">SUP, EU</w:t>
            </w:r>
          </w:p>
        </w:tc>
      </w:tr>
      <w:tr>
        <w:tc>
          <w:tcPr/>
          <w:p>
            <w:pPr>
              <w:pStyle w:val="Compact"/>
              <w:jc w:val="left"/>
            </w:pPr>
            <w:r>
              <w:t xml:space="preserve">W31–W32</w:t>
            </w:r>
          </w:p>
        </w:tc>
        <w:tc>
          <w:tcPr/>
          <w:p>
            <w:pPr>
              <w:pStyle w:val="Compact"/>
              <w:jc w:val="left"/>
            </w:pPr>
            <w:r>
              <w:t xml:space="preserve">Deploy the sandbox practice environment; deliver training wave 2.</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W33–W34</w:t>
            </w:r>
          </w:p>
        </w:tc>
        <w:tc>
          <w:tcPr/>
          <w:p>
            <w:pPr>
              <w:pStyle w:val="Compact"/>
              <w:jc w:val="left"/>
            </w:pPr>
            <w:r>
              <w:t xml:space="preserve">Run readiness assessments per cohort (Knowledge / Ability scoring).</w:t>
            </w:r>
          </w:p>
        </w:tc>
        <w:tc>
          <w:tcPr/>
          <w:p>
            <w:pPr>
              <w:pStyle w:val="Compact"/>
              <w:jc w:val="left"/>
            </w:pPr>
            <w:r>
              <w:t xml:space="preserve">M5 CM</w:t>
            </w:r>
          </w:p>
        </w:tc>
        <w:tc>
          <w:tcPr/>
          <w:p>
            <w:pPr>
              <w:pStyle w:val="Compact"/>
            </w:pPr>
          </w:p>
        </w:tc>
      </w:tr>
      <w:tr>
        <w:tc>
          <w:tcPr/>
          <w:p>
            <w:pPr>
              <w:pStyle w:val="Compact"/>
              <w:jc w:val="left"/>
            </w:pPr>
            <w:r>
              <w:t xml:space="preserve">W35</w:t>
            </w:r>
          </w:p>
        </w:tc>
        <w:tc>
          <w:tcPr/>
          <w:p>
            <w:pPr>
              <w:pStyle w:val="Compact"/>
              <w:jc w:val="left"/>
            </w:pPr>
            <w:r>
              <w:t xml:space="preserve">Brief supervisors on real-time floor-coaching expectations for go-live.</w:t>
            </w:r>
          </w:p>
        </w:tc>
        <w:tc>
          <w:tcPr/>
          <w:p>
            <w:pPr>
              <w:pStyle w:val="Compact"/>
              <w:jc w:val="left"/>
            </w:pPr>
            <w:r>
              <w:t xml:space="preserve">—</w:t>
            </w:r>
          </w:p>
        </w:tc>
        <w:tc>
          <w:tcPr/>
          <w:p>
            <w:pPr>
              <w:pStyle w:val="Compact"/>
              <w:jc w:val="left"/>
            </w:pPr>
            <w:r>
              <w:t xml:space="preserve">CM, SUP</w:t>
            </w:r>
          </w:p>
        </w:tc>
      </w:tr>
      <w:tr>
        <w:tc>
          <w:tcPr/>
          <w:p>
            <w:pPr>
              <w:pStyle w:val="Compact"/>
              <w:jc w:val="left"/>
            </w:pPr>
            <w:r>
              <w:t xml:space="preserve">W36</w:t>
            </w:r>
          </w:p>
        </w:tc>
        <w:tc>
          <w:tcPr/>
          <w:p>
            <w:pPr>
              <w:pStyle w:val="Compact"/>
              <w:jc w:val="left"/>
            </w:pPr>
            <w:r>
              <w:t xml:space="preserve">Confirm cohort-level go / no-go readiness against the benchmarking bands.</w:t>
            </w:r>
          </w:p>
        </w:tc>
        <w:tc>
          <w:tcPr/>
          <w:p>
            <w:pPr>
              <w:pStyle w:val="Compact"/>
              <w:jc w:val="left"/>
            </w:pPr>
            <w:r>
              <w:t xml:space="preserve">M14 ES, CM</w:t>
            </w:r>
          </w:p>
        </w:tc>
        <w:tc>
          <w:tcPr/>
          <w:p>
            <w:pPr>
              <w:pStyle w:val="Compact"/>
              <w:jc w:val="left"/>
            </w:pPr>
            <w:r>
              <w:t xml:space="preserve">, PM</w:t>
            </w:r>
          </w:p>
        </w:tc>
      </w:tr>
    </w:tbl>
    <w:p>
      <w:pPr>
        <w:pStyle w:val="BodyText"/>
      </w:pPr>
      <w:r>
        <w:rPr>
          <w:iCs/>
          <w:i/>
        </w:rPr>
        <w:t xml:space="preserve">Table 5.5 — Weekly action plan for Training &amp; Change Readiness.</w:t>
      </w:r>
    </w:p>
    <w:p>
      <w:pPr>
        <w:pStyle w:val="BodyText"/>
      </w:pPr>
      <w:r>
        <w:rPr>
          <w:bCs/>
          <w:b/>
          <w:color w:val="275650"/>
          <w:sz w:val="27"/>
        </w:rPr>
        <w:t xml:space="preserve">5.6 Phase 6 — Cutover &amp; Go-Live (Week 37 (short, discrete event))</w:t>
      </w:r>
    </w:p>
    <w:p>
      <w:pPr>
        <w:pStyle w:val="BodyText"/>
      </w:pPr>
      <w:r>
        <w:t xml:space="preserve">The sharpest instance of the two-clock problem: a single-day organizational milestone layered on an emotional clock that does not move that fast (Exception E3).</w:t>
      </w:r>
    </w:p>
    <w:tbl>
      <w:tblPr>
        <w:tblStyle w:val="Table"/>
        <w:tblW w:type="pct" w:w="4932"/>
        <w:tblLook w:firstRow="1" w:lastRow="0" w:firstColumn="0" w:lastColumn="0" w:noHBand="0" w:noVBand="0" w:val="0020"/>
        <w:jc w:val="start"/>
      </w:tblPr>
      <w:tblGrid>
        <w:gridCol w:w="700"/>
        <w:gridCol w:w="4795"/>
        <w:gridCol w:w="1077"/>
        <w:gridCol w:w="1239"/>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Primary Owner(s)</w:t>
            </w:r>
          </w:p>
        </w:tc>
      </w:tr>
      <w:tr>
        <w:tc>
          <w:tcPr/>
          <w:p>
            <w:pPr>
              <w:pStyle w:val="Compact"/>
              <w:jc w:val="left"/>
            </w:pPr>
            <w:r>
              <w:t xml:space="preserve">W37 — D1</w:t>
            </w:r>
          </w:p>
        </w:tc>
        <w:tc>
          <w:tcPr/>
          <w:p>
            <w:pPr>
              <w:pStyle w:val="Compact"/>
              <w:jc w:val="left"/>
            </w:pPr>
            <w:r>
              <w:t xml:space="preserve">Execute the data freeze and final migration; run the cutover runbook.</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W37 — D1</w:t>
            </w:r>
          </w:p>
        </w:tc>
        <w:tc>
          <w:tcPr/>
          <w:p>
            <w:pPr>
              <w:pStyle w:val="Compact"/>
              <w:jc w:val="left"/>
            </w:pPr>
            <w:r>
              <w:t xml:space="preserve">Decommission or lock legacy system access per plan.</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W37 — D1</w:t>
            </w:r>
          </w:p>
        </w:tc>
        <w:tc>
          <w:tcPr/>
          <w:p>
            <w:pPr>
              <w:pStyle w:val="Compact"/>
              <w:jc w:val="left"/>
            </w:pPr>
            <w:r>
              <w:t xml:space="preserve">Communicate go-live confirmation to all cohorts.</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W37 — D1</w:t>
            </w:r>
          </w:p>
        </w:tc>
        <w:tc>
          <w:tcPr/>
          <w:p>
            <w:pPr>
              <w:pStyle w:val="Compact"/>
              <w:jc w:val="left"/>
            </w:pPr>
            <w:r>
              <w:t xml:space="preserve">Activate the hypercare support model; mark Lewin as</w:t>
            </w:r>
            <w:r>
              <w:t xml:space="preserve"> </w:t>
            </w:r>
            <w:r>
              <w:t xml:space="preserve">“</w:t>
            </w:r>
            <w:r>
              <w:t xml:space="preserve">Change → Refreeze (provisional)</w:t>
            </w:r>
            <w:r>
              <w:t xml:space="preserve">”</w:t>
            </w:r>
            <w:r>
              <w:t xml:space="preserve">.</w:t>
            </w:r>
          </w:p>
        </w:tc>
        <w:tc>
          <w:tcPr/>
          <w:p>
            <w:pPr>
              <w:pStyle w:val="Compact"/>
              <w:jc w:val="left"/>
            </w:pPr>
            <w:r>
              <w:t xml:space="preserve">M3 CM, SU</w:t>
            </w:r>
          </w:p>
        </w:tc>
        <w:tc>
          <w:tcPr/>
          <w:p>
            <w:pPr>
              <w:pStyle w:val="Compact"/>
              <w:jc w:val="left"/>
            </w:pPr>
            <w:r>
              <w:t xml:space="preserve">P</w:t>
            </w:r>
          </w:p>
        </w:tc>
      </w:tr>
    </w:tbl>
    <w:p>
      <w:pPr>
        <w:pStyle w:val="BodyText"/>
      </w:pPr>
      <w:r>
        <w:rPr>
          <w:iCs/>
          <w:i/>
        </w:rPr>
        <w:t xml:space="preserve">Table 5.6 — Weekly action plan for Cutover &amp; Go-Live.</w:t>
      </w:r>
    </w:p>
    <w:p>
      <w:pPr>
        <w:pStyle w:val="BodyText"/>
      </w:pPr>
      <w:r>
        <w:rPr>
          <w:bCs/>
          <w:b/>
          <w:color w:val="275650"/>
          <w:sz w:val="27"/>
        </w:rPr>
        <w:t xml:space="preserve">5.7 Phase 7 — Hypercare &amp; Stabilization (Weeks 37–48)</w:t>
      </w:r>
    </w:p>
    <w:p>
      <w:pPr>
        <w:pStyle w:val="BodyText"/>
      </w:pPr>
      <w:r>
        <w:t xml:space="preserve">The last mile of adoption is won or lost here — and regression is normal, expected behavior, not a data error (Exception E4).</w:t>
      </w:r>
    </w:p>
    <w:tbl>
      <w:tblPr>
        <w:tblStyle w:val="Table"/>
        <w:tblW w:type="pct" w:w="4930"/>
        <w:tblLook w:firstRow="1" w:lastRow="0" w:firstColumn="0" w:lastColumn="0" w:noHBand="0" w:noVBand="0" w:val="0020"/>
        <w:jc w:val="start"/>
      </w:tblPr>
      <w:tblGrid>
        <w:gridCol w:w="609"/>
        <w:gridCol w:w="4818"/>
        <w:gridCol w:w="1107"/>
        <w:gridCol w:w="1273"/>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Primary Owner(s)</w:t>
            </w:r>
          </w:p>
        </w:tc>
      </w:tr>
      <w:tr>
        <w:tc>
          <w:tcPr/>
          <w:p>
            <w:pPr>
              <w:pStyle w:val="Compact"/>
              <w:jc w:val="left"/>
            </w:pPr>
            <w:r>
              <w:t xml:space="preserve">W38</w:t>
            </w:r>
          </w:p>
        </w:tc>
        <w:tc>
          <w:tcPr/>
          <w:p>
            <w:pPr>
              <w:pStyle w:val="Compact"/>
              <w:jc w:val="left"/>
            </w:pPr>
            <w:r>
              <w:t xml:space="preserve">Staff the elevated support desk; begin daily adoption-metric tracking.</w:t>
            </w:r>
          </w:p>
        </w:tc>
        <w:tc>
          <w:tcPr/>
          <w:p>
            <w:pPr>
              <w:pStyle w:val="Compact"/>
              <w:jc w:val="left"/>
            </w:pPr>
            <w:r>
              <w:t xml:space="preserve">—</w:t>
            </w:r>
          </w:p>
        </w:tc>
        <w:tc>
          <w:tcPr/>
          <w:p>
            <w:pPr>
              <w:pStyle w:val="Compact"/>
              <w:jc w:val="left"/>
            </w:pPr>
            <w:r>
              <w:t xml:space="preserve">ITL, CM</w:t>
            </w:r>
          </w:p>
        </w:tc>
      </w:tr>
      <w:tr>
        <w:tc>
          <w:tcPr/>
          <w:p>
            <w:pPr>
              <w:pStyle w:val="Compact"/>
              <w:jc w:val="left"/>
            </w:pPr>
            <w:r>
              <w:t xml:space="preserve">W39–W40</w:t>
            </w:r>
          </w:p>
        </w:tc>
        <w:tc>
          <w:tcPr/>
          <w:p>
            <w:pPr>
              <w:pStyle w:val="Compact"/>
              <w:jc w:val="left"/>
            </w:pPr>
            <w:r>
              <w:t xml:space="preserve">First Kübler-Ross / Bridges re-pulse (2-week mark).</w:t>
            </w:r>
          </w:p>
        </w:tc>
        <w:tc>
          <w:tcPr/>
          <w:p>
            <w:pPr>
              <w:pStyle w:val="Compact"/>
              <w:jc w:val="left"/>
            </w:pPr>
            <w:r>
              <w:t xml:space="preserve">M6 CM</w:t>
            </w:r>
          </w:p>
        </w:tc>
        <w:tc>
          <w:tcPr/>
          <w:p>
            <w:pPr>
              <w:pStyle w:val="Compact"/>
            </w:pPr>
          </w:p>
        </w:tc>
      </w:tr>
      <w:tr>
        <w:tc>
          <w:tcPr/>
          <w:p>
            <w:pPr>
              <w:pStyle w:val="Compact"/>
              <w:jc w:val="left"/>
            </w:pPr>
            <w:r>
              <w:t xml:space="preserve">W41–W42</w:t>
            </w:r>
          </w:p>
        </w:tc>
        <w:tc>
          <w:tcPr/>
          <w:p>
            <w:pPr>
              <w:pStyle w:val="Compact"/>
              <w:jc w:val="left"/>
            </w:pPr>
            <w:r>
              <w:t xml:space="preserve">Coach any cohort showing regression; continue daily metric triage.</w:t>
            </w:r>
          </w:p>
        </w:tc>
        <w:tc>
          <w:tcPr/>
          <w:p>
            <w:pPr>
              <w:pStyle w:val="Compact"/>
              <w:jc w:val="left"/>
            </w:pPr>
            <w:r>
              <w:t xml:space="preserve">—</w:t>
            </w:r>
          </w:p>
        </w:tc>
        <w:tc>
          <w:tcPr/>
          <w:p>
            <w:pPr>
              <w:pStyle w:val="Compact"/>
              <w:jc w:val="left"/>
            </w:pPr>
            <w:r>
              <w:t xml:space="preserve">SUP, CM</w:t>
            </w:r>
          </w:p>
        </w:tc>
      </w:tr>
      <w:tr>
        <w:tc>
          <w:tcPr/>
          <w:p>
            <w:pPr>
              <w:pStyle w:val="Compact"/>
              <w:jc w:val="left"/>
            </w:pPr>
            <w:r>
              <w:t xml:space="preserve">W43–W44</w:t>
            </w:r>
          </w:p>
        </w:tc>
        <w:tc>
          <w:tcPr/>
          <w:p>
            <w:pPr>
              <w:pStyle w:val="Compact"/>
              <w:jc w:val="left"/>
            </w:pPr>
            <w:r>
              <w:t xml:space="preserve">Second re-pulse (4-week mark); compare against the provisional Lewin call.</w:t>
            </w:r>
          </w:p>
        </w:tc>
        <w:tc>
          <w:tcPr/>
          <w:p>
            <w:pPr>
              <w:pStyle w:val="Compact"/>
              <w:jc w:val="left"/>
            </w:pPr>
            <w:r>
              <w:t xml:space="preserve">M6 CM</w:t>
            </w:r>
          </w:p>
        </w:tc>
        <w:tc>
          <w:tcPr/>
          <w:p>
            <w:pPr>
              <w:pStyle w:val="Compact"/>
            </w:pPr>
          </w:p>
        </w:tc>
      </w:tr>
      <w:tr>
        <w:tc>
          <w:tcPr/>
          <w:p>
            <w:pPr>
              <w:pStyle w:val="Compact"/>
              <w:jc w:val="left"/>
            </w:pPr>
            <w:r>
              <w:t xml:space="preserve">W45–W46</w:t>
            </w:r>
          </w:p>
        </w:tc>
        <w:tc>
          <w:tcPr/>
          <w:p>
            <w:pPr>
              <w:pStyle w:val="Compact"/>
              <w:jc w:val="left"/>
            </w:pPr>
            <w:r>
              <w:t xml:space="preserve">Begin tapering support toward standard service levels where metrics have stabilized.</w:t>
            </w:r>
          </w:p>
        </w:tc>
        <w:tc>
          <w:tcPr/>
          <w:p>
            <w:pPr>
              <w:pStyle w:val="Compact"/>
              <w:jc w:val="left"/>
            </w:pPr>
            <w:r>
              <w:t xml:space="preserve">—</w:t>
            </w:r>
          </w:p>
        </w:tc>
        <w:tc>
          <w:tcPr/>
          <w:p>
            <w:pPr>
              <w:pStyle w:val="Compact"/>
              <w:jc w:val="left"/>
            </w:pPr>
            <w:r>
              <w:t xml:space="preserve">ITL, CM</w:t>
            </w:r>
          </w:p>
        </w:tc>
      </w:tr>
      <w:tr>
        <w:tc>
          <w:tcPr/>
          <w:p>
            <w:pPr>
              <w:pStyle w:val="Compact"/>
              <w:jc w:val="left"/>
            </w:pPr>
            <w:r>
              <w:t xml:space="preserve">W47–W48</w:t>
            </w:r>
          </w:p>
        </w:tc>
        <w:tc>
          <w:tcPr/>
          <w:p>
            <w:pPr>
              <w:pStyle w:val="Compact"/>
              <w:jc w:val="left"/>
            </w:pPr>
            <w:r>
              <w:t xml:space="preserve">Confirm or extend hypercare for lagging cohorts; Phase 7 gate review.</w:t>
            </w:r>
          </w:p>
        </w:tc>
        <w:tc>
          <w:tcPr/>
          <w:p>
            <w:pPr>
              <w:pStyle w:val="Compact"/>
              <w:jc w:val="left"/>
            </w:pPr>
            <w:r>
              <w:t xml:space="preserve">—</w:t>
            </w:r>
          </w:p>
        </w:tc>
        <w:tc>
          <w:tcPr/>
          <w:p>
            <w:pPr>
              <w:pStyle w:val="Compact"/>
              <w:jc w:val="left"/>
            </w:pPr>
            <w:r>
              <w:t xml:space="preserve">CM, ES</w:t>
            </w:r>
          </w:p>
        </w:tc>
      </w:tr>
    </w:tbl>
    <w:p>
      <w:pPr>
        <w:pStyle w:val="BodyText"/>
      </w:pPr>
      <w:r>
        <w:rPr>
          <w:iCs/>
          <w:i/>
        </w:rPr>
        <w:t xml:space="preserve">Table 5.7 — Weekly action plan for Hypercare &amp; Stabilization.</w:t>
      </w:r>
    </w:p>
    <w:p>
      <w:pPr>
        <w:pStyle w:val="BodyText"/>
      </w:pPr>
      <w:r>
        <w:rPr>
          <w:bCs/>
          <w:b/>
          <w:color w:val="275650"/>
          <w:sz w:val="27"/>
        </w:rPr>
        <w:t xml:space="preserve">5.8 Phase 8 — Sustainment &amp; Closure (Weeks 45–52+)</w:t>
      </w:r>
    </w:p>
    <w:p>
      <w:pPr>
        <w:pStyle w:val="BodyText"/>
      </w:pPr>
      <w:r>
        <w:t xml:space="preserve">Refreeze is called from checkpoint evidence, never the calendar — the discipline that protects against a Reinforcement gap (Exception E5).</w:t>
      </w:r>
    </w:p>
    <w:tbl>
      <w:tblPr>
        <w:tblStyle w:val="Table"/>
        <w:tblW w:type="pct" w:w="4937"/>
        <w:tblLook w:firstRow="1" w:lastRow="0" w:firstColumn="0" w:lastColumn="0" w:noHBand="0" w:noVBand="0" w:val="0020"/>
        <w:jc w:val="start"/>
      </w:tblPr>
      <w:tblGrid>
        <w:gridCol w:w="547"/>
        <w:gridCol w:w="5130"/>
        <w:gridCol w:w="996"/>
        <w:gridCol w:w="1145"/>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Primary Owner(s)</w:t>
            </w:r>
          </w:p>
        </w:tc>
      </w:tr>
      <w:tr>
        <w:tc>
          <w:tcPr/>
          <w:p>
            <w:pPr>
              <w:pStyle w:val="Compact"/>
              <w:jc w:val="left"/>
            </w:pPr>
            <w:r>
              <w:t xml:space="preserve">W45–W46</w:t>
            </w:r>
          </w:p>
        </w:tc>
        <w:tc>
          <w:tcPr/>
          <w:p>
            <w:pPr>
              <w:pStyle w:val="Compact"/>
              <w:jc w:val="left"/>
            </w:pPr>
            <w:r>
              <w:t xml:space="preserve">Embed new-process metrics into standard performance management, with HR support.</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W47–W48</w:t>
            </w:r>
          </w:p>
        </w:tc>
        <w:tc>
          <w:tcPr/>
          <w:p>
            <w:pPr>
              <w:pStyle w:val="Compact"/>
              <w:jc w:val="left"/>
            </w:pPr>
            <w:r>
              <w:t xml:space="preserve">Confirm Reinforcement mechanisms are active (recognition, manager check-ins, revoked legacy access).</w:t>
            </w:r>
          </w:p>
        </w:tc>
        <w:tc>
          <w:tcPr/>
          <w:p>
            <w:pPr>
              <w:pStyle w:val="Compact"/>
              <w:jc w:val="left"/>
            </w:pPr>
            <w:r>
              <w:t xml:space="preserve">M5 CM, SU</w:t>
            </w:r>
          </w:p>
        </w:tc>
        <w:tc>
          <w:tcPr/>
          <w:p>
            <w:pPr>
              <w:pStyle w:val="Compact"/>
              <w:jc w:val="left"/>
            </w:pPr>
            <w:r>
              <w:t xml:space="preserve">P</w:t>
            </w:r>
          </w:p>
        </w:tc>
      </w:tr>
      <w:tr>
        <w:tc>
          <w:tcPr/>
          <w:p>
            <w:pPr>
              <w:pStyle w:val="Compact"/>
              <w:jc w:val="left"/>
            </w:pPr>
            <w:r>
              <w:t xml:space="preserve">W49–W50</w:t>
            </w:r>
          </w:p>
        </w:tc>
        <w:tc>
          <w:tcPr/>
          <w:p>
            <w:pPr>
              <w:pStyle w:val="Compact"/>
              <w:jc w:val="left"/>
            </w:pPr>
            <w:r>
              <w:t xml:space="preserve">Run the 60-day checkpoint review against the benchmarking bands.</w:t>
            </w:r>
          </w:p>
        </w:tc>
        <w:tc>
          <w:tcPr/>
          <w:p>
            <w:pPr>
              <w:pStyle w:val="Compact"/>
              <w:jc w:val="left"/>
            </w:pPr>
            <w:r>
              <w:t xml:space="preserve">M14 CM</w:t>
            </w:r>
          </w:p>
        </w:tc>
        <w:tc>
          <w:tcPr/>
          <w:p>
            <w:pPr>
              <w:pStyle w:val="Compact"/>
            </w:pPr>
          </w:p>
        </w:tc>
      </w:tr>
      <w:tr>
        <w:tc>
          <w:tcPr/>
          <w:p>
            <w:pPr>
              <w:pStyle w:val="Compact"/>
              <w:jc w:val="left"/>
            </w:pPr>
            <w:r>
              <w:t xml:space="preserve">W51–W52</w:t>
            </w:r>
          </w:p>
        </w:tc>
        <w:tc>
          <w:tcPr/>
          <w:p>
            <w:pPr>
              <w:pStyle w:val="Compact"/>
              <w:jc w:val="left"/>
            </w:pPr>
            <w:r>
              <w:t xml:space="preserve">Run the 90-day checkpoint review; call Refreeze formally once evidence supports it.</w:t>
            </w:r>
          </w:p>
        </w:tc>
        <w:tc>
          <w:tcPr/>
          <w:p>
            <w:pPr>
              <w:pStyle w:val="Compact"/>
              <w:jc w:val="left"/>
            </w:pPr>
            <w:r>
              <w:t xml:space="preserve">M3 CM, ES</w:t>
            </w:r>
          </w:p>
        </w:tc>
        <w:tc>
          <w:tcPr/>
          <w:p>
            <w:pPr>
              <w:pStyle w:val="Compact"/>
            </w:pPr>
          </w:p>
        </w:tc>
      </w:tr>
      <w:tr>
        <w:tc>
          <w:tcPr/>
          <w:p>
            <w:pPr>
              <w:pStyle w:val="Compact"/>
              <w:jc w:val="left"/>
            </w:pPr>
            <w:r>
              <w:t xml:space="preserve">W52+</w:t>
            </w:r>
          </w:p>
        </w:tc>
        <w:tc>
          <w:tcPr/>
          <w:p>
            <w:pPr>
              <w:pStyle w:val="Compact"/>
              <w:jc w:val="left"/>
            </w:pPr>
            <w:r>
              <w:t xml:space="preserve">Close the Change Management project; hand off ownership to the business; log lessons learned.</w:t>
            </w:r>
          </w:p>
        </w:tc>
        <w:tc>
          <w:tcPr/>
          <w:p>
            <w:pPr>
              <w:pStyle w:val="Compact"/>
              <w:jc w:val="left"/>
            </w:pPr>
            <w:r>
              <w:t xml:space="preserve">—</w:t>
            </w:r>
          </w:p>
        </w:tc>
        <w:tc>
          <w:tcPr/>
          <w:p>
            <w:pPr>
              <w:pStyle w:val="Compact"/>
              <w:jc w:val="left"/>
            </w:pPr>
            <w:r>
              <w:t xml:space="preserve">CM, ES</w:t>
            </w:r>
          </w:p>
        </w:tc>
      </w:tr>
    </w:tbl>
    <w:p>
      <w:pPr>
        <w:pStyle w:val="BodyText"/>
      </w:pPr>
      <w:r>
        <w:rPr>
          <w:iCs/>
          <w:i/>
        </w:rPr>
        <w:t xml:space="preserve">Table 5.8 — Weekly action plan for Sustainment &amp; Closure.</w:t>
      </w:r>
    </w:p>
    <w:p>
      <w:pPr>
        <w:pStyle w:val="BodyText"/>
      </w:pPr>
      <w:r>
        <w:rPr>
          <w:bCs/>
          <w:b/>
          <w:color w:val="1F4B45"/>
          <w:sz w:val="34"/>
        </w:rPr>
        <w:t xml:space="preserve">6. Detailed Phase Playbooks — SIPOC, Timeline, Tasks, Steps &amp; RACSI</w:t>
      </w:r>
    </w:p>
    <w:p>
      <w:pPr>
        <w:pStyle w:val="BodyText"/>
      </w:pPr>
      <w:r>
        <w:t xml:space="preserve">This section takes each of the eight phases down to full operational detail. For every phase you will find: a week-by-week timeline; a phase-level SIPOC (Suppliers – Inputs – Process – Outputs – Customers), with the Process column listing the phase's five Tasks by number and name; each Task, tagged [PROJECT], [CHANGE] or [JOINT]; every Task broken into its Steps, each with its own SIPOC, a named technique, the technique's goal, a working description of how to execute it, and a recommended open-source tool; a journi cross-reference wherever a Task or Step touches a specific module; and a RACSI assignment per Task, where more than one role can be Responsible but exactly one role is Accountable.</w:t>
      </w:r>
    </w:p>
    <w:p>
      <w:pPr>
        <w:pStyle w:val="BodyText"/>
      </w:pPr>
      <w:r>
        <w:t xml:space="preserve">Role codes used throughout: ES = Executive Sponsor, CM = Change Manager, PM = Program/Project Manager, FPO = Functional Process Owner, ITL = IT/Technical Lead, SUP = Frontline Supervisor, EU = End User cohort. Recommended tools are open-source options illustrative of the technique — substitute your organization's approved equivalents where policy requires.</w:t>
      </w:r>
    </w:p>
    <w:p>
      <w:pPr>
        <w:pStyle w:val="BodyText"/>
      </w:pPr>
      <w:r>
        <w:rPr>
          <w:bCs/>
          <w:b/>
          <w:color w:val="275650"/>
          <w:sz w:val="27"/>
        </w:rPr>
        <w:t xml:space="preserve">6.1 Phase 1 — Discovery &amp; Design (Weeks 1–12)</w:t>
      </w:r>
    </w:p>
    <w:p>
      <w:pPr>
        <w:pStyle w:val="BodyText"/>
      </w:pPr>
      <w:r>
        <w:t xml:space="preserve">Establishes the business case, opens the journi project, and captures the Month-0 baseline across all four frameworks before any visible change has happened.</w:t>
      </w:r>
    </w:p>
    <w:p>
      <w:pPr>
        <w:pStyle w:val="BodyText"/>
      </w:pPr>
      <w:r>
        <w:rPr>
          <w:bCs/>
          <w:b/>
        </w:rPr>
        <w:t xml:space="preserve">Timeline</w:t>
      </w:r>
    </w:p>
    <w:tbl>
      <w:tblPr>
        <w:tblStyle w:val="Table"/>
        <w:tblW w:type="pct" w:w="4930"/>
        <w:tblLook w:firstRow="1" w:lastRow="0" w:firstColumn="0" w:lastColumn="0" w:noHBand="0" w:noVBand="0" w:val="0020"/>
        <w:jc w:val="start"/>
      </w:tblPr>
      <w:tblGrid>
        <w:gridCol w:w="609"/>
        <w:gridCol w:w="5261"/>
        <w:gridCol w:w="1107"/>
        <w:gridCol w:w="830"/>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Owner(s)</w:t>
            </w:r>
          </w:p>
        </w:tc>
      </w:tr>
      <w:tr>
        <w:tc>
          <w:tcPr/>
          <w:p>
            <w:pPr>
              <w:pStyle w:val="Compact"/>
              <w:jc w:val="left"/>
            </w:pPr>
            <w:r>
              <w:t xml:space="preserve">W1</w:t>
            </w:r>
          </w:p>
        </w:tc>
        <w:tc>
          <w:tcPr/>
          <w:p>
            <w:pPr>
              <w:pStyle w:val="Compact"/>
              <w:jc w:val="left"/>
            </w:pPr>
            <w:r>
              <w:t xml:space="preserve">Kickoff; confirm Executive Sponsor; open the Initiative Registry and set Lewin = Unfreeze.</w:t>
            </w:r>
          </w:p>
        </w:tc>
        <w:tc>
          <w:tcPr/>
          <w:p>
            <w:pPr>
              <w:pStyle w:val="Compact"/>
              <w:jc w:val="left"/>
            </w:pPr>
            <w:r>
              <w:t xml:space="preserve">M3 CM, ES</w:t>
            </w:r>
          </w:p>
        </w:tc>
        <w:tc>
          <w:tcPr/>
          <w:p>
            <w:pPr>
              <w:pStyle w:val="Compact"/>
            </w:pPr>
          </w:p>
        </w:tc>
      </w:tr>
      <w:tr>
        <w:tc>
          <w:tcPr/>
          <w:p>
            <w:pPr>
              <w:pStyle w:val="Compact"/>
              <w:jc w:val="left"/>
            </w:pPr>
            <w:r>
              <w:t xml:space="preserve">W2–W3</w:t>
            </w:r>
          </w:p>
        </w:tc>
        <w:tc>
          <w:tcPr/>
          <w:p>
            <w:pPr>
              <w:pStyle w:val="Compact"/>
              <w:jc w:val="left"/>
            </w:pPr>
            <w:r>
              <w:t xml:space="preserve">Run current-state discovery workshops per impacted function.</w:t>
            </w:r>
          </w:p>
        </w:tc>
        <w:tc>
          <w:tcPr/>
          <w:p>
            <w:pPr>
              <w:pStyle w:val="Compact"/>
              <w:jc w:val="left"/>
            </w:pPr>
            <w:r>
              <w:t xml:space="preserve">—</w:t>
            </w:r>
          </w:p>
        </w:tc>
        <w:tc>
          <w:tcPr/>
          <w:p>
            <w:pPr>
              <w:pStyle w:val="Compact"/>
              <w:jc w:val="left"/>
            </w:pPr>
            <w:r>
              <w:t xml:space="preserve">PM, FPO</w:t>
            </w:r>
          </w:p>
        </w:tc>
      </w:tr>
      <w:tr>
        <w:tc>
          <w:tcPr/>
          <w:p>
            <w:pPr>
              <w:pStyle w:val="Compact"/>
              <w:jc w:val="left"/>
            </w:pPr>
            <w:r>
              <w:t xml:space="preserve">W4</w:t>
            </w:r>
          </w:p>
        </w:tc>
        <w:tc>
          <w:tcPr/>
          <w:p>
            <w:pPr>
              <w:pStyle w:val="Compact"/>
              <w:jc w:val="left"/>
            </w:pPr>
            <w:r>
              <w:t xml:space="preserve">Quantify pain points and the cost of inaction; build the Stakeholder Map.</w:t>
            </w:r>
          </w:p>
        </w:tc>
        <w:tc>
          <w:tcPr/>
          <w:p>
            <w:pPr>
              <w:pStyle w:val="Compact"/>
              <w:jc w:val="left"/>
            </w:pPr>
            <w:r>
              <w:t xml:space="preserve">M4 PM, CM</w:t>
            </w:r>
          </w:p>
        </w:tc>
        <w:tc>
          <w:tcPr/>
          <w:p>
            <w:pPr>
              <w:pStyle w:val="Compact"/>
            </w:pPr>
          </w:p>
        </w:tc>
      </w:tr>
      <w:tr>
        <w:tc>
          <w:tcPr/>
          <w:p>
            <w:pPr>
              <w:pStyle w:val="Compact"/>
              <w:jc w:val="left"/>
            </w:pPr>
            <w:r>
              <w:t xml:space="preserve">W5–W6</w:t>
            </w:r>
          </w:p>
        </w:tc>
        <w:tc>
          <w:tcPr/>
          <w:p>
            <w:pPr>
              <w:pStyle w:val="Compact"/>
              <w:jc w:val="left"/>
            </w:pPr>
            <w:r>
              <w:t xml:space="preserve">Draft and review future-state process scope and design principles.</w:t>
            </w:r>
          </w:p>
        </w:tc>
        <w:tc>
          <w:tcPr/>
          <w:p>
            <w:pPr>
              <w:pStyle w:val="Compact"/>
              <w:jc w:val="left"/>
            </w:pPr>
            <w:r>
              <w:t xml:space="preserve">—</w:t>
            </w:r>
          </w:p>
        </w:tc>
        <w:tc>
          <w:tcPr/>
          <w:p>
            <w:pPr>
              <w:pStyle w:val="Compact"/>
              <w:jc w:val="left"/>
            </w:pPr>
            <w:r>
              <w:t xml:space="preserve">PM, FPO, ITL</w:t>
            </w:r>
          </w:p>
        </w:tc>
      </w:tr>
      <w:tr>
        <w:tc>
          <w:tcPr/>
          <w:p>
            <w:pPr>
              <w:pStyle w:val="Compact"/>
              <w:jc w:val="left"/>
            </w:pPr>
            <w:r>
              <w:t xml:space="preserve">W7</w:t>
            </w:r>
          </w:p>
        </w:tc>
        <w:tc>
          <w:tcPr/>
          <w:p>
            <w:pPr>
              <w:pStyle w:val="Compact"/>
              <w:jc w:val="left"/>
            </w:pPr>
            <w:r>
              <w:t xml:space="preserve">Formally open the Change Management project; brief the CM team on Modules M5–M6.</w:t>
            </w:r>
          </w:p>
        </w:tc>
        <w:tc>
          <w:tcPr/>
          <w:p>
            <w:pPr>
              <w:pStyle w:val="Compact"/>
              <w:jc w:val="left"/>
            </w:pPr>
            <w:r>
              <w:t xml:space="preserve">M5–M6 CM</w:t>
            </w:r>
          </w:p>
        </w:tc>
        <w:tc>
          <w:tcPr/>
          <w:p>
            <w:pPr>
              <w:pStyle w:val="Compact"/>
            </w:pPr>
          </w:p>
        </w:tc>
      </w:tr>
      <w:tr>
        <w:tc>
          <w:tcPr/>
          <w:p>
            <w:pPr>
              <w:pStyle w:val="Compact"/>
              <w:jc w:val="left"/>
            </w:pPr>
            <w:r>
              <w:t xml:space="preserve">W8</w:t>
            </w:r>
          </w:p>
        </w:tc>
        <w:tc>
          <w:tcPr/>
          <w:p>
            <w:pPr>
              <w:pStyle w:val="Compact"/>
              <w:jc w:val="left"/>
            </w:pPr>
            <w:r>
              <w:t xml:space="preserve">Run the baseline ADKAR / Bridges / Kübler-Ross pulse (Month-0 reading).</w:t>
            </w:r>
          </w:p>
        </w:tc>
        <w:tc>
          <w:tcPr/>
          <w:p>
            <w:pPr>
              <w:pStyle w:val="Compact"/>
              <w:jc w:val="left"/>
            </w:pPr>
            <w:r>
              <w:t xml:space="preserve">M5–M6 CM</w:t>
            </w:r>
          </w:p>
        </w:tc>
        <w:tc>
          <w:tcPr/>
          <w:p>
            <w:pPr>
              <w:pStyle w:val="Compact"/>
            </w:pPr>
          </w:p>
        </w:tc>
      </w:tr>
      <w:tr>
        <w:tc>
          <w:tcPr/>
          <w:p>
            <w:pPr>
              <w:pStyle w:val="Compact"/>
              <w:jc w:val="left"/>
            </w:pPr>
            <w:r>
              <w:t xml:space="preserve">W9</w:t>
            </w:r>
          </w:p>
        </w:tc>
        <w:tc>
          <w:tcPr/>
          <w:p>
            <w:pPr>
              <w:pStyle w:val="Compact"/>
              <w:jc w:val="left"/>
            </w:pPr>
            <w:r>
              <w:t xml:space="preserve">Review baseline pulse with the Steering Committee; confirm the risk register.</w:t>
            </w:r>
          </w:p>
        </w:tc>
        <w:tc>
          <w:tcPr/>
          <w:p>
            <w:pPr>
              <w:pStyle w:val="Compact"/>
              <w:jc w:val="left"/>
            </w:pPr>
            <w:r>
              <w:t xml:space="preserve">—</w:t>
            </w:r>
          </w:p>
        </w:tc>
        <w:tc>
          <w:tcPr/>
          <w:p>
            <w:pPr>
              <w:pStyle w:val="Compact"/>
              <w:jc w:val="left"/>
            </w:pPr>
            <w:r>
              <w:t xml:space="preserve">CM, ES</w:t>
            </w:r>
          </w:p>
        </w:tc>
      </w:tr>
      <w:tr>
        <w:tc>
          <w:tcPr/>
          <w:p>
            <w:pPr>
              <w:pStyle w:val="Compact"/>
              <w:jc w:val="left"/>
            </w:pPr>
            <w:r>
              <w:t xml:space="preserve">W10</w:t>
            </w:r>
          </w:p>
        </w:tc>
        <w:tc>
          <w:tcPr/>
          <w:p>
            <w:pPr>
              <w:pStyle w:val="Compact"/>
              <w:jc w:val="left"/>
            </w:pPr>
            <w:r>
              <w:t xml:space="preserve">Approve the future-state design; close the Phase 1 SIPOC sign-off.</w:t>
            </w:r>
          </w:p>
        </w:tc>
        <w:tc>
          <w:tcPr/>
          <w:p>
            <w:pPr>
              <w:pStyle w:val="Compact"/>
              <w:jc w:val="left"/>
            </w:pPr>
            <w:r>
              <w:t xml:space="preserve">—</w:t>
            </w:r>
          </w:p>
        </w:tc>
        <w:tc>
          <w:tcPr/>
          <w:p>
            <w:pPr>
              <w:pStyle w:val="Compact"/>
              <w:jc w:val="left"/>
            </w:pPr>
            <w:r>
              <w:t xml:space="preserve">ES, FPO</w:t>
            </w:r>
          </w:p>
        </w:tc>
      </w:tr>
      <w:tr>
        <w:tc>
          <w:tcPr/>
          <w:p>
            <w:pPr>
              <w:pStyle w:val="Compact"/>
              <w:jc w:val="left"/>
            </w:pPr>
            <w:r>
              <w:t xml:space="preserve">W11</w:t>
            </w:r>
          </w:p>
        </w:tc>
        <w:tc>
          <w:tcPr/>
          <w:p>
            <w:pPr>
              <w:pStyle w:val="Compact"/>
              <w:jc w:val="left"/>
            </w:pPr>
            <w:r>
              <w:t xml:space="preserve">Buffer / catch-up; finalize the RAID log.</w:t>
            </w:r>
          </w:p>
        </w:tc>
        <w:tc>
          <w:tcPr/>
          <w:p>
            <w:pPr>
              <w:pStyle w:val="Compact"/>
              <w:jc w:val="left"/>
            </w:pPr>
            <w:r>
              <w:t xml:space="preserve">—</w:t>
            </w:r>
          </w:p>
        </w:tc>
        <w:tc>
          <w:tcPr/>
          <w:p>
            <w:pPr>
              <w:pStyle w:val="Compact"/>
              <w:jc w:val="left"/>
            </w:pPr>
            <w:r>
              <w:t xml:space="preserve">PM</w:t>
            </w:r>
          </w:p>
        </w:tc>
      </w:tr>
      <w:tr>
        <w:tc>
          <w:tcPr/>
          <w:p>
            <w:pPr>
              <w:pStyle w:val="Compact"/>
              <w:jc w:val="left"/>
            </w:pPr>
            <w:r>
              <w:t xml:space="preserve">W12</w:t>
            </w:r>
          </w:p>
        </w:tc>
        <w:tc>
          <w:tcPr/>
          <w:p>
            <w:pPr>
              <w:pStyle w:val="Compact"/>
              <w:jc w:val="left"/>
            </w:pPr>
            <w:r>
              <w:t xml:space="preserve">Phase 1 gate review — confirm the Unfreeze reading against the evidence, not the calendar.</w:t>
            </w:r>
          </w:p>
        </w:tc>
        <w:tc>
          <w:tcPr/>
          <w:p>
            <w:pPr>
              <w:pStyle w:val="Compact"/>
              <w:jc w:val="left"/>
            </w:pPr>
            <w:r>
              <w:t xml:space="preserve">M3 CM, ES</w:t>
            </w:r>
          </w:p>
        </w:tc>
        <w:tc>
          <w:tcPr/>
          <w:p>
            <w:pPr>
              <w:pStyle w:val="Compact"/>
            </w:pPr>
          </w:p>
        </w:tc>
      </w:tr>
    </w:tbl>
    <w:p>
      <w:pPr>
        <w:pStyle w:val="BodyText"/>
      </w:pPr>
      <w:r>
        <w:rPr>
          <w:iCs/>
          <w:i/>
        </w:rPr>
        <w:t xml:space="preserve">Week-by-week timeline for Phase 1 — Discovery &amp; Design.</w:t>
      </w:r>
    </w:p>
    <w:p>
      <w:pPr>
        <w:pStyle w:val="BodyText"/>
      </w:pPr>
      <w:r>
        <w:rPr>
          <w:bCs/>
          <w:b/>
        </w:rPr>
        <w:t xml:space="preserve">SIPOC</w:t>
      </w:r>
    </w:p>
    <w:tbl>
      <w:tblPr>
        <w:tblStyle w:val="Table"/>
        <w:tblW w:type="pct" w:w="4971"/>
        <w:tblLook w:firstRow="1" w:lastRow="0" w:firstColumn="0" w:lastColumn="0" w:noHBand="0" w:noVBand="0" w:val="0020"/>
        <w:jc w:val="start"/>
      </w:tblPr>
      <w:tblGrid>
        <w:gridCol w:w="2174"/>
        <w:gridCol w:w="2143"/>
        <w:gridCol w:w="1024"/>
        <w:gridCol w:w="1366"/>
        <w:gridCol w:w="116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Executive Sponsor / Steering Committee; Functional Process Owners; Enterprise architecture / IT strategy; External advisory (if engaged).</w:t>
            </w:r>
          </w:p>
        </w:tc>
        <w:tc>
          <w:tcPr/>
          <w:p>
            <w:pPr>
              <w:pStyle w:val="Compact"/>
              <w:jc w:val="left"/>
            </w:pPr>
            <w:r>
              <w:t xml:space="preserve">Strategic mandate and budget approval; current-state process documentation; pain-point interview notes; org chart and stakeholder list.</w:t>
            </w:r>
          </w:p>
        </w:tc>
        <w:tc>
          <w:tcPr/>
          <w:p>
            <w:pPr>
              <w:jc w:val="left"/>
            </w:pPr>
            <w:r>
              <w:t xml:space="preserve">1. Run current-state discovery workshops per impacted function</w:t>
            </w:r>
          </w:p>
          <w:p>
            <w:pPr>
              <w:jc w:val="left"/>
            </w:pPr>
            <w:r>
              <w:t xml:space="preserve">2. Quantify pain points and the cost of inaction</w:t>
            </w:r>
          </w:p>
          <w:p>
            <w:pPr>
              <w:jc w:val="left"/>
            </w:pPr>
            <w:r>
              <w:t xml:space="preserve">3. Define future-state process scope and design principles</w:t>
            </w:r>
          </w:p>
          <w:p>
            <w:pPr>
              <w:jc w:val="left"/>
            </w:pPr>
            <w:r>
              <w:t xml:space="preserve">4. Open the Change Management project; set the Lewin phase</w:t>
            </w:r>
          </w:p>
          <w:p>
            <w:pPr>
              <w:jc w:val="left"/>
            </w:pPr>
            <w:r>
              <w:t xml:space="preserve">5. Run the baseline ADKAR / Bridges / Kübler-Ross pulse</w:t>
            </w:r>
          </w:p>
        </w:tc>
        <w:tc>
          <w:tcPr/>
          <w:p>
            <w:pPr>
              <w:pStyle w:val="Compact"/>
              <w:jc w:val="left"/>
            </w:pPr>
            <w:r>
              <w:t xml:space="preserve">Approved future-state design; RAID log; Stakeholder Map; baseline framework readings.</w:t>
            </w:r>
          </w:p>
        </w:tc>
        <w:tc>
          <w:tcPr/>
          <w:p>
            <w:pPr>
              <w:pStyle w:val="Compact"/>
              <w:jc w:val="left"/>
            </w:pPr>
            <w:r>
              <w:t xml:space="preserve">Steering Committee; Functional leaders; Program Manager; Change Manager.</w:t>
            </w:r>
          </w:p>
        </w:tc>
      </w:tr>
    </w:tbl>
    <w:p>
      <w:pPr>
        <w:pStyle w:val="BodyText"/>
      </w:pPr>
      <w:r>
        <w:rPr>
          <w:iCs/>
          <w:i/>
        </w:rPr>
        <w:t xml:space="preserve">SIPOC for Phase 1 — Discovery &amp; Design. The Process column lists this phase's five Tasks in sequence.</w:t>
      </w:r>
    </w:p>
    <w:p>
      <w:pPr>
        <w:pStyle w:val="BodyText"/>
      </w:pPr>
      <w:r>
        <w:rPr>
          <w:bCs/>
          <w:b/>
        </w:rPr>
        <w:t xml:space="preserve">Tasks, Steps, Techniques &amp; RACSI</w:t>
      </w:r>
    </w:p>
    <w:p>
      <w:pPr>
        <w:pStyle w:val="BodyText"/>
      </w:pPr>
      <w:r>
        <w:rPr>
          <w:bCs/>
          <w:b/>
          <w:color w:val="3F827B"/>
          <w:sz w:val="24"/>
        </w:rPr>
        <w:t xml:space="preserve">Task 1 — [PROJECT] Run current-state discovery workshops per impacted function</w:t>
      </w:r>
    </w:p>
    <w:p>
      <w:pPr>
        <w:pStyle w:val="BodyText"/>
      </w:pPr>
      <w:r>
        <w:rPr>
          <w:bCs/>
          <w:b/>
          <w:color w:val="5A8F89"/>
          <w:sz w:val="22"/>
        </w:rPr>
        <w:t xml:space="preserve">Step 1 — Facilitate the discovery workshop</w:t>
      </w:r>
    </w:p>
    <w:p>
      <w:pPr>
        <w:pStyle w:val="BodyText"/>
      </w:pPr>
      <w:r>
        <w:t xml:space="preserve">This is the first substantive contact with the business since the program was announced, so how it is run sets the tone for every workshop that follows — the FPO should leave feeling heard, not interrogated.</w:t>
      </w:r>
    </w:p>
    <w:p>
      <w:pPr>
        <w:pStyle w:val="BodyText"/>
      </w:pPr>
      <w:r>
        <w:rPr>
          <w:iCs/>
          <w:i/>
        </w:rPr>
        <w:t xml:space="preserve">SIPOC for this step.</w:t>
      </w:r>
    </w:p>
    <w:tbl>
      <w:tblPr>
        <w:tblStyle w:val="Table"/>
        <w:tblW w:type="pct" w:w="4973"/>
        <w:tblLook w:firstRow="1" w:lastRow="0" w:firstColumn="0" w:lastColumn="0" w:noHBand="0" w:noVBand="0" w:val="0020"/>
        <w:jc w:val="start"/>
      </w:tblPr>
      <w:tblGrid>
        <w:gridCol w:w="2941"/>
        <w:gridCol w:w="2899"/>
        <w:gridCol w:w="483"/>
        <w:gridCol w:w="882"/>
        <w:gridCol w:w="67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Executive Sponsor / Steering Committee; Functional Process Owners; Enterprise architecture / IT strategy; External advisory (if engaged).</w:t>
            </w:r>
          </w:p>
        </w:tc>
        <w:tc>
          <w:tcPr/>
          <w:p>
            <w:pPr>
              <w:pStyle w:val="Compact"/>
              <w:jc w:val="left"/>
            </w:pPr>
            <w:r>
              <w:t xml:space="preserve">Strategic mandate and budget approval; current-state process documentation; pain-point interview notes; org chart and stakeholder list.</w:t>
            </w:r>
          </w:p>
        </w:tc>
        <w:tc>
          <w:tcPr/>
          <w:p>
            <w:pPr>
              <w:pStyle w:val="Compact"/>
              <w:jc w:val="left"/>
            </w:pPr>
            <w:r>
              <w:t xml:space="preserve">Facilitated workshop</w:t>
            </w:r>
          </w:p>
        </w:tc>
        <w:tc>
          <w:tcPr/>
          <w:p>
            <w:pPr>
              <w:pStyle w:val="Compact"/>
              <w:jc w:val="left"/>
            </w:pPr>
            <w:r>
              <w:t xml:space="preserve">As-is process map, function by function</w:t>
            </w:r>
          </w:p>
        </w:tc>
        <w:tc>
          <w:tcPr/>
          <w:p>
            <w:pPr>
              <w:pStyle w:val="Compact"/>
              <w:jc w:val="left"/>
            </w:pPr>
            <w:r>
              <w:t xml:space="preserve">Step 2 (Structured interview)</w:t>
            </w:r>
          </w:p>
        </w:tc>
      </w:tr>
    </w:tbl>
    <w:p>
      <w:pPr>
        <w:pStyle w:val="BodyText"/>
      </w:pPr>
      <w:r>
        <w:rPr>
          <w:iCs/>
          <w:i/>
        </w:rPr>
        <w:t xml:space="preserve">Technique detail for this step.</w:t>
      </w:r>
    </w:p>
    <w:tbl>
      <w:tblPr>
        <w:tblStyle w:val="Table"/>
        <w:tblW w:type="pct" w:w="4948"/>
        <w:tblLook w:firstRow="1" w:lastRow="0" w:firstColumn="0" w:lastColumn="0" w:noHBand="0" w:noVBand="0" w:val="0020"/>
        <w:jc w:val="start"/>
      </w:tblPr>
      <w:tblGrid>
        <w:gridCol w:w="1272"/>
        <w:gridCol w:w="656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Facilitated workshop</w:t>
            </w:r>
          </w:p>
        </w:tc>
      </w:tr>
      <w:tr>
        <w:tc>
          <w:tcPr/>
          <w:p>
            <w:pPr>
              <w:pStyle w:val="Compact"/>
              <w:jc w:val="left"/>
            </w:pPr>
            <w:r>
              <w:t xml:space="preserve">Technique Goal</w:t>
            </w:r>
          </w:p>
        </w:tc>
        <w:tc>
          <w:tcPr/>
          <w:p>
            <w:pPr>
              <w:pStyle w:val="Compact"/>
              <w:jc w:val="left"/>
            </w:pPr>
            <w:r>
              <w:t xml:space="preserve">Capture as-is process steps and pain points directly from SMEs.</w:t>
            </w:r>
          </w:p>
        </w:tc>
      </w:tr>
      <w:tr>
        <w:tc>
          <w:tcPr/>
          <w:p>
            <w:pPr>
              <w:pStyle w:val="Compact"/>
              <w:jc w:val="left"/>
            </w:pPr>
            <w:r>
              <w:t xml:space="preserve">Technique Details</w:t>
            </w:r>
          </w:p>
        </w:tc>
        <w:tc>
          <w:tcPr/>
          <w:p>
            <w:pPr>
              <w:pStyle w:val="Compact"/>
              <w:jc w:val="left"/>
            </w:pPr>
            <w:r>
              <w:t xml:space="preserve">Run a 90-minute session per function with the FPO and 3–5 SMEs; walk the process end to end on a shared board and capture every pain point as a sticky note.</w:t>
            </w:r>
          </w:p>
        </w:tc>
      </w:tr>
      <w:tr>
        <w:tc>
          <w:tcPr/>
          <w:p>
            <w:pPr>
              <w:pStyle w:val="Compact"/>
              <w:jc w:val="left"/>
            </w:pPr>
            <w:r>
              <w:t xml:space="preserve">Recommended Open-Source Tool</w:t>
            </w:r>
          </w:p>
        </w:tc>
        <w:tc>
          <w:tcPr/>
          <w:p>
            <w:pPr>
              <w:pStyle w:val="Compact"/>
              <w:jc w:val="left"/>
            </w:pPr>
            <w:r>
              <w:t xml:space="preserve">BPMN.io</w:t>
            </w:r>
          </w:p>
        </w:tc>
      </w:tr>
    </w:tbl>
    <w:p>
      <w:pPr>
        <w:pStyle w:val="BodyText"/>
      </w:pPr>
      <w:r>
        <w:rPr>
          <w:bCs/>
          <w:b/>
          <w:color w:val="5A8F89"/>
          <w:sz w:val="22"/>
        </w:rPr>
        <w:t xml:space="preserve">Step 2 — Interview individual contributors</w:t>
      </w:r>
    </w:p>
    <w:p>
      <w:pPr>
        <w:pStyle w:val="BodyText"/>
      </w:pPr>
      <w:r>
        <w:t xml:space="preserve">Group workshops tend to surface the loudest opinions in the room; a handful of 1:1s catches the quieter, more specific frustrations that group dynamics suppress.</w:t>
      </w:r>
    </w:p>
    <w:p>
      <w:pPr>
        <w:pStyle w:val="BodyText"/>
      </w:pPr>
      <w:r>
        <w:rPr>
          <w:iCs/>
          <w:i/>
        </w:rPr>
        <w:t xml:space="preserve">SIPOC for this step.</w:t>
      </w:r>
    </w:p>
    <w:tbl>
      <w:tblPr>
        <w:tblStyle w:val="Table"/>
        <w:tblW w:type="pct" w:w="4954"/>
        <w:tblLook w:firstRow="1" w:lastRow="0" w:firstColumn="0" w:lastColumn="0" w:noHBand="0" w:noVBand="0" w:val="0020"/>
        <w:jc w:val="start"/>
      </w:tblPr>
      <w:tblGrid>
        <w:gridCol w:w="1532"/>
        <w:gridCol w:w="1532"/>
        <w:gridCol w:w="839"/>
        <w:gridCol w:w="1204"/>
        <w:gridCol w:w="273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(Facilitated workshop)</w:t>
            </w:r>
          </w:p>
        </w:tc>
        <w:tc>
          <w:tcPr/>
          <w:p>
            <w:pPr>
              <w:pStyle w:val="Compact"/>
              <w:jc w:val="left"/>
            </w:pPr>
            <w:r>
              <w:t xml:space="preserve">As-is process map, function by function</w:t>
            </w:r>
          </w:p>
        </w:tc>
        <w:tc>
          <w:tcPr/>
          <w:p>
            <w:pPr>
              <w:pStyle w:val="Compact"/>
              <w:jc w:val="left"/>
            </w:pPr>
            <w:r>
              <w:t xml:space="preserve">Structured interview</w:t>
            </w:r>
          </w:p>
        </w:tc>
        <w:tc>
          <w:tcPr/>
          <w:p>
            <w:pPr>
              <w:pStyle w:val="Compact"/>
              <w:jc w:val="left"/>
            </w:pPr>
            <w:r>
              <w:t xml:space="preserve">Coded interview notes by theme</w:t>
            </w:r>
          </w:p>
        </w:tc>
        <w:tc>
          <w:tcPr/>
          <w:p>
            <w:pPr>
              <w:pStyle w:val="Compact"/>
              <w:jc w:val="left"/>
            </w:pPr>
            <w:r>
              <w:t xml:space="preserve">Steering Committee; Functional leaders; Program Manager; Change Manager.</w:t>
            </w:r>
          </w:p>
        </w:tc>
      </w:tr>
    </w:tbl>
    <w:p>
      <w:pPr>
        <w:pStyle w:val="BodyText"/>
      </w:pPr>
      <w:r>
        <w:rPr>
          <w:iCs/>
          <w:i/>
        </w:rPr>
        <w:t xml:space="preserve">Technique detail for this step.</w:t>
      </w:r>
    </w:p>
    <w:tbl>
      <w:tblPr>
        <w:tblStyle w:val="Table"/>
        <w:tblW w:type="pct" w:w="4938"/>
        <w:tblLook w:firstRow="1" w:lastRow="0" w:firstColumn="0" w:lastColumn="0" w:noHBand="0" w:noVBand="0" w:val="0020"/>
        <w:jc w:val="start"/>
      </w:tblPr>
      <w:tblGrid>
        <w:gridCol w:w="1534"/>
        <w:gridCol w:w="628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Structured interview</w:t>
            </w:r>
          </w:p>
        </w:tc>
      </w:tr>
      <w:tr>
        <w:tc>
          <w:tcPr/>
          <w:p>
            <w:pPr>
              <w:pStyle w:val="Compact"/>
              <w:jc w:val="left"/>
            </w:pPr>
            <w:r>
              <w:t xml:space="preserve">Technique Goal</w:t>
            </w:r>
          </w:p>
        </w:tc>
        <w:tc>
          <w:tcPr/>
          <w:p>
            <w:pPr>
              <w:pStyle w:val="Compact"/>
              <w:jc w:val="left"/>
            </w:pPr>
            <w:r>
              <w:t xml:space="preserve">Probe individual pain points beyond what surfaces in the group setting.</w:t>
            </w:r>
          </w:p>
        </w:tc>
      </w:tr>
      <w:tr>
        <w:tc>
          <w:tcPr/>
          <w:p>
            <w:pPr>
              <w:pStyle w:val="Compact"/>
              <w:jc w:val="left"/>
            </w:pPr>
            <w:r>
              <w:t xml:space="preserve">Technique Details</w:t>
            </w:r>
          </w:p>
        </w:tc>
        <w:tc>
          <w:tcPr/>
          <w:p>
            <w:pPr>
              <w:pStyle w:val="Compact"/>
              <w:jc w:val="left"/>
            </w:pPr>
            <w:r>
              <w:t xml:space="preserve">30-minute 1:1s with a cross-section of individual contributors, using a fixed question guide, recorded and coded for themes.</w:t>
            </w:r>
          </w:p>
        </w:tc>
      </w:tr>
      <w:tr>
        <w:tc>
          <w:tcPr/>
          <w:p>
            <w:pPr>
              <w:pStyle w:val="Compact"/>
              <w:jc w:val="left"/>
            </w:pPr>
            <w:r>
              <w:t xml:space="preserve">Recommended Open-Source Tool</w:t>
            </w:r>
          </w:p>
        </w:tc>
        <w:tc>
          <w:tcPr/>
          <w:p>
            <w:pPr>
              <w:pStyle w:val="Compact"/>
              <w:jc w:val="left"/>
            </w:pPr>
            <w:r>
              <w:t xml:space="preserve">Taguette</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FPO, PM</w:t>
            </w:r>
          </w:p>
        </w:tc>
        <w:tc>
          <w:tcPr/>
          <w:p>
            <w:pPr>
              <w:pStyle w:val="Compact"/>
              <w:jc w:val="left"/>
            </w:pPr>
            <w:r>
              <w:t xml:space="preserve">PM</w:t>
            </w:r>
          </w:p>
        </w:tc>
        <w:tc>
          <w:tcPr/>
          <w:p>
            <w:pPr>
              <w:pStyle w:val="Compact"/>
              <w:jc w:val="left"/>
            </w:pPr>
            <w:r>
              <w:t xml:space="preserve">CM, SUP</w:t>
            </w:r>
          </w:p>
        </w:tc>
        <w:tc>
          <w:tcPr/>
          <w:p>
            <w:pPr>
              <w:pStyle w:val="Compact"/>
              <w:jc w:val="left"/>
            </w:pPr>
            <w:r>
              <w:t xml:space="preserve">ITL</w:t>
            </w:r>
          </w:p>
        </w:tc>
        <w:tc>
          <w:tcPr/>
          <w:p>
            <w:pPr>
              <w:pStyle w:val="Compact"/>
              <w:jc w:val="left"/>
            </w:pPr>
            <w:r>
              <w:t xml:space="preserve">ES, EU</w:t>
            </w:r>
          </w:p>
        </w:tc>
      </w:tr>
    </w:tbl>
    <w:p>
      <w:pPr>
        <w:pStyle w:val="BodyText"/>
      </w:pPr>
      <w:r>
        <w:rPr>
          <w:bCs/>
          <w:b/>
          <w:color w:val="3F827B"/>
          <w:sz w:val="24"/>
        </w:rPr>
        <w:t xml:space="preserve">Task 2 — [PROJECT] Quantify pain points and the cost of inaction</w:t>
      </w:r>
    </w:p>
    <w:p>
      <w:pPr>
        <w:pStyle w:val="BodyText"/>
      </w:pPr>
      <w:r>
        <w:rPr>
          <w:bCs/>
          <w:b/>
          <w:color w:val="5A8F89"/>
          <w:sz w:val="22"/>
        </w:rPr>
        <w:t xml:space="preserve">Step 1 — Profile current-state transaction data</w:t>
      </w:r>
    </w:p>
    <w:p>
      <w:pPr>
        <w:pStyle w:val="BodyText"/>
      </w:pPr>
      <w:r>
        <w:t xml:space="preserve">Turning workshop anecdotes into hard numbers is what makes the business case defensible in front of Finance and the Steering Committee later in this phase.</w:t>
      </w:r>
    </w:p>
    <w:p>
      <w:pPr>
        <w:pStyle w:val="BodyText"/>
      </w:pPr>
      <w:r>
        <w:rPr>
          <w:iCs/>
          <w:i/>
        </w:rPr>
        <w:t xml:space="preserve">SIPOC for this step.</w:t>
      </w:r>
    </w:p>
    <w:tbl>
      <w:tblPr>
        <w:tblStyle w:val="Table"/>
        <w:tblW w:type="pct" w:w="4973"/>
        <w:tblLook w:firstRow="1" w:lastRow="0" w:firstColumn="0" w:lastColumn="0" w:noHBand="0" w:noVBand="0" w:val="0020"/>
        <w:jc w:val="start"/>
      </w:tblPr>
      <w:tblGrid>
        <w:gridCol w:w="3021"/>
        <w:gridCol w:w="2978"/>
        <w:gridCol w:w="366"/>
        <w:gridCol w:w="712"/>
        <w:gridCol w:w="79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Executive Sponsor / Steering Committee; Functional Process Owners; Enterprise architecture / IT strategy; External advisory (if engaged).</w:t>
            </w:r>
          </w:p>
        </w:tc>
        <w:tc>
          <w:tcPr/>
          <w:p>
            <w:pPr>
              <w:pStyle w:val="Compact"/>
              <w:jc w:val="left"/>
            </w:pPr>
            <w:r>
              <w:t xml:space="preserve">Strategic mandate and budget approval; current-state process documentation; pain-point interview notes; org chart and stakeholder list.</w:t>
            </w:r>
          </w:p>
        </w:tc>
        <w:tc>
          <w:tcPr/>
          <w:p>
            <w:pPr>
              <w:pStyle w:val="Compact"/>
              <w:jc w:val="left"/>
            </w:pPr>
            <w:r>
              <w:t xml:space="preserve">Data profiling</w:t>
            </w:r>
          </w:p>
        </w:tc>
        <w:tc>
          <w:tcPr/>
          <w:p>
            <w:pPr>
              <w:pStyle w:val="Compact"/>
              <w:jc w:val="left"/>
            </w:pPr>
            <w:r>
              <w:t xml:space="preserve">Current-state metrics baseline</w:t>
            </w:r>
          </w:p>
        </w:tc>
        <w:tc>
          <w:tcPr/>
          <w:p>
            <w:pPr>
              <w:pStyle w:val="Compact"/>
              <w:jc w:val="left"/>
            </w:pPr>
            <w:r>
              <w:t xml:space="preserve">Step 2 (Cost-of-inaction workshop)</w:t>
            </w:r>
          </w:p>
        </w:tc>
      </w:tr>
    </w:tbl>
    <w:p>
      <w:pPr>
        <w:pStyle w:val="BodyText"/>
      </w:pPr>
      <w:r>
        <w:rPr>
          <w:iCs/>
          <w:i/>
        </w:rPr>
        <w:t xml:space="preserve">Technique detail for this step.</w:t>
      </w:r>
    </w:p>
    <w:tbl>
      <w:tblPr>
        <w:tblStyle w:val="Table"/>
        <w:tblW w:type="pct" w:w="4939"/>
        <w:tblLook w:firstRow="1" w:lastRow="0" w:firstColumn="0" w:lastColumn="0" w:noHBand="0" w:noVBand="0" w:val="0020"/>
        <w:jc w:val="start"/>
      </w:tblPr>
      <w:tblGrid>
        <w:gridCol w:w="1488"/>
        <w:gridCol w:w="633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Data profiling</w:t>
            </w:r>
          </w:p>
        </w:tc>
      </w:tr>
      <w:tr>
        <w:tc>
          <w:tcPr/>
          <w:p>
            <w:pPr>
              <w:pStyle w:val="Compact"/>
              <w:jc w:val="left"/>
            </w:pPr>
            <w:r>
              <w:t xml:space="preserve">Technique Goal</w:t>
            </w:r>
          </w:p>
        </w:tc>
        <w:tc>
          <w:tcPr/>
          <w:p>
            <w:pPr>
              <w:pStyle w:val="Compact"/>
              <w:jc w:val="left"/>
            </w:pPr>
            <w:r>
              <w:t xml:space="preserve">Quantify current-state error rates and cycle times from source systems.</w:t>
            </w:r>
          </w:p>
        </w:tc>
      </w:tr>
      <w:tr>
        <w:tc>
          <w:tcPr/>
          <w:p>
            <w:pPr>
              <w:pStyle w:val="Compact"/>
              <w:jc w:val="left"/>
            </w:pPr>
            <w:r>
              <w:t xml:space="preserve">Technique Details</w:t>
            </w:r>
          </w:p>
        </w:tc>
        <w:tc>
          <w:tcPr/>
          <w:p>
            <w:pPr>
              <w:pStyle w:val="Compact"/>
              <w:jc w:val="left"/>
            </w:pPr>
            <w:r>
              <w:t xml:space="preserve">Extract a 90-day sample of transactions from the legacy system and profile it for error rate, rework rate and average cycle time.</w:t>
            </w:r>
          </w:p>
        </w:tc>
      </w:tr>
      <w:tr>
        <w:tc>
          <w:tcPr/>
          <w:p>
            <w:pPr>
              <w:pStyle w:val="Compact"/>
              <w:jc w:val="left"/>
            </w:pPr>
            <w:r>
              <w:t xml:space="preserve">Recommended Open-Source Tool</w:t>
            </w:r>
          </w:p>
        </w:tc>
        <w:tc>
          <w:tcPr/>
          <w:p>
            <w:pPr>
              <w:pStyle w:val="Compact"/>
              <w:jc w:val="left"/>
            </w:pPr>
            <w:r>
              <w:t xml:space="preserve">OpenRefine</w:t>
            </w:r>
          </w:p>
        </w:tc>
      </w:tr>
    </w:tbl>
    <w:p>
      <w:pPr>
        <w:pStyle w:val="BodyText"/>
      </w:pPr>
      <w:r>
        <w:rPr>
          <w:bCs/>
          <w:b/>
          <w:color w:val="5A8F89"/>
          <w:sz w:val="22"/>
        </w:rPr>
        <w:t xml:space="preserve">Step 2 — Build the cost-of-inaction case</w:t>
      </w:r>
    </w:p>
    <w:p>
      <w:pPr>
        <w:pStyle w:val="BodyText"/>
      </w:pPr>
      <w:r>
        <w:t xml:space="preserve">A dollar figure travels further in a Steering Committee meeting than a list of complaints does; this session is where the two get joined together.</w:t>
      </w:r>
    </w:p>
    <w:p>
      <w:pPr>
        <w:pStyle w:val="BodyText"/>
      </w:pPr>
      <w:r>
        <w:rPr>
          <w:iCs/>
          <w:i/>
        </w:rPr>
        <w:t xml:space="preserve">SIPOC for this step.</w:t>
      </w:r>
    </w:p>
    <w:tbl>
      <w:tblPr>
        <w:tblStyle w:val="Table"/>
        <w:tblW w:type="pct" w:w="4952"/>
        <w:tblLook w:firstRow="1" w:lastRow="0" w:firstColumn="0" w:lastColumn="0" w:noHBand="0" w:noVBand="0" w:val="0020"/>
        <w:jc w:val="start"/>
      </w:tblPr>
      <w:tblGrid>
        <w:gridCol w:w="1377"/>
        <w:gridCol w:w="1262"/>
        <w:gridCol w:w="1071"/>
        <w:gridCol w:w="1262"/>
        <w:gridCol w:w="286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(Data profiling)</w:t>
            </w:r>
          </w:p>
        </w:tc>
        <w:tc>
          <w:tcPr/>
          <w:p>
            <w:pPr>
              <w:pStyle w:val="Compact"/>
              <w:jc w:val="left"/>
            </w:pPr>
            <w:r>
              <w:t xml:space="preserve">Current-state metrics baseline</w:t>
            </w:r>
          </w:p>
        </w:tc>
        <w:tc>
          <w:tcPr/>
          <w:p>
            <w:pPr>
              <w:pStyle w:val="Compact"/>
              <w:jc w:val="left"/>
            </w:pPr>
            <w:r>
              <w:t xml:space="preserve">Cost-of-inaction workshop</w:t>
            </w:r>
          </w:p>
        </w:tc>
        <w:tc>
          <w:tcPr/>
          <w:p>
            <w:pPr>
              <w:pStyle w:val="Compact"/>
              <w:jc w:val="left"/>
            </w:pPr>
            <w:r>
              <w:t xml:space="preserve">Cost-of-inaction business case</w:t>
            </w:r>
          </w:p>
        </w:tc>
        <w:tc>
          <w:tcPr/>
          <w:p>
            <w:pPr>
              <w:pStyle w:val="Compact"/>
              <w:jc w:val="left"/>
            </w:pPr>
            <w:r>
              <w:t xml:space="preserve">Steering Committee; Functional leaders; Program Manager; Change Manager.</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70"/>
        <w:gridCol w:w="635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Cost-of-inaction workshop</w:t>
            </w:r>
          </w:p>
        </w:tc>
      </w:tr>
      <w:tr>
        <w:tc>
          <w:tcPr/>
          <w:p>
            <w:pPr>
              <w:pStyle w:val="Compact"/>
              <w:jc w:val="left"/>
            </w:pPr>
            <w:r>
              <w:t xml:space="preserve">Technique Goal</w:t>
            </w:r>
          </w:p>
        </w:tc>
        <w:tc>
          <w:tcPr/>
          <w:p>
            <w:pPr>
              <w:pStyle w:val="Compact"/>
              <w:jc w:val="left"/>
            </w:pPr>
            <w:r>
              <w:t xml:space="preserve">Translate pain points into a business-case narrative leadership can act on.</w:t>
            </w:r>
          </w:p>
        </w:tc>
      </w:tr>
      <w:tr>
        <w:tc>
          <w:tcPr/>
          <w:p>
            <w:pPr>
              <w:pStyle w:val="Compact"/>
              <w:jc w:val="left"/>
            </w:pPr>
            <w:r>
              <w:t xml:space="preserve">Technique Details</w:t>
            </w:r>
          </w:p>
        </w:tc>
        <w:tc>
          <w:tcPr/>
          <w:p>
            <w:pPr>
              <w:pStyle w:val="Compact"/>
              <w:jc w:val="left"/>
            </w:pPr>
            <w:r>
              <w:t xml:space="preserve">Facilitate a 2-hour session with FPOs and Finance to convert the quantified pain points into an annualized cost-of-inaction figure.</w:t>
            </w:r>
          </w:p>
        </w:tc>
      </w:tr>
      <w:tr>
        <w:tc>
          <w:tcPr/>
          <w:p>
            <w:pPr>
              <w:pStyle w:val="Compact"/>
              <w:jc w:val="left"/>
            </w:pPr>
            <w:r>
              <w:t xml:space="preserve">Recommended Open-Source Tool</w:t>
            </w:r>
          </w:p>
        </w:tc>
        <w:tc>
          <w:tcPr/>
          <w:p>
            <w:pPr>
              <w:pStyle w:val="Compact"/>
              <w:jc w:val="left"/>
            </w:pPr>
            <w:r>
              <w:t xml:space="preserve">LibreOffice Calc</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FPO, PM</w:t>
            </w:r>
          </w:p>
        </w:tc>
        <w:tc>
          <w:tcPr/>
          <w:p>
            <w:pPr>
              <w:pStyle w:val="Compact"/>
              <w:jc w:val="left"/>
            </w:pPr>
            <w:r>
              <w:t xml:space="preserve">PM</w:t>
            </w:r>
          </w:p>
        </w:tc>
        <w:tc>
          <w:tcPr/>
          <w:p>
            <w:pPr>
              <w:pStyle w:val="Compact"/>
              <w:jc w:val="left"/>
            </w:pPr>
            <w:r>
              <w:t xml:space="preserve">SUP</w:t>
            </w:r>
          </w:p>
        </w:tc>
        <w:tc>
          <w:tcPr/>
          <w:p>
            <w:pPr>
              <w:pStyle w:val="Compact"/>
              <w:jc w:val="left"/>
            </w:pPr>
            <w:r>
              <w:t xml:space="preserve">CM</w:t>
            </w:r>
          </w:p>
        </w:tc>
        <w:tc>
          <w:tcPr/>
          <w:p>
            <w:pPr>
              <w:pStyle w:val="Compact"/>
              <w:jc w:val="left"/>
            </w:pPr>
            <w:r>
              <w:t xml:space="preserve">ES, ITL, EU</w:t>
            </w:r>
          </w:p>
        </w:tc>
      </w:tr>
    </w:tbl>
    <w:p>
      <w:pPr>
        <w:pStyle w:val="BodyText"/>
      </w:pPr>
      <w:r>
        <w:rPr>
          <w:bCs/>
          <w:b/>
          <w:color w:val="3F827B"/>
          <w:sz w:val="24"/>
        </w:rPr>
        <w:t xml:space="preserve">Task 3 — [PROJECT] Define future-state process scope and design principles</w:t>
      </w:r>
    </w:p>
    <w:p>
      <w:pPr>
        <w:pStyle w:val="BodyText"/>
      </w:pPr>
      <w:r>
        <w:rPr>
          <w:bCs/>
          <w:b/>
          <w:color w:val="5A8F89"/>
          <w:sz w:val="22"/>
        </w:rPr>
        <w:t xml:space="preserve">Step 1 — Map the future-state process</w:t>
      </w:r>
    </w:p>
    <w:p>
      <w:pPr>
        <w:pStyle w:val="BodyText"/>
      </w:pPr>
      <w:r>
        <w:t xml:space="preserve">This map becomes the single reference every later configuration decision is checked against, so it needs to be validated against real operating constraints, not just aspiration.</w:t>
      </w:r>
    </w:p>
    <w:p>
      <w:pPr>
        <w:pStyle w:val="BodyText"/>
      </w:pPr>
      <w:r>
        <w:rPr>
          <w:iCs/>
          <w:i/>
        </w:rPr>
        <w:t xml:space="preserve">SIPOC for this step.</w:t>
      </w:r>
    </w:p>
    <w:tbl>
      <w:tblPr>
        <w:tblStyle w:val="Table"/>
        <w:tblW w:type="pct" w:w="4973"/>
        <w:tblLook w:firstRow="1" w:lastRow="0" w:firstColumn="0" w:lastColumn="0" w:noHBand="0" w:noVBand="0" w:val="0020"/>
        <w:jc w:val="start"/>
      </w:tblPr>
      <w:tblGrid>
        <w:gridCol w:w="2948"/>
        <w:gridCol w:w="2906"/>
        <w:gridCol w:w="652"/>
        <w:gridCol w:w="568"/>
        <w:gridCol w:w="80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Executive Sponsor / Steering Committee; Functional Process Owners; Enterprise architecture / IT strategy; External advisory (if engaged).</w:t>
            </w:r>
          </w:p>
        </w:tc>
        <w:tc>
          <w:tcPr/>
          <w:p>
            <w:pPr>
              <w:pStyle w:val="Compact"/>
              <w:jc w:val="left"/>
            </w:pPr>
            <w:r>
              <w:t xml:space="preserve">Strategic mandate and budget approval; current-state process documentation; pain-point interview notes; org chart and stakeholder list.</w:t>
            </w:r>
          </w:p>
        </w:tc>
        <w:tc>
          <w:tcPr/>
          <w:p>
            <w:pPr>
              <w:pStyle w:val="Compact"/>
              <w:jc w:val="left"/>
            </w:pPr>
            <w:r>
              <w:t xml:space="preserve">Future-state process mapping</w:t>
            </w:r>
          </w:p>
        </w:tc>
        <w:tc>
          <w:tcPr/>
          <w:p>
            <w:pPr>
              <w:pStyle w:val="Compact"/>
              <w:jc w:val="left"/>
            </w:pPr>
            <w:r>
              <w:t xml:space="preserve">Future-state process map</w:t>
            </w:r>
          </w:p>
        </w:tc>
        <w:tc>
          <w:tcPr/>
          <w:p>
            <w:pPr>
              <w:pStyle w:val="Compact"/>
              <w:jc w:val="left"/>
            </w:pPr>
            <w:r>
              <w:t xml:space="preserve">Step 2 (Design-principles workshop)</w:t>
            </w:r>
          </w:p>
        </w:tc>
      </w:tr>
    </w:tbl>
    <w:p>
      <w:pPr>
        <w:pStyle w:val="BodyText"/>
      </w:pPr>
      <w:r>
        <w:rPr>
          <w:iCs/>
          <w:i/>
        </w:rPr>
        <w:t xml:space="preserve">Technique detail for this step.</w:t>
      </w:r>
    </w:p>
    <w:tbl>
      <w:tblPr>
        <w:tblStyle w:val="Table"/>
        <w:tblW w:type="pct" w:w="4941"/>
        <w:tblLook w:firstRow="1" w:lastRow="0" w:firstColumn="0" w:lastColumn="0" w:noHBand="0" w:noVBand="0" w:val="0020"/>
        <w:jc w:val="start"/>
      </w:tblPr>
      <w:tblGrid>
        <w:gridCol w:w="1444"/>
        <w:gridCol w:w="638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Future-state process mapping</w:t>
            </w:r>
          </w:p>
        </w:tc>
      </w:tr>
      <w:tr>
        <w:tc>
          <w:tcPr/>
          <w:p>
            <w:pPr>
              <w:pStyle w:val="Compact"/>
              <w:jc w:val="left"/>
            </w:pPr>
            <w:r>
              <w:t xml:space="preserve">Technique Goal</w:t>
            </w:r>
          </w:p>
        </w:tc>
        <w:tc>
          <w:tcPr/>
          <w:p>
            <w:pPr>
              <w:pStyle w:val="Compact"/>
              <w:jc w:val="left"/>
            </w:pPr>
            <w:r>
              <w:t xml:space="preserve">Document the target-state workflow at a working level of detail.</w:t>
            </w:r>
          </w:p>
        </w:tc>
      </w:tr>
      <w:tr>
        <w:tc>
          <w:tcPr/>
          <w:p>
            <w:pPr>
              <w:pStyle w:val="Compact"/>
              <w:jc w:val="left"/>
            </w:pPr>
            <w:r>
              <w:t xml:space="preserve">Technique Details</w:t>
            </w:r>
          </w:p>
        </w:tc>
        <w:tc>
          <w:tcPr/>
          <w:p>
            <w:pPr>
              <w:pStyle w:val="Compact"/>
              <w:jc w:val="left"/>
            </w:pPr>
            <w:r>
              <w:t xml:space="preserve">Redraw the as-is map to the agreed target state, step by step, with the FPO validating each change against real operating constraints.</w:t>
            </w:r>
          </w:p>
        </w:tc>
      </w:tr>
      <w:tr>
        <w:tc>
          <w:tcPr/>
          <w:p>
            <w:pPr>
              <w:pStyle w:val="Compact"/>
              <w:jc w:val="left"/>
            </w:pPr>
            <w:r>
              <w:t xml:space="preserve">Recommended Open-Source Tool</w:t>
            </w:r>
          </w:p>
        </w:tc>
        <w:tc>
          <w:tcPr/>
          <w:p>
            <w:pPr>
              <w:pStyle w:val="Compact"/>
              <w:jc w:val="left"/>
            </w:pPr>
            <w:r>
              <w:t xml:space="preserve">BPMN.io</w:t>
            </w:r>
          </w:p>
        </w:tc>
      </w:tr>
    </w:tbl>
    <w:p>
      <w:pPr>
        <w:pStyle w:val="BodyText"/>
      </w:pPr>
      <w:r>
        <w:rPr>
          <w:bCs/>
          <w:b/>
          <w:color w:val="5A8F89"/>
          <w:sz w:val="22"/>
        </w:rPr>
        <w:t xml:space="preserve">Step 2 — Agree the design principles</w:t>
      </w:r>
    </w:p>
    <w:p>
      <w:pPr>
        <w:pStyle w:val="BodyText"/>
      </w:pPr>
      <w:r>
        <w:t xml:space="preserve">Design principles exist so that dozens of small configuration decisions later don't each reopen a philosophical debate — they get checked against a rule instead.</w:t>
      </w:r>
    </w:p>
    <w:p>
      <w:pPr>
        <w:pStyle w:val="BodyText"/>
      </w:pPr>
      <w:r>
        <w:rPr>
          <w:iCs/>
          <w:i/>
        </w:rPr>
        <w:t xml:space="preserve">SIPOC for this step.</w:t>
      </w:r>
    </w:p>
    <w:tbl>
      <w:tblPr>
        <w:tblStyle w:val="Table"/>
        <w:tblW w:type="pct" w:w="4953"/>
        <w:tblLook w:firstRow="1" w:lastRow="0" w:firstColumn="0" w:lastColumn="0" w:noHBand="0" w:noVBand="0" w:val="0020"/>
        <w:jc w:val="start"/>
      </w:tblPr>
      <w:tblGrid>
        <w:gridCol w:w="1850"/>
        <w:gridCol w:w="999"/>
        <w:gridCol w:w="1073"/>
        <w:gridCol w:w="1147"/>
        <w:gridCol w:w="277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(Future-state process mapping)</w:t>
            </w:r>
          </w:p>
        </w:tc>
        <w:tc>
          <w:tcPr/>
          <w:p>
            <w:pPr>
              <w:pStyle w:val="Compact"/>
              <w:jc w:val="left"/>
            </w:pPr>
            <w:r>
              <w:t xml:space="preserve">Future-state process map</w:t>
            </w:r>
          </w:p>
        </w:tc>
        <w:tc>
          <w:tcPr/>
          <w:p>
            <w:pPr>
              <w:pStyle w:val="Compact"/>
              <w:jc w:val="left"/>
            </w:pPr>
            <w:r>
              <w:t xml:space="preserve">Design-principles workshop</w:t>
            </w:r>
          </w:p>
        </w:tc>
        <w:tc>
          <w:tcPr/>
          <w:p>
            <w:pPr>
              <w:pStyle w:val="Compact"/>
              <w:jc w:val="left"/>
            </w:pPr>
            <w:r>
              <w:t xml:space="preserve">Signed-off design principles</w:t>
            </w:r>
          </w:p>
        </w:tc>
        <w:tc>
          <w:tcPr/>
          <w:p>
            <w:pPr>
              <w:pStyle w:val="Compact"/>
              <w:jc w:val="left"/>
            </w:pPr>
            <w:r>
              <w:t xml:space="preserve">Steering Committee; Functional leaders; Program Manager; Change Manager.</w:t>
            </w:r>
          </w:p>
        </w:tc>
      </w:tr>
    </w:tbl>
    <w:p>
      <w:pPr>
        <w:pStyle w:val="BodyText"/>
      </w:pPr>
      <w:r>
        <w:rPr>
          <w:iCs/>
          <w:i/>
        </w:rPr>
        <w:t xml:space="preserve">Technique detail for this step.</w:t>
      </w:r>
    </w:p>
    <w:tbl>
      <w:tblPr>
        <w:tblStyle w:val="Table"/>
        <w:tblW w:type="pct" w:w="4945"/>
        <w:tblLook w:firstRow="1" w:lastRow="0" w:firstColumn="0" w:lastColumn="0" w:noHBand="0" w:noVBand="0" w:val="0020"/>
        <w:jc w:val="start"/>
      </w:tblPr>
      <w:tblGrid>
        <w:gridCol w:w="1349"/>
        <w:gridCol w:w="6483"/>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Design-principles workshop</w:t>
            </w:r>
          </w:p>
        </w:tc>
      </w:tr>
      <w:tr>
        <w:tc>
          <w:tcPr/>
          <w:p>
            <w:pPr>
              <w:pStyle w:val="Compact"/>
              <w:jc w:val="left"/>
            </w:pPr>
            <w:r>
              <w:t xml:space="preserve">Technique Goal</w:t>
            </w:r>
          </w:p>
        </w:tc>
        <w:tc>
          <w:tcPr/>
          <w:p>
            <w:pPr>
              <w:pStyle w:val="Compact"/>
              <w:jc w:val="left"/>
            </w:pPr>
            <w:r>
              <w:t xml:space="preserve">Agree the non-negotiable design constraints before configuration starts.</w:t>
            </w:r>
          </w:p>
        </w:tc>
      </w:tr>
      <w:tr>
        <w:tc>
          <w:tcPr/>
          <w:p>
            <w:pPr>
              <w:pStyle w:val="Compact"/>
              <w:jc w:val="left"/>
            </w:pPr>
            <w:r>
              <w:t xml:space="preserve">Technique Details</w:t>
            </w:r>
          </w:p>
        </w:tc>
        <w:tc>
          <w:tcPr/>
          <w:p>
            <w:pPr>
              <w:pStyle w:val="Compact"/>
              <w:jc w:val="left"/>
            </w:pPr>
            <w:r>
              <w:t xml:space="preserve">Facilitate a session to agree 5–8 written design principles (e.g. </w:t>
            </w:r>
            <w:r>
              <w:t xml:space="preserve">“</w:t>
            </w:r>
            <w:r>
              <w:t xml:space="preserve">no duplicate approvals</w:t>
            </w:r>
            <w:r>
              <w:t xml:space="preserve">”</w:t>
            </w:r>
            <w:r>
              <w:t xml:space="preserve">) that every later configuration decision must satisfy.</w:t>
            </w:r>
          </w:p>
        </w:tc>
      </w:tr>
      <w:tr>
        <w:tc>
          <w:tcPr/>
          <w:p>
            <w:pPr>
              <w:pStyle w:val="Compact"/>
              <w:jc w:val="left"/>
            </w:pPr>
            <w:r>
              <w:t xml:space="preserve">Recommended Open-Source Tool</w:t>
            </w:r>
          </w:p>
        </w:tc>
        <w:tc>
          <w:tcPr/>
          <w:p>
            <w:pPr>
              <w:pStyle w:val="Compact"/>
              <w:jc w:val="left"/>
            </w:pPr>
            <w:r>
              <w:t xml:space="preserve">draw.io (diagrams.net)</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PM, FPO</w:t>
            </w:r>
          </w:p>
        </w:tc>
        <w:tc>
          <w:tcPr/>
          <w:p>
            <w:pPr>
              <w:pStyle w:val="Compact"/>
              <w:jc w:val="left"/>
            </w:pPr>
            <w:r>
              <w:t xml:space="preserve">ES</w:t>
            </w:r>
          </w:p>
        </w:tc>
        <w:tc>
          <w:tcPr/>
          <w:p>
            <w:pPr>
              <w:pStyle w:val="Compact"/>
              <w:jc w:val="left"/>
            </w:pPr>
            <w:r>
              <w:t xml:space="preserve">CM</w:t>
            </w:r>
          </w:p>
        </w:tc>
        <w:tc>
          <w:tcPr/>
          <w:p>
            <w:pPr>
              <w:pStyle w:val="Compact"/>
              <w:jc w:val="left"/>
            </w:pPr>
            <w:r>
              <w:t xml:space="preserve">ITL</w:t>
            </w:r>
          </w:p>
        </w:tc>
        <w:tc>
          <w:tcPr/>
          <w:p>
            <w:pPr>
              <w:pStyle w:val="Compact"/>
              <w:jc w:val="left"/>
            </w:pPr>
            <w:r>
              <w:t xml:space="preserve">SUP, EU</w:t>
            </w:r>
          </w:p>
        </w:tc>
      </w:tr>
    </w:tbl>
    <w:p>
      <w:pPr>
        <w:pStyle w:val="BodyText"/>
      </w:pPr>
      <w:r>
        <w:rPr>
          <w:bCs/>
          <w:b/>
          <w:color w:val="3F827B"/>
          <w:sz w:val="24"/>
        </w:rPr>
        <w:t xml:space="preserve">Task 4 — [CHANGE] Open the Change Management project; set the Lewin phase</w:t>
      </w:r>
    </w:p>
    <w:p>
      <w:pPr>
        <w:pStyle w:val="BodyText"/>
      </w:pPr>
      <w:r>
        <w:rPr>
          <w:bCs/>
          <w:b/>
        </w:rPr>
        <w:t xml:space="preserve">journi:</w:t>
      </w:r>
      <w:r>
        <w:t xml:space="preserve"> </w:t>
      </w:r>
      <w:r>
        <w:rPr>
          <w:iCs/>
          <w:i/>
        </w:rPr>
        <w:t xml:space="preserve">This is entered/updated in journi — M3.</w:t>
      </w:r>
    </w:p>
    <w:p>
      <w:pPr>
        <w:pStyle w:val="BodyText"/>
      </w:pPr>
      <w:r>
        <w:rPr>
          <w:bCs/>
          <w:b/>
          <w:color w:val="5A8F89"/>
          <w:sz w:val="22"/>
        </w:rPr>
        <w:t xml:space="preserve">Step 1 — Register the initiative in journi</w:t>
      </w:r>
    </w:p>
    <w:p>
      <w:pPr>
        <w:pStyle w:val="BodyText"/>
      </w:pPr>
      <w:r>
        <w:t xml:space="preserve">Everything else in this guide assumes the initiative already exists as a journi record; this is the administrative first step that makes all later tracking possible.</w:t>
      </w:r>
    </w:p>
    <w:p>
      <w:pPr>
        <w:pStyle w:val="BodyText"/>
      </w:pPr>
      <w:r>
        <w:rPr>
          <w:iCs/>
          <w:i/>
        </w:rPr>
        <w:t xml:space="preserve">SIPOC for this step.</w:t>
      </w:r>
    </w:p>
    <w:tbl>
      <w:tblPr>
        <w:tblStyle w:val="Table"/>
        <w:tblW w:type="pct" w:w="4973"/>
        <w:tblLook w:firstRow="1" w:lastRow="0" w:firstColumn="0" w:lastColumn="0" w:noHBand="0" w:noVBand="0" w:val="0020"/>
        <w:jc w:val="start"/>
      </w:tblPr>
      <w:tblGrid>
        <w:gridCol w:w="2964"/>
        <w:gridCol w:w="2922"/>
        <w:gridCol w:w="550"/>
        <w:gridCol w:w="571"/>
        <w:gridCol w:w="86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Executive Sponsor / Steering Committee; Functional Process Owners; Enterprise architecture / IT strategy; External advisory (if engaged).</w:t>
            </w:r>
          </w:p>
        </w:tc>
        <w:tc>
          <w:tcPr/>
          <w:p>
            <w:pPr>
              <w:pStyle w:val="Compact"/>
              <w:jc w:val="left"/>
            </w:pPr>
            <w:r>
              <w:t xml:space="preserve">Strategic mandate and budget approval; current-state process documentation; pain-point interview notes; org chart and stakeholder list.</w:t>
            </w:r>
          </w:p>
        </w:tc>
        <w:tc>
          <w:tcPr/>
          <w:p>
            <w:pPr>
              <w:pStyle w:val="Compact"/>
              <w:jc w:val="left"/>
            </w:pPr>
            <w:r>
              <w:t xml:space="preserve">Initiative registration</w:t>
            </w:r>
          </w:p>
        </w:tc>
        <w:tc>
          <w:tcPr/>
          <w:p>
            <w:pPr>
              <w:pStyle w:val="Compact"/>
              <w:jc w:val="left"/>
            </w:pPr>
            <w:r>
              <w:t xml:space="preserve">Registered CM initiative</w:t>
            </w:r>
          </w:p>
        </w:tc>
        <w:tc>
          <w:tcPr/>
          <w:p>
            <w:pPr>
              <w:pStyle w:val="Compact"/>
              <w:jc w:val="left"/>
            </w:pPr>
            <w:r>
              <w:t xml:space="preserve">Step 2 (Facilitated phase-call review)</w:t>
            </w:r>
          </w:p>
        </w:tc>
      </w:tr>
    </w:tbl>
    <w:p>
      <w:pPr>
        <w:pStyle w:val="BodyText"/>
      </w:pPr>
      <w:r>
        <w:rPr>
          <w:iCs/>
          <w:i/>
        </w:rPr>
        <w:t xml:space="preserve">Technique detail for this step.</w:t>
      </w:r>
    </w:p>
    <w:tbl>
      <w:tblPr>
        <w:tblStyle w:val="Table"/>
        <w:tblW w:type="pct" w:w="4930"/>
        <w:tblLook w:firstRow="1" w:lastRow="0" w:firstColumn="0" w:lastColumn="0" w:noHBand="0" w:noVBand="0" w:val="0020"/>
        <w:jc w:val="start"/>
      </w:tblPr>
      <w:tblGrid>
        <w:gridCol w:w="1716"/>
        <w:gridCol w:w="609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Initiative registration</w:t>
            </w:r>
          </w:p>
        </w:tc>
      </w:tr>
      <w:tr>
        <w:tc>
          <w:tcPr/>
          <w:p>
            <w:pPr>
              <w:pStyle w:val="Compact"/>
              <w:jc w:val="left"/>
            </w:pPr>
            <w:r>
              <w:t xml:space="preserve">Technique Goal</w:t>
            </w:r>
          </w:p>
        </w:tc>
        <w:tc>
          <w:tcPr/>
          <w:p>
            <w:pPr>
              <w:pStyle w:val="Compact"/>
              <w:jc w:val="left"/>
            </w:pPr>
            <w:r>
              <w:t xml:space="preserve">Formally register the CM project and baseline scope in the Initiative Registry.</w:t>
            </w:r>
          </w:p>
        </w:tc>
      </w:tr>
      <w:tr>
        <w:tc>
          <w:tcPr/>
          <w:p>
            <w:pPr>
              <w:pStyle w:val="Compact"/>
              <w:jc w:val="left"/>
            </w:pPr>
            <w:r>
              <w:t xml:space="preserve">Technique Details</w:t>
            </w:r>
          </w:p>
        </w:tc>
        <w:tc>
          <w:tcPr/>
          <w:p>
            <w:pPr>
              <w:pStyle w:val="Compact"/>
              <w:jc w:val="left"/>
            </w:pPr>
            <w:r>
              <w:t xml:space="preserve">Create the initiative record with scope, sponsor, timeline and linked Project Management project reference.</w:t>
            </w:r>
          </w:p>
        </w:tc>
      </w:tr>
      <w:tr>
        <w:tc>
          <w:tcPr/>
          <w:p>
            <w:pPr>
              <w:pStyle w:val="Compact"/>
              <w:jc w:val="left"/>
            </w:pPr>
            <w:r>
              <w:t xml:space="preserve">Recommended Open-Source Tool</w:t>
            </w:r>
          </w:p>
        </w:tc>
        <w:tc>
          <w:tcPr/>
          <w:p>
            <w:pPr>
              <w:pStyle w:val="Compact"/>
              <w:jc w:val="left"/>
            </w:pPr>
            <w:r>
              <w:t xml:space="preserve">OpenProject</w:t>
            </w:r>
          </w:p>
        </w:tc>
      </w:tr>
    </w:tbl>
    <w:p>
      <w:pPr>
        <w:pStyle w:val="BodyText"/>
      </w:pPr>
      <w:r>
        <w:rPr>
          <w:bCs/>
          <w:b/>
        </w:rPr>
        <w:t xml:space="preserve">journi:</w:t>
      </w:r>
      <w:r>
        <w:t xml:space="preserve"> </w:t>
      </w:r>
      <w:r>
        <w:rPr>
          <w:iCs/>
          <w:i/>
        </w:rPr>
        <w:t xml:space="preserve">This is entered/updated in journi — M3 — Initiative &amp; Portfolio Registry.</w:t>
      </w:r>
    </w:p>
    <w:p>
      <w:pPr>
        <w:pStyle w:val="BodyText"/>
      </w:pPr>
      <w:r>
        <w:rPr>
          <w:bCs/>
          <w:b/>
          <w:color w:val="5A8F89"/>
          <w:sz w:val="22"/>
        </w:rPr>
        <w:t xml:space="preserve">Step 2 — Review evidence and set the phase</w:t>
      </w:r>
    </w:p>
    <w:p>
      <w:pPr>
        <w:pStyle w:val="BodyText"/>
      </w:pPr>
      <w:r>
        <w:t xml:space="preserve">Setting Unfreeze here, rather than defaulting to it because the program just started, establishes the discipline of evidence-based phase calls that the rest of the program depends on.</w:t>
      </w:r>
    </w:p>
    <w:p>
      <w:pPr>
        <w:pStyle w:val="BodyText"/>
      </w:pPr>
      <w:r>
        <w:rPr>
          <w:iCs/>
          <w:i/>
        </w:rPr>
        <w:t xml:space="preserve">SIPOC for this step.</w:t>
      </w:r>
    </w:p>
    <w:tbl>
      <w:tblPr>
        <w:tblStyle w:val="Table"/>
        <w:tblW w:type="pct" w:w="4955"/>
        <w:tblLook w:firstRow="1" w:lastRow="0" w:firstColumn="0" w:lastColumn="0" w:noHBand="0" w:noVBand="0" w:val="0020"/>
        <w:jc w:val="start"/>
      </w:tblPr>
      <w:tblGrid>
        <w:gridCol w:w="1612"/>
        <w:gridCol w:w="967"/>
        <w:gridCol w:w="1146"/>
        <w:gridCol w:w="1433"/>
        <w:gridCol w:w="268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(Initiative registration)</w:t>
            </w:r>
          </w:p>
        </w:tc>
        <w:tc>
          <w:tcPr/>
          <w:p>
            <w:pPr>
              <w:pStyle w:val="Compact"/>
              <w:jc w:val="left"/>
            </w:pPr>
            <w:r>
              <w:t xml:space="preserve">Registered CM initiative</w:t>
            </w:r>
          </w:p>
        </w:tc>
        <w:tc>
          <w:tcPr/>
          <w:p>
            <w:pPr>
              <w:pStyle w:val="Compact"/>
              <w:jc w:val="left"/>
            </w:pPr>
            <w:r>
              <w:t xml:space="preserve">Facilitated phase-call review</w:t>
            </w:r>
          </w:p>
        </w:tc>
        <w:tc>
          <w:tcPr/>
          <w:p>
            <w:pPr>
              <w:pStyle w:val="Compact"/>
              <w:jc w:val="left"/>
            </w:pPr>
            <w:r>
              <w:t xml:space="preserve">Documented Lewin phase-call rationale</w:t>
            </w:r>
          </w:p>
        </w:tc>
        <w:tc>
          <w:tcPr/>
          <w:p>
            <w:pPr>
              <w:pStyle w:val="Compact"/>
              <w:jc w:val="left"/>
            </w:pPr>
            <w:r>
              <w:t xml:space="preserve">Steering Committee; Functional leaders; Program Manager; Change Manager.</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79"/>
        <w:gridCol w:w="634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Facilitated phase-call review</w:t>
            </w:r>
          </w:p>
        </w:tc>
      </w:tr>
      <w:tr>
        <w:tc>
          <w:tcPr/>
          <w:p>
            <w:pPr>
              <w:pStyle w:val="Compact"/>
              <w:jc w:val="left"/>
            </w:pPr>
            <w:r>
              <w:t xml:space="preserve">Technique Goal</w:t>
            </w:r>
          </w:p>
        </w:tc>
        <w:tc>
          <w:tcPr/>
          <w:p>
            <w:pPr>
              <w:pStyle w:val="Compact"/>
              <w:jc w:val="left"/>
            </w:pPr>
            <w:r>
              <w:t xml:space="preserve">Set the initial Lewin phase from qualitative evidence, not assumption.</w:t>
            </w:r>
          </w:p>
        </w:tc>
      </w:tr>
      <w:tr>
        <w:tc>
          <w:tcPr/>
          <w:p>
            <w:pPr>
              <w:pStyle w:val="Compact"/>
              <w:jc w:val="left"/>
            </w:pPr>
            <w:r>
              <w:t xml:space="preserve">Technique Details</w:t>
            </w:r>
          </w:p>
        </w:tc>
        <w:tc>
          <w:tcPr/>
          <w:p>
            <w:pPr>
              <w:pStyle w:val="Compact"/>
              <w:jc w:val="left"/>
            </w:pPr>
            <w:r>
              <w:t xml:space="preserve">Review discovery-workshop signals against the Section 3 signal catalogue with the CM and Sponsor before selecting the phase value.</w:t>
            </w:r>
          </w:p>
        </w:tc>
      </w:tr>
      <w:tr>
        <w:tc>
          <w:tcPr/>
          <w:p>
            <w:pPr>
              <w:pStyle w:val="Compact"/>
              <w:jc w:val="left"/>
            </w:pPr>
            <w:r>
              <w:t xml:space="preserve">Recommended Open-Source Tool</w:t>
            </w:r>
          </w:p>
        </w:tc>
        <w:tc>
          <w:tcPr/>
          <w:p>
            <w:pPr>
              <w:pStyle w:val="Compact"/>
              <w:jc w:val="left"/>
            </w:pPr>
            <w:r>
              <w:t xml:space="preserve">OpenProject (wiki page for rationale)</w:t>
            </w:r>
          </w:p>
        </w:tc>
      </w:tr>
    </w:tbl>
    <w:p>
      <w:pPr>
        <w:pStyle w:val="BodyText"/>
      </w:pPr>
      <w:r>
        <w:rPr>
          <w:bCs/>
          <w:b/>
        </w:rPr>
        <w:t xml:space="preserve">journi:</w:t>
      </w:r>
      <w:r>
        <w:t xml:space="preserve"> </w:t>
      </w:r>
      <w:r>
        <w:rPr>
          <w:iCs/>
          <w:i/>
        </w:rPr>
        <w:t xml:space="preserve">This is entered/updated in journi — M3 — Initiative &amp; Portfolio Registry.</w:t>
      </w:r>
    </w:p>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FPO, ES</w:t>
            </w:r>
          </w:p>
        </w:tc>
        <w:tc>
          <w:tcPr/>
          <w:p>
            <w:pPr>
              <w:pStyle w:val="Compact"/>
              <w:jc w:val="left"/>
            </w:pPr>
            <w:r>
              <w:t xml:space="preserve">PM</w:t>
            </w:r>
          </w:p>
        </w:tc>
        <w:tc>
          <w:tcPr/>
          <w:p>
            <w:pPr>
              <w:pStyle w:val="Compact"/>
              <w:jc w:val="left"/>
            </w:pPr>
            <w:r>
              <w:t xml:space="preserve">SUP, ITL, EU</w:t>
            </w:r>
          </w:p>
        </w:tc>
      </w:tr>
    </w:tbl>
    <w:p>
      <w:pPr>
        <w:pStyle w:val="BodyText"/>
      </w:pPr>
      <w:r>
        <w:rPr>
          <w:bCs/>
          <w:b/>
          <w:color w:val="3F827B"/>
          <w:sz w:val="24"/>
        </w:rPr>
        <w:t xml:space="preserve">Task 5 — [CHANGE] Run the baseline ADKAR / Bridges / Kübler-Ross pulse</w:t>
      </w:r>
    </w:p>
    <w:p>
      <w:pPr>
        <w:pStyle w:val="BodyText"/>
      </w:pPr>
      <w:r>
        <w:rPr>
          <w:bCs/>
          <w:b/>
        </w:rPr>
        <w:t xml:space="preserve">journi:</w:t>
      </w:r>
      <w:r>
        <w:t xml:space="preserve"> </w:t>
      </w:r>
      <w:r>
        <w:rPr>
          <w:iCs/>
          <w:i/>
        </w:rPr>
        <w:t xml:space="preserve">This is entered/updated in journi — M5–M6.</w:t>
      </w:r>
    </w:p>
    <w:p>
      <w:pPr>
        <w:pStyle w:val="BodyText"/>
      </w:pPr>
      <w:r>
        <w:rPr>
          <w:bCs/>
          <w:b/>
          <w:color w:val="5A8F89"/>
          <w:sz w:val="22"/>
        </w:rPr>
        <w:t xml:space="preserve">Step 1 — Survey the full population</w:t>
      </w:r>
    </w:p>
    <w:p>
      <w:pPr>
        <w:pStyle w:val="BodyText"/>
      </w:pPr>
      <w:r>
        <w:t xml:space="preserve">Every later comparison in this program — wave 2, post-go-live, the Meridian-style trend lines — is only meaningful relative to this Month-0 reading, so it is worth getting a strong response rate here.</w:t>
      </w:r>
    </w:p>
    <w:p>
      <w:pPr>
        <w:pStyle w:val="BodyText"/>
      </w:pPr>
      <w:r>
        <w:rPr>
          <w:iCs/>
          <w:i/>
        </w:rPr>
        <w:t xml:space="preserve">SIPOC for this step.</w:t>
      </w:r>
    </w:p>
    <w:tbl>
      <w:tblPr>
        <w:tblStyle w:val="Table"/>
        <w:tblW w:type="pct" w:w="4974"/>
        <w:tblLook w:firstRow="1" w:lastRow="0" w:firstColumn="0" w:lastColumn="0" w:noHBand="0" w:noVBand="0" w:val="0020"/>
        <w:jc w:val="start"/>
      </w:tblPr>
      <w:tblGrid>
        <w:gridCol w:w="2917"/>
        <w:gridCol w:w="2876"/>
        <w:gridCol w:w="312"/>
        <w:gridCol w:w="979"/>
        <w:gridCol w:w="79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Executive Sponsor / Steering Committee; Functional Process Owners; Enterprise architecture / IT strategy; External advisory (if engaged).</w:t>
            </w:r>
          </w:p>
        </w:tc>
        <w:tc>
          <w:tcPr/>
          <w:p>
            <w:pPr>
              <w:pStyle w:val="Compact"/>
              <w:jc w:val="left"/>
            </w:pPr>
            <w:r>
              <w:t xml:space="preserve">Strategic mandate and budget approval; current-state process documentation; pain-point interview notes; org chart and stakeholder list.</w:t>
            </w:r>
          </w:p>
        </w:tc>
        <w:tc>
          <w:tcPr/>
          <w:p>
            <w:pPr>
              <w:pStyle w:val="Compact"/>
              <w:jc w:val="left"/>
            </w:pPr>
            <w:r>
              <w:t xml:space="preserve">Pulse survey</w:t>
            </w:r>
          </w:p>
        </w:tc>
        <w:tc>
          <w:tcPr/>
          <w:p>
            <w:pPr>
              <w:pStyle w:val="Compact"/>
              <w:jc w:val="left"/>
            </w:pPr>
            <w:r>
              <w:t xml:space="preserve">Month-0 ADKAR / Bridges / Kübler-Ross scores</w:t>
            </w:r>
          </w:p>
        </w:tc>
        <w:tc>
          <w:tcPr/>
          <w:p>
            <w:pPr>
              <w:pStyle w:val="Compact"/>
              <w:jc w:val="left"/>
            </w:pPr>
            <w:r>
              <w:t xml:space="preserve">Step 2 (Sentiment / text analytics)</w:t>
            </w:r>
          </w:p>
        </w:tc>
      </w:tr>
    </w:tbl>
    <w:p>
      <w:pPr>
        <w:pStyle w:val="BodyText"/>
      </w:pPr>
      <w:r>
        <w:rPr>
          <w:iCs/>
          <w:i/>
        </w:rPr>
        <w:t xml:space="preserve">Technique detail for this step.</w:t>
      </w:r>
    </w:p>
    <w:tbl>
      <w:tblPr>
        <w:tblStyle w:val="Table"/>
        <w:tblW w:type="pct" w:w="4944"/>
        <w:tblLook w:firstRow="1" w:lastRow="0" w:firstColumn="0" w:lastColumn="0" w:noHBand="0" w:noVBand="0" w:val="0020"/>
        <w:jc w:val="start"/>
      </w:tblPr>
      <w:tblGrid>
        <w:gridCol w:w="1379"/>
        <w:gridCol w:w="6451"/>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Pulse survey</w:t>
            </w:r>
          </w:p>
        </w:tc>
      </w:tr>
      <w:tr>
        <w:tc>
          <w:tcPr/>
          <w:p>
            <w:pPr>
              <w:pStyle w:val="Compact"/>
              <w:jc w:val="left"/>
            </w:pPr>
            <w:r>
              <w:t xml:space="preserve">Technique Goal</w:t>
            </w:r>
          </w:p>
        </w:tc>
        <w:tc>
          <w:tcPr/>
          <w:p>
            <w:pPr>
              <w:pStyle w:val="Compact"/>
              <w:jc w:val="left"/>
            </w:pPr>
            <w:r>
              <w:t xml:space="preserve">Quantify the Month-0 Awareness / Desire baseline at population scale.</w:t>
            </w:r>
          </w:p>
        </w:tc>
      </w:tr>
      <w:tr>
        <w:tc>
          <w:tcPr/>
          <w:p>
            <w:pPr>
              <w:pStyle w:val="Compact"/>
              <w:jc w:val="left"/>
            </w:pPr>
            <w:r>
              <w:t xml:space="preserve">Technique Details</w:t>
            </w:r>
          </w:p>
        </w:tc>
        <w:tc>
          <w:tcPr/>
          <w:p>
            <w:pPr>
              <w:pStyle w:val="Compact"/>
              <w:jc w:val="left"/>
            </w:pPr>
            <w:r>
              <w:t xml:space="preserve">Distribute a 12-question survey covering all five ADKAR blocks plus a Bridges/Kübler-Ross self-placement item to the full impacted population.</w:t>
            </w:r>
          </w:p>
        </w:tc>
      </w:tr>
      <w:tr>
        <w:tc>
          <w:tcPr/>
          <w:p>
            <w:pPr>
              <w:pStyle w:val="Compact"/>
              <w:jc w:val="left"/>
            </w:pPr>
            <w:r>
              <w:t xml:space="preserve">Recommended Open-Source Tool</w:t>
            </w:r>
          </w:p>
        </w:tc>
        <w:tc>
          <w:tcPr/>
          <w:p>
            <w:pPr>
              <w:pStyle w:val="Compact"/>
              <w:jc w:val="left"/>
            </w:pPr>
            <w:r>
              <w:t xml:space="preserve">LimeSurvey</w:t>
            </w:r>
          </w:p>
        </w:tc>
      </w:tr>
    </w:tbl>
    <w:p>
      <w:pPr>
        <w:pStyle w:val="BodyText"/>
      </w:pPr>
      <w:r>
        <w:rPr>
          <w:bCs/>
          <w:b/>
        </w:rPr>
        <w:t xml:space="preserve">journi:</w:t>
      </w:r>
      <w:r>
        <w:t xml:space="preserve"> </w:t>
      </w:r>
      <w:r>
        <w:rPr>
          <w:iCs/>
          <w:i/>
        </w:rPr>
        <w:t xml:space="preserve">This is entered/updated in journi — M5 — ADKAR Engine; M6 — Emotional &amp; Transition Layer.</w:t>
      </w:r>
    </w:p>
    <w:p>
      <w:pPr>
        <w:pStyle w:val="BodyText"/>
      </w:pPr>
      <w:r>
        <w:rPr>
          <w:bCs/>
          <w:b/>
          <w:color w:val="5A8F89"/>
          <w:sz w:val="22"/>
        </w:rPr>
        <w:t xml:space="preserve">Step 2 — Mine open comments for themes</w:t>
      </w:r>
    </w:p>
    <w:p>
      <w:pPr>
        <w:pStyle w:val="BodyText"/>
      </w:pPr>
      <w:r>
        <w:t xml:space="preserve">The numeric scores tell you how people feel; the free-text answers tell you why — and why is what the Section 2 communications plan and the FAQ need to address first.</w:t>
      </w:r>
    </w:p>
    <w:p>
      <w:pPr>
        <w:pStyle w:val="BodyText"/>
      </w:pPr>
      <w:r>
        <w:rPr>
          <w:iCs/>
          <w:i/>
        </w:rPr>
        <w:t xml:space="preserve">SIPOC for this step.</w:t>
      </w:r>
    </w:p>
    <w:tbl>
      <w:tblPr>
        <w:tblStyle w:val="Table"/>
        <w:tblW w:type="pct" w:w="4956"/>
        <w:tblLook w:firstRow="1" w:lastRow="0" w:firstColumn="0" w:lastColumn="0" w:noHBand="0" w:noVBand="0" w:val="0020"/>
        <w:jc w:val="start"/>
      </w:tblPr>
      <w:tblGrid>
        <w:gridCol w:w="1191"/>
        <w:gridCol w:w="1647"/>
        <w:gridCol w:w="1016"/>
        <w:gridCol w:w="1366"/>
        <w:gridCol w:w="262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(Pulse survey)</w:t>
            </w:r>
          </w:p>
        </w:tc>
        <w:tc>
          <w:tcPr/>
          <w:p>
            <w:pPr>
              <w:pStyle w:val="Compact"/>
              <w:jc w:val="left"/>
            </w:pPr>
            <w:r>
              <w:t xml:space="preserve">Month-0 ADKAR / Bridges / Kübler-Ross scores</w:t>
            </w:r>
          </w:p>
        </w:tc>
        <w:tc>
          <w:tcPr/>
          <w:p>
            <w:pPr>
              <w:pStyle w:val="Compact"/>
              <w:jc w:val="left"/>
            </w:pPr>
            <w:r>
              <w:t xml:space="preserve">Sentiment / text analytics</w:t>
            </w:r>
          </w:p>
        </w:tc>
        <w:tc>
          <w:tcPr/>
          <w:p>
            <w:pPr>
              <w:pStyle w:val="Compact"/>
              <w:jc w:val="left"/>
            </w:pPr>
            <w:r>
              <w:t xml:space="preserve">Top-theme summary from open comments</w:t>
            </w:r>
          </w:p>
        </w:tc>
        <w:tc>
          <w:tcPr/>
          <w:p>
            <w:pPr>
              <w:pStyle w:val="Compact"/>
              <w:jc w:val="left"/>
            </w:pPr>
            <w:r>
              <w:t xml:space="preserve">Steering Committee; Functional leaders; Program Manager; Change Manager.</w:t>
            </w:r>
          </w:p>
        </w:tc>
      </w:tr>
    </w:tbl>
    <w:p>
      <w:pPr>
        <w:pStyle w:val="BodyText"/>
      </w:pPr>
      <w:r>
        <w:rPr>
          <w:iCs/>
          <w:i/>
        </w:rPr>
        <w:t xml:space="preserve">Technique detail for this step.</w:t>
      </w:r>
    </w:p>
    <w:tbl>
      <w:tblPr>
        <w:tblStyle w:val="Table"/>
        <w:tblW w:type="pct" w:w="4944"/>
        <w:tblLook w:firstRow="1" w:lastRow="0" w:firstColumn="0" w:lastColumn="0" w:noHBand="0" w:noVBand="0" w:val="0020"/>
        <w:jc w:val="start"/>
      </w:tblPr>
      <w:tblGrid>
        <w:gridCol w:w="1387"/>
        <w:gridCol w:w="6443"/>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Sentiment / text analytics</w:t>
            </w:r>
          </w:p>
        </w:tc>
      </w:tr>
      <w:tr>
        <w:tc>
          <w:tcPr/>
          <w:p>
            <w:pPr>
              <w:pStyle w:val="Compact"/>
              <w:jc w:val="left"/>
            </w:pPr>
            <w:r>
              <w:t xml:space="preserve">Technique Goal</w:t>
            </w:r>
          </w:p>
        </w:tc>
        <w:tc>
          <w:tcPr/>
          <w:p>
            <w:pPr>
              <w:pStyle w:val="Compact"/>
              <w:jc w:val="left"/>
            </w:pPr>
            <w:r>
              <w:t xml:space="preserve">Mine open-text pulse comments for early recurring themes.</w:t>
            </w:r>
          </w:p>
        </w:tc>
      </w:tr>
      <w:tr>
        <w:tc>
          <w:tcPr/>
          <w:p>
            <w:pPr>
              <w:pStyle w:val="Compact"/>
              <w:jc w:val="left"/>
            </w:pPr>
            <w:r>
              <w:t xml:space="preserve">Technique Details</w:t>
            </w:r>
          </w:p>
        </w:tc>
        <w:tc>
          <w:tcPr/>
          <w:p>
            <w:pPr>
              <w:pStyle w:val="Compact"/>
              <w:jc w:val="left"/>
            </w:pPr>
            <w:r>
              <w:t xml:space="preserve">Run the free-text responses through a keyword/theme extraction pass and summarize the top five recurring concerns for the Steering Committee.</w:t>
            </w:r>
          </w:p>
        </w:tc>
      </w:tr>
      <w:tr>
        <w:tc>
          <w:tcPr/>
          <w:p>
            <w:pPr>
              <w:pStyle w:val="Compact"/>
              <w:jc w:val="left"/>
            </w:pPr>
            <w:r>
              <w:t xml:space="preserve">Recommended Open-Source Tool</w:t>
            </w:r>
          </w:p>
        </w:tc>
        <w:tc>
          <w:tcPr/>
          <w:p>
            <w:pPr>
              <w:pStyle w:val="Compact"/>
              <w:jc w:val="left"/>
            </w:pPr>
            <w:r>
              <w:t xml:space="preserve">spaCy (Python NLP)</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EU</w:t>
            </w:r>
          </w:p>
        </w:tc>
        <w:tc>
          <w:tcPr/>
          <w:p>
            <w:pPr>
              <w:pStyle w:val="Compact"/>
              <w:jc w:val="left"/>
            </w:pPr>
            <w:r>
              <w:t xml:space="preserve">CM</w:t>
            </w:r>
          </w:p>
        </w:tc>
        <w:tc>
          <w:tcPr/>
          <w:p>
            <w:pPr>
              <w:pStyle w:val="Compact"/>
              <w:jc w:val="left"/>
            </w:pPr>
            <w:r>
              <w:t xml:space="preserve">FPO, SUP</w:t>
            </w:r>
          </w:p>
        </w:tc>
        <w:tc>
          <w:tcPr/>
          <w:p>
            <w:pPr>
              <w:pStyle w:val="Compact"/>
              <w:jc w:val="left"/>
            </w:pPr>
            <w:r>
              <w:t xml:space="preserve">PM</w:t>
            </w:r>
          </w:p>
        </w:tc>
        <w:tc>
          <w:tcPr/>
          <w:p>
            <w:pPr>
              <w:pStyle w:val="Compact"/>
              <w:jc w:val="left"/>
            </w:pPr>
            <w:r>
              <w:t xml:space="preserve">ES, ITL</w:t>
            </w:r>
          </w:p>
        </w:tc>
      </w:tr>
    </w:tbl>
    <w:p>
      <w:pPr>
        <w:pStyle w:val="BodyText"/>
      </w:pPr>
      <w:r>
        <w:rPr>
          <w:bCs/>
          <w:b/>
          <w:color w:val="275650"/>
          <w:sz w:val="27"/>
        </w:rPr>
        <w:t xml:space="preserve">6.2 Phase 2 — Build &amp; Configuration (Weeks 5–24)</w:t>
      </w:r>
    </w:p>
    <w:p>
      <w:pPr>
        <w:pStyle w:val="BodyText"/>
      </w:pPr>
      <w:r>
        <w:t xml:space="preserve">Technical configuration proceeds in parallel with the first communications wave and the recruitment of the change champion network.</w:t>
      </w:r>
    </w:p>
    <w:p>
      <w:pPr>
        <w:pStyle w:val="BodyText"/>
      </w:pPr>
      <w:r>
        <w:rPr>
          <w:bCs/>
          <w:b/>
        </w:rPr>
        <w:t xml:space="preserve">Timeline</w:t>
      </w:r>
    </w:p>
    <w:tbl>
      <w:tblPr>
        <w:tblStyle w:val="Table"/>
        <w:tblW w:type="pct" w:w="4932"/>
        <w:tblLook w:firstRow="1" w:lastRow="0" w:firstColumn="0" w:lastColumn="0" w:noHBand="0" w:noVBand="0" w:val="0020"/>
        <w:jc w:val="start"/>
      </w:tblPr>
      <w:tblGrid>
        <w:gridCol w:w="588"/>
        <w:gridCol w:w="5351"/>
        <w:gridCol w:w="1070"/>
        <w:gridCol w:w="802"/>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Owner(s)</w:t>
            </w:r>
          </w:p>
        </w:tc>
      </w:tr>
      <w:tr>
        <w:tc>
          <w:tcPr/>
          <w:p>
            <w:pPr>
              <w:pStyle w:val="Compact"/>
              <w:jc w:val="left"/>
            </w:pPr>
            <w:r>
              <w:t xml:space="preserve">W5–W6</w:t>
            </w:r>
          </w:p>
        </w:tc>
        <w:tc>
          <w:tcPr/>
          <w:p>
            <w:pPr>
              <w:pStyle w:val="Compact"/>
              <w:jc w:val="left"/>
            </w:pPr>
            <w:r>
              <w:t xml:space="preserve">Stand up the configuration environment; begin platform configuration against the approved design.</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W7–W8</w:t>
            </w:r>
          </w:p>
        </w:tc>
        <w:tc>
          <w:tcPr/>
          <w:p>
            <w:pPr>
              <w:pStyle w:val="Compact"/>
              <w:jc w:val="left"/>
            </w:pPr>
            <w:r>
              <w:t xml:space="preserve">Continue configuration; begin design-review checkpoints with functional owners.</w:t>
            </w:r>
          </w:p>
        </w:tc>
        <w:tc>
          <w:tcPr/>
          <w:p>
            <w:pPr>
              <w:pStyle w:val="Compact"/>
              <w:jc w:val="left"/>
            </w:pPr>
            <w:r>
              <w:t xml:space="preserve">—</w:t>
            </w:r>
          </w:p>
        </w:tc>
        <w:tc>
          <w:tcPr/>
          <w:p>
            <w:pPr>
              <w:pStyle w:val="Compact"/>
              <w:jc w:val="left"/>
            </w:pPr>
            <w:r>
              <w:t xml:space="preserve">ITL, FPO</w:t>
            </w:r>
          </w:p>
        </w:tc>
      </w:tr>
      <w:tr>
        <w:tc>
          <w:tcPr/>
          <w:p>
            <w:pPr>
              <w:pStyle w:val="Compact"/>
              <w:jc w:val="left"/>
            </w:pPr>
            <w:r>
              <w:t xml:space="preserve">W9–W10</w:t>
            </w:r>
          </w:p>
        </w:tc>
        <w:tc>
          <w:tcPr/>
          <w:p>
            <w:pPr>
              <w:pStyle w:val="Compact"/>
              <w:jc w:val="left"/>
            </w:pPr>
            <w:r>
              <w:t xml:space="preserve">Recruit change champion network nominees.</w:t>
            </w:r>
          </w:p>
        </w:tc>
        <w:tc>
          <w:tcPr/>
          <w:p>
            <w:pPr>
              <w:pStyle w:val="Compact"/>
              <w:jc w:val="left"/>
            </w:pPr>
            <w:r>
              <w:t xml:space="preserve">M4 CM, SU</w:t>
            </w:r>
          </w:p>
        </w:tc>
        <w:tc>
          <w:tcPr/>
          <w:p>
            <w:pPr>
              <w:pStyle w:val="Compact"/>
              <w:jc w:val="left"/>
            </w:pPr>
            <w:r>
              <w:t xml:space="preserve">P</w:t>
            </w:r>
          </w:p>
        </w:tc>
      </w:tr>
      <w:tr>
        <w:tc>
          <w:tcPr/>
          <w:p>
            <w:pPr>
              <w:pStyle w:val="Compact"/>
              <w:jc w:val="left"/>
            </w:pPr>
            <w:r>
              <w:t xml:space="preserve">W11–W12</w:t>
            </w:r>
          </w:p>
        </w:tc>
        <w:tc>
          <w:tcPr/>
          <w:p>
            <w:pPr>
              <w:pStyle w:val="Compact"/>
              <w:jc w:val="left"/>
            </w:pPr>
            <w:r>
              <w:t xml:space="preserve">Launch Phase-1 communications (why / what / when) and an FAQ channel.</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W13–W14</w:t>
            </w:r>
          </w:p>
        </w:tc>
        <w:tc>
          <w:tcPr/>
          <w:p>
            <w:pPr>
              <w:pStyle w:val="Compact"/>
              <w:jc w:val="left"/>
            </w:pPr>
            <w:r>
              <w:t xml:space="preserve">Brief and activate the champion network.</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W15–W16</w:t>
            </w:r>
          </w:p>
        </w:tc>
        <w:tc>
          <w:tcPr/>
          <w:p>
            <w:pPr>
              <w:pStyle w:val="Compact"/>
              <w:jc w:val="left"/>
            </w:pPr>
            <w:r>
              <w:t xml:space="preserve">Re-run the ADKAR pulse (Awareness / early Desire).</w:t>
            </w:r>
          </w:p>
        </w:tc>
        <w:tc>
          <w:tcPr/>
          <w:p>
            <w:pPr>
              <w:pStyle w:val="Compact"/>
              <w:jc w:val="left"/>
            </w:pPr>
            <w:r>
              <w:t xml:space="preserve">M5 CM</w:t>
            </w:r>
          </w:p>
        </w:tc>
        <w:tc>
          <w:tcPr/>
          <w:p>
            <w:pPr>
              <w:pStyle w:val="Compact"/>
            </w:pPr>
          </w:p>
        </w:tc>
      </w:tr>
      <w:tr>
        <w:tc>
          <w:tcPr/>
          <w:p>
            <w:pPr>
              <w:pStyle w:val="Compact"/>
              <w:jc w:val="left"/>
            </w:pPr>
            <w:r>
              <w:t xml:space="preserve">W17–W18</w:t>
            </w:r>
          </w:p>
        </w:tc>
        <w:tc>
          <w:tcPr/>
          <w:p>
            <w:pPr>
              <w:pStyle w:val="Compact"/>
              <w:jc w:val="left"/>
            </w:pPr>
            <w:r>
              <w:t xml:space="preserve">Continue design-review checkpoints; resolve open build decisions.</w:t>
            </w:r>
          </w:p>
        </w:tc>
        <w:tc>
          <w:tcPr/>
          <w:p>
            <w:pPr>
              <w:pStyle w:val="Compact"/>
              <w:jc w:val="left"/>
            </w:pPr>
            <w:r>
              <w:t xml:space="preserve">—</w:t>
            </w:r>
          </w:p>
        </w:tc>
        <w:tc>
          <w:tcPr/>
          <w:p>
            <w:pPr>
              <w:pStyle w:val="Compact"/>
              <w:jc w:val="left"/>
            </w:pPr>
            <w:r>
              <w:t xml:space="preserve">PM, FPO</w:t>
            </w:r>
          </w:p>
        </w:tc>
      </w:tr>
      <w:tr>
        <w:tc>
          <w:tcPr/>
          <w:p>
            <w:pPr>
              <w:pStyle w:val="Compact"/>
              <w:jc w:val="left"/>
            </w:pPr>
            <w:r>
              <w:t xml:space="preserve">W19–W20</w:t>
            </w:r>
          </w:p>
        </w:tc>
        <w:tc>
          <w:tcPr/>
          <w:p>
            <w:pPr>
              <w:pStyle w:val="Compact"/>
              <w:jc w:val="left"/>
            </w:pPr>
            <w:r>
              <w:t xml:space="preserve">Configuration checkpoint review; confirm build readiness ahead of migration.</w:t>
            </w:r>
          </w:p>
        </w:tc>
        <w:tc>
          <w:tcPr/>
          <w:p>
            <w:pPr>
              <w:pStyle w:val="Compact"/>
              <w:jc w:val="left"/>
            </w:pPr>
            <w:r>
              <w:t xml:space="preserve">—</w:t>
            </w:r>
          </w:p>
        </w:tc>
        <w:tc>
          <w:tcPr/>
          <w:p>
            <w:pPr>
              <w:pStyle w:val="Compact"/>
              <w:jc w:val="left"/>
            </w:pPr>
            <w:r>
              <w:t xml:space="preserve">ITL, PM</w:t>
            </w:r>
          </w:p>
        </w:tc>
      </w:tr>
      <w:tr>
        <w:tc>
          <w:tcPr/>
          <w:p>
            <w:pPr>
              <w:pStyle w:val="Compact"/>
              <w:jc w:val="left"/>
            </w:pPr>
            <w:r>
              <w:t xml:space="preserve">W21–W22</w:t>
            </w:r>
          </w:p>
        </w:tc>
        <w:tc>
          <w:tcPr/>
          <w:p>
            <w:pPr>
              <w:pStyle w:val="Compact"/>
              <w:jc w:val="left"/>
            </w:pPr>
            <w:r>
              <w:t xml:space="preserve">Finalize the configuration decision log.</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W23–W24</w:t>
            </w:r>
          </w:p>
        </w:tc>
        <w:tc>
          <w:tcPr/>
          <w:p>
            <w:pPr>
              <w:pStyle w:val="Compact"/>
              <w:jc w:val="left"/>
            </w:pPr>
            <w:r>
              <w:t xml:space="preserve">Phase 2 gate review — confirm the Awareness → Desire trend with the Steering Committee.</w:t>
            </w:r>
          </w:p>
        </w:tc>
        <w:tc>
          <w:tcPr/>
          <w:p>
            <w:pPr>
              <w:pStyle w:val="Compact"/>
              <w:jc w:val="left"/>
            </w:pPr>
            <w:r>
              <w:t xml:space="preserve">M5 CM, PM</w:t>
            </w:r>
          </w:p>
        </w:tc>
        <w:tc>
          <w:tcPr/>
          <w:p>
            <w:pPr>
              <w:pStyle w:val="Compact"/>
            </w:pPr>
          </w:p>
        </w:tc>
      </w:tr>
    </w:tbl>
    <w:p>
      <w:pPr>
        <w:pStyle w:val="BodyText"/>
      </w:pPr>
      <w:r>
        <w:rPr>
          <w:iCs/>
          <w:i/>
        </w:rPr>
        <w:t xml:space="preserve">Week-by-week timeline for Phase 2 — Build &amp; Configuration.</w:t>
      </w:r>
    </w:p>
    <w:p>
      <w:pPr>
        <w:pStyle w:val="BodyText"/>
      </w:pPr>
      <w:r>
        <w:rPr>
          <w:bCs/>
          <w:b/>
        </w:rPr>
        <w:t xml:space="preserve">SIPOC</w:t>
      </w:r>
    </w:p>
    <w:tbl>
      <w:tblPr>
        <w:tblStyle w:val="Table"/>
        <w:tblW w:type="pct" w:w="4972"/>
        <w:tblLook w:firstRow="1" w:lastRow="0" w:firstColumn="0" w:lastColumn="0" w:noHBand="0" w:noVBand="0" w:val="0020"/>
        <w:jc w:val="start"/>
      </w:tblPr>
      <w:tblGrid>
        <w:gridCol w:w="2006"/>
        <w:gridCol w:w="1736"/>
        <w:gridCol w:w="1048"/>
        <w:gridCol w:w="1691"/>
        <w:gridCol w:w="139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and configuration team; Functional Process Owners (requirements sign-off); Change Manager; Communications lead.</w:t>
            </w:r>
          </w:p>
        </w:tc>
        <w:tc>
          <w:tcPr/>
          <w:p>
            <w:pPr>
              <w:pStyle w:val="Compact"/>
              <w:jc w:val="left"/>
            </w:pPr>
            <w:r>
              <w:t xml:space="preserve">Approved future-state design; configuration and build backlog; communication plan; champion-network nominee list.</w:t>
            </w:r>
          </w:p>
        </w:tc>
        <w:tc>
          <w:tcPr/>
          <w:p>
            <w:pPr>
              <w:jc w:val="left"/>
            </w:pPr>
            <w:r>
              <w:t xml:space="preserve">1. Configure the platform against the approved future-state design</w:t>
            </w:r>
          </w:p>
          <w:p>
            <w:pPr>
              <w:jc w:val="left"/>
            </w:pPr>
            <w:r>
              <w:t xml:space="preserve">2. Run design-review checkpoints with functional owners</w:t>
            </w:r>
          </w:p>
          <w:p>
            <w:pPr>
              <w:jc w:val="left"/>
            </w:pPr>
            <w:r>
              <w:t xml:space="preserve">3. Launch Phase-1 communications and an FAQ channel</w:t>
            </w:r>
          </w:p>
          <w:p>
            <w:pPr>
              <w:jc w:val="left"/>
            </w:pPr>
            <w:r>
              <w:t xml:space="preserve">4. Recruit and brief the change champion network</w:t>
            </w:r>
          </w:p>
          <w:p>
            <w:pPr>
              <w:jc w:val="left"/>
            </w:pPr>
            <w:r>
              <w:t xml:space="preserve">5. Re-run the ADKAR pulse (Awareness / early Desire)</w:t>
            </w:r>
          </w:p>
        </w:tc>
        <w:tc>
          <w:tcPr/>
          <w:p>
            <w:pPr>
              <w:pStyle w:val="Compact"/>
              <w:jc w:val="left"/>
            </w:pPr>
            <w:r>
              <w:t xml:space="preserve">Configured build (pre-migration); approved design-decision log; champion-network roster; updated ADKAR scores.</w:t>
            </w:r>
          </w:p>
        </w:tc>
        <w:tc>
          <w:tcPr/>
          <w:p>
            <w:pPr>
              <w:pStyle w:val="Compact"/>
              <w:jc w:val="left"/>
            </w:pPr>
            <w:r>
              <w:t xml:space="preserve">Testing team (next phase); Functional Process Owners; end users, via the champion network.</w:t>
            </w:r>
          </w:p>
        </w:tc>
      </w:tr>
    </w:tbl>
    <w:p>
      <w:pPr>
        <w:pStyle w:val="BodyText"/>
      </w:pPr>
      <w:r>
        <w:rPr>
          <w:iCs/>
          <w:i/>
        </w:rPr>
        <w:t xml:space="preserve">SIPOC for Phase 2 — Build &amp; Configuration. The Process column lists this phase's five Tasks in sequence.</w:t>
      </w:r>
    </w:p>
    <w:p>
      <w:pPr>
        <w:pStyle w:val="BodyText"/>
      </w:pPr>
      <w:r>
        <w:rPr>
          <w:bCs/>
          <w:b/>
        </w:rPr>
        <w:t xml:space="preserve">Tasks, Steps, Techniques &amp; RACSI</w:t>
      </w:r>
    </w:p>
    <w:p>
      <w:pPr>
        <w:pStyle w:val="BodyText"/>
      </w:pPr>
      <w:r>
        <w:rPr>
          <w:bCs/>
          <w:b/>
          <w:color w:val="3F827B"/>
          <w:sz w:val="24"/>
        </w:rPr>
        <w:t xml:space="preserve">Task 1 — [PROJECT] Configure the platform against the approved future-state design</w:t>
      </w:r>
    </w:p>
    <w:p>
      <w:pPr>
        <w:pStyle w:val="BodyText"/>
      </w:pPr>
      <w:r>
        <w:rPr>
          <w:bCs/>
          <w:b/>
          <w:color w:val="5A8F89"/>
          <w:sz w:val="22"/>
        </w:rPr>
        <w:t xml:space="preserve">Step 1 — Run iterative configuration sprints</w:t>
      </w:r>
    </w:p>
    <w:p>
      <w:pPr>
        <w:pStyle w:val="BodyText"/>
      </w:pPr>
      <w:r>
        <w:t xml:space="preserve">Building in short, demoable increments — rather than one long build phase — is what makes it possible to catch drift from the design principles before it compounds.</w:t>
      </w:r>
    </w:p>
    <w:p>
      <w:pPr>
        <w:pStyle w:val="BodyText"/>
      </w:pPr>
      <w:r>
        <w:rPr>
          <w:iCs/>
          <w:i/>
        </w:rPr>
        <w:t xml:space="preserve">SIPOC for this step.</w:t>
      </w:r>
    </w:p>
    <w:tbl>
      <w:tblPr>
        <w:tblStyle w:val="Table"/>
        <w:tblW w:type="pct" w:w="4972"/>
        <w:tblLook w:firstRow="1" w:lastRow="0" w:firstColumn="0" w:lastColumn="0" w:noHBand="0" w:noVBand="0" w:val="0020"/>
        <w:jc w:val="start"/>
      </w:tblPr>
      <w:tblGrid>
        <w:gridCol w:w="3006"/>
        <w:gridCol w:w="2602"/>
        <w:gridCol w:w="762"/>
        <w:gridCol w:w="673"/>
        <w:gridCol w:w="83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and configuration team; Functional Process Owners (requirements sign-off); Change Manager; Communications lead.</w:t>
            </w:r>
          </w:p>
        </w:tc>
        <w:tc>
          <w:tcPr/>
          <w:p>
            <w:pPr>
              <w:pStyle w:val="Compact"/>
              <w:jc w:val="left"/>
            </w:pPr>
            <w:r>
              <w:t xml:space="preserve">Approved future-state design; configuration and build backlog; communication plan; champion-network nominee list.</w:t>
            </w:r>
          </w:p>
        </w:tc>
        <w:tc>
          <w:tcPr/>
          <w:p>
            <w:pPr>
              <w:pStyle w:val="Compact"/>
              <w:jc w:val="left"/>
            </w:pPr>
            <w:r>
              <w:t xml:space="preserve">Iterative configuration sprints</w:t>
            </w:r>
          </w:p>
        </w:tc>
        <w:tc>
          <w:tcPr/>
          <w:p>
            <w:pPr>
              <w:pStyle w:val="Compact"/>
              <w:jc w:val="left"/>
            </w:pPr>
            <w:r>
              <w:t xml:space="preserve">Configured build increments</w:t>
            </w:r>
          </w:p>
        </w:tc>
        <w:tc>
          <w:tcPr/>
          <w:p>
            <w:pPr>
              <w:pStyle w:val="Compact"/>
              <w:jc w:val="left"/>
            </w:pPr>
            <w:r>
              <w:t xml:space="preserve">Step 2 (Configuration peer review)</w:t>
            </w:r>
          </w:p>
        </w:tc>
      </w:tr>
    </w:tbl>
    <w:p>
      <w:pPr>
        <w:pStyle w:val="BodyText"/>
      </w:pPr>
      <w:r>
        <w:rPr>
          <w:iCs/>
          <w:i/>
        </w:rPr>
        <w:t xml:space="preserve">Technique detail for this step.</w:t>
      </w:r>
    </w:p>
    <w:tbl>
      <w:tblPr>
        <w:tblStyle w:val="Table"/>
        <w:tblW w:type="pct" w:w="4931"/>
        <w:tblLook w:firstRow="1" w:lastRow="0" w:firstColumn="0" w:lastColumn="0" w:noHBand="0" w:noVBand="0" w:val="0020"/>
        <w:jc w:val="start"/>
      </w:tblPr>
      <w:tblGrid>
        <w:gridCol w:w="1693"/>
        <w:gridCol w:w="611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Iterative configuration sprints</w:t>
            </w:r>
          </w:p>
        </w:tc>
      </w:tr>
      <w:tr>
        <w:tc>
          <w:tcPr/>
          <w:p>
            <w:pPr>
              <w:pStyle w:val="Compact"/>
              <w:jc w:val="left"/>
            </w:pPr>
            <w:r>
              <w:t xml:space="preserve">Technique Goal</w:t>
            </w:r>
          </w:p>
        </w:tc>
        <w:tc>
          <w:tcPr/>
          <w:p>
            <w:pPr>
              <w:pStyle w:val="Compact"/>
              <w:jc w:val="left"/>
            </w:pPr>
            <w:r>
              <w:t xml:space="preserve">Build the platform incrementally against the signed-off design.</w:t>
            </w:r>
          </w:p>
        </w:tc>
      </w:tr>
      <w:tr>
        <w:tc>
          <w:tcPr/>
          <w:p>
            <w:pPr>
              <w:pStyle w:val="Compact"/>
              <w:jc w:val="left"/>
            </w:pPr>
            <w:r>
              <w:t xml:space="preserve">Technique Details</w:t>
            </w:r>
          </w:p>
        </w:tc>
        <w:tc>
          <w:tcPr/>
          <w:p>
            <w:pPr>
              <w:pStyle w:val="Compact"/>
              <w:jc w:val="left"/>
            </w:pPr>
            <w:r>
              <w:t xml:space="preserve">Run 2-week configuration sprints against a prioritized backlog, with a sprint review demo at the end of each.</w:t>
            </w:r>
          </w:p>
        </w:tc>
      </w:tr>
      <w:tr>
        <w:tc>
          <w:tcPr/>
          <w:p>
            <w:pPr>
              <w:pStyle w:val="Compact"/>
              <w:jc w:val="left"/>
            </w:pPr>
            <w:r>
              <w:t xml:space="preserve">Recommended Open-Source Tool</w:t>
            </w:r>
          </w:p>
        </w:tc>
        <w:tc>
          <w:tcPr/>
          <w:p>
            <w:pPr>
              <w:pStyle w:val="Compact"/>
              <w:jc w:val="left"/>
            </w:pPr>
            <w:r>
              <w:t xml:space="preserve">OpenProject (Kanban / backlog)</w:t>
            </w:r>
          </w:p>
        </w:tc>
      </w:tr>
    </w:tbl>
    <w:p>
      <w:pPr>
        <w:pStyle w:val="BodyText"/>
      </w:pPr>
      <w:r>
        <w:rPr>
          <w:bCs/>
          <w:b/>
          <w:color w:val="5A8F89"/>
          <w:sz w:val="22"/>
        </w:rPr>
        <w:t xml:space="preserve">Step 2 — Peer-review each configuration change</w:t>
      </w:r>
    </w:p>
    <w:p>
      <w:pPr>
        <w:pStyle w:val="BodyText"/>
      </w:pPr>
      <w:r>
        <w:t xml:space="preserve">A second set of eyes on every change is cheap insurance against a demo where an FPO discovers, in front of the Steering Committee, that a design principle was quietly broken.</w:t>
      </w:r>
    </w:p>
    <w:p>
      <w:pPr>
        <w:pStyle w:val="BodyText"/>
      </w:pPr>
      <w:r>
        <w:rPr>
          <w:iCs/>
          <w:i/>
        </w:rPr>
        <w:t xml:space="preserve">SIPOC for this step.</w:t>
      </w:r>
    </w:p>
    <w:tbl>
      <w:tblPr>
        <w:tblStyle w:val="Table"/>
        <w:tblW w:type="pct" w:w="4959"/>
        <w:tblLook w:firstRow="1" w:lastRow="0" w:firstColumn="0" w:lastColumn="0" w:noHBand="0" w:noVBand="0" w:val="0020"/>
        <w:jc w:val="start"/>
      </w:tblPr>
      <w:tblGrid>
        <w:gridCol w:w="1720"/>
        <w:gridCol w:w="973"/>
        <w:gridCol w:w="908"/>
        <w:gridCol w:w="1233"/>
        <w:gridCol w:w="301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(Iterative configuration sprints)</w:t>
            </w:r>
          </w:p>
        </w:tc>
        <w:tc>
          <w:tcPr/>
          <w:p>
            <w:pPr>
              <w:pStyle w:val="Compact"/>
              <w:jc w:val="left"/>
            </w:pPr>
            <w:r>
              <w:t xml:space="preserve">Configured build increments</w:t>
            </w:r>
          </w:p>
        </w:tc>
        <w:tc>
          <w:tcPr/>
          <w:p>
            <w:pPr>
              <w:pStyle w:val="Compact"/>
              <w:jc w:val="left"/>
            </w:pPr>
            <w:r>
              <w:t xml:space="preserve">Configuration peer review</w:t>
            </w:r>
          </w:p>
        </w:tc>
        <w:tc>
          <w:tcPr/>
          <w:p>
            <w:pPr>
              <w:pStyle w:val="Compact"/>
              <w:jc w:val="left"/>
            </w:pPr>
            <w:r>
              <w:t xml:space="preserve">Peer-reviewed configuration changes</w:t>
            </w:r>
          </w:p>
        </w:tc>
        <w:tc>
          <w:tcPr/>
          <w:p>
            <w:pPr>
              <w:pStyle w:val="Compact"/>
              <w:jc w:val="left"/>
            </w:pPr>
            <w:r>
              <w:t xml:space="preserve">Testing team (next phase); Functional Process Owners; end users, via the champion network.</w:t>
            </w:r>
          </w:p>
        </w:tc>
      </w:tr>
    </w:tbl>
    <w:p>
      <w:pPr>
        <w:pStyle w:val="BodyText"/>
      </w:pPr>
      <w:r>
        <w:rPr>
          <w:iCs/>
          <w:i/>
        </w:rPr>
        <w:t xml:space="preserve">Technique detail for this step.</w:t>
      </w:r>
    </w:p>
    <w:tbl>
      <w:tblPr>
        <w:tblStyle w:val="Table"/>
        <w:tblW w:type="pct" w:w="4939"/>
        <w:tblLook w:firstRow="1" w:lastRow="0" w:firstColumn="0" w:lastColumn="0" w:noHBand="0" w:noVBand="0" w:val="0020"/>
        <w:jc w:val="start"/>
      </w:tblPr>
      <w:tblGrid>
        <w:gridCol w:w="1488"/>
        <w:gridCol w:w="633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Configuration peer review</w:t>
            </w:r>
          </w:p>
        </w:tc>
      </w:tr>
      <w:tr>
        <w:tc>
          <w:tcPr/>
          <w:p>
            <w:pPr>
              <w:pStyle w:val="Compact"/>
              <w:jc w:val="left"/>
            </w:pPr>
            <w:r>
              <w:t xml:space="preserve">Technique Goal</w:t>
            </w:r>
          </w:p>
        </w:tc>
        <w:tc>
          <w:tcPr/>
          <w:p>
            <w:pPr>
              <w:pStyle w:val="Compact"/>
              <w:jc w:val="left"/>
            </w:pPr>
            <w:r>
              <w:t xml:space="preserve">Catch design drift before it reaches a stakeholder demo.</w:t>
            </w:r>
          </w:p>
        </w:tc>
      </w:tr>
      <w:tr>
        <w:tc>
          <w:tcPr/>
          <w:p>
            <w:pPr>
              <w:pStyle w:val="Compact"/>
              <w:jc w:val="left"/>
            </w:pPr>
            <w:r>
              <w:t xml:space="preserve">Technique Details</w:t>
            </w:r>
          </w:p>
        </w:tc>
        <w:tc>
          <w:tcPr/>
          <w:p>
            <w:pPr>
              <w:pStyle w:val="Compact"/>
              <w:jc w:val="left"/>
            </w:pPr>
            <w:r>
              <w:t xml:space="preserve">A second configurator reviews every completed configuration item against the design-principles document before it is marked done.</w:t>
            </w:r>
          </w:p>
        </w:tc>
      </w:tr>
      <w:tr>
        <w:tc>
          <w:tcPr/>
          <w:p>
            <w:pPr>
              <w:pStyle w:val="Compact"/>
              <w:jc w:val="left"/>
            </w:pPr>
            <w:r>
              <w:t xml:space="preserve">Recommended Open-Source Tool</w:t>
            </w:r>
          </w:p>
        </w:tc>
        <w:tc>
          <w:tcPr/>
          <w:p>
            <w:pPr>
              <w:pStyle w:val="Compact"/>
              <w:jc w:val="left"/>
            </w:pPr>
            <w:r>
              <w:t xml:space="preserve">GitLab (merge-request review, config-as-code)</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ITL</w:t>
            </w:r>
          </w:p>
        </w:tc>
        <w:tc>
          <w:tcPr/>
          <w:p>
            <w:pPr>
              <w:pStyle w:val="Compact"/>
              <w:jc w:val="left"/>
            </w:pPr>
            <w:r>
              <w:t xml:space="preserve">PM, FPO</w:t>
            </w:r>
          </w:p>
        </w:tc>
        <w:tc>
          <w:tcPr/>
          <w:p>
            <w:pPr>
              <w:pStyle w:val="Compact"/>
              <w:jc w:val="left"/>
            </w:pPr>
            <w:r>
              <w:t xml:space="preserve">CM</w:t>
            </w:r>
          </w:p>
        </w:tc>
        <w:tc>
          <w:tcPr/>
          <w:p>
            <w:pPr>
              <w:pStyle w:val="Compact"/>
              <w:jc w:val="left"/>
            </w:pPr>
            <w:r>
              <w:t xml:space="preserve">SUP, ES, EU</w:t>
            </w:r>
          </w:p>
        </w:tc>
      </w:tr>
    </w:tbl>
    <w:p>
      <w:pPr>
        <w:pStyle w:val="BodyText"/>
      </w:pPr>
      <w:r>
        <w:rPr>
          <w:bCs/>
          <w:b/>
          <w:color w:val="3F827B"/>
          <w:sz w:val="24"/>
        </w:rPr>
        <w:t xml:space="preserve">Task 2 — [PROJECT] Run design-review checkpoints with functional owners</w:t>
      </w:r>
    </w:p>
    <w:p>
      <w:pPr>
        <w:pStyle w:val="BodyText"/>
      </w:pPr>
      <w:r>
        <w:rPr>
          <w:bCs/>
          <w:b/>
          <w:color w:val="5A8F89"/>
          <w:sz w:val="22"/>
        </w:rPr>
        <w:t xml:space="preserve">Step 1 — Demo the build to functional owners</w:t>
      </w:r>
    </w:p>
    <w:p>
      <w:pPr>
        <w:pStyle w:val="BodyText"/>
      </w:pPr>
      <w:r>
        <w:t xml:space="preserve">Catching a misunderstanding at a sprint demo costs an afternoon of rework; catching the same misunderstanding at UAT costs a testing cycle.</w:t>
      </w:r>
    </w:p>
    <w:p>
      <w:pPr>
        <w:pStyle w:val="BodyText"/>
      </w:pPr>
      <w:r>
        <w:rPr>
          <w:iCs/>
          <w:i/>
        </w:rPr>
        <w:t xml:space="preserve">SIPOC for this step.</w:t>
      </w:r>
    </w:p>
    <w:tbl>
      <w:tblPr>
        <w:tblStyle w:val="Table"/>
        <w:tblW w:type="pct" w:w="4969"/>
        <w:tblLook w:firstRow="1" w:lastRow="0" w:firstColumn="0" w:lastColumn="0" w:noHBand="0" w:noVBand="0" w:val="0020"/>
        <w:jc w:val="start"/>
      </w:tblPr>
      <w:tblGrid>
        <w:gridCol w:w="3316"/>
        <w:gridCol w:w="2871"/>
        <w:gridCol w:w="519"/>
        <w:gridCol w:w="569"/>
        <w:gridCol w:w="59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and configuration team; Functional Process Owners (requirements sign-off); Change Manager; Communications lead.</w:t>
            </w:r>
          </w:p>
        </w:tc>
        <w:tc>
          <w:tcPr/>
          <w:p>
            <w:pPr>
              <w:pStyle w:val="Compact"/>
              <w:jc w:val="left"/>
            </w:pPr>
            <w:r>
              <w:t xml:space="preserve">Approved future-state design; configuration and build backlog; communication plan; champion-network nominee list.</w:t>
            </w:r>
          </w:p>
        </w:tc>
        <w:tc>
          <w:tcPr/>
          <w:p>
            <w:pPr>
              <w:pStyle w:val="Compact"/>
              <w:jc w:val="left"/>
            </w:pPr>
            <w:r>
              <w:t xml:space="preserve">Show-and-tell demo</w:t>
            </w:r>
          </w:p>
        </w:tc>
        <w:tc>
          <w:tcPr/>
          <w:p>
            <w:pPr>
              <w:pStyle w:val="Compact"/>
              <w:jc w:val="left"/>
            </w:pPr>
            <w:r>
              <w:t xml:space="preserve">Demo action-item log</w:t>
            </w:r>
          </w:p>
        </w:tc>
        <w:tc>
          <w:tcPr/>
          <w:p>
            <w:pPr>
              <w:pStyle w:val="Compact"/>
              <w:jc w:val="left"/>
            </w:pPr>
            <w:r>
              <w:t xml:space="preserve">Step 2 (Decision log)</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63"/>
        <w:gridCol w:w="625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Show-and-tell demo</w:t>
            </w:r>
          </w:p>
        </w:tc>
      </w:tr>
      <w:tr>
        <w:tc>
          <w:tcPr/>
          <w:p>
            <w:pPr>
              <w:pStyle w:val="Compact"/>
              <w:jc w:val="left"/>
            </w:pPr>
            <w:r>
              <w:t xml:space="preserve">Technique Goal</w:t>
            </w:r>
          </w:p>
        </w:tc>
        <w:tc>
          <w:tcPr/>
          <w:p>
            <w:pPr>
              <w:pStyle w:val="Compact"/>
              <w:jc w:val="left"/>
            </w:pPr>
            <w:r>
              <w:t xml:space="preserve">Validate configuration against expectations before it hardens.</w:t>
            </w:r>
          </w:p>
        </w:tc>
      </w:tr>
      <w:tr>
        <w:tc>
          <w:tcPr/>
          <w:p>
            <w:pPr>
              <w:pStyle w:val="Compact"/>
              <w:jc w:val="left"/>
            </w:pPr>
            <w:r>
              <w:t xml:space="preserve">Technique Details</w:t>
            </w:r>
          </w:p>
        </w:tc>
        <w:tc>
          <w:tcPr/>
          <w:p>
            <w:pPr>
              <w:pStyle w:val="Compact"/>
              <w:jc w:val="left"/>
            </w:pPr>
            <w:r>
              <w:t xml:space="preserve">A 45-minute walkthrough of the current build with FPOs at the end of each sprint, capturing gaps as tracked action items.</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bCs/>
          <w:b/>
          <w:color w:val="5A8F89"/>
          <w:sz w:val="22"/>
        </w:rPr>
        <w:t xml:space="preserve">Step 2 — Log every design decision</w:t>
      </w:r>
    </w:p>
    <w:p>
      <w:pPr>
        <w:pStyle w:val="BodyText"/>
      </w:pPr>
      <w:r>
        <w:t xml:space="preserve">Six months from now, nobody will remember why a particular exception was made unless it is written down at the moment it was decided — this log is that memory.</w:t>
      </w:r>
    </w:p>
    <w:p>
      <w:pPr>
        <w:pStyle w:val="BodyText"/>
      </w:pPr>
      <w:r>
        <w:rPr>
          <w:iCs/>
          <w:i/>
        </w:rPr>
        <w:t xml:space="preserve">SIPOC for this step.</w:t>
      </w:r>
    </w:p>
    <w:tbl>
      <w:tblPr>
        <w:tblStyle w:val="Table"/>
        <w:tblW w:type="pct" w:w="4951"/>
        <w:tblLook w:firstRow="1" w:lastRow="0" w:firstColumn="0" w:lastColumn="0" w:noHBand="0" w:noVBand="0" w:val="0020"/>
        <w:jc w:val="start"/>
      </w:tblPr>
      <w:tblGrid>
        <w:gridCol w:w="1545"/>
        <w:gridCol w:w="888"/>
        <w:gridCol w:w="579"/>
        <w:gridCol w:w="1236"/>
        <w:gridCol w:w="359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(Show-and-tell demo)</w:t>
            </w:r>
          </w:p>
        </w:tc>
        <w:tc>
          <w:tcPr/>
          <w:p>
            <w:pPr>
              <w:pStyle w:val="Compact"/>
              <w:jc w:val="left"/>
            </w:pPr>
            <w:r>
              <w:t xml:space="preserve">Demo action-item log</w:t>
            </w:r>
          </w:p>
        </w:tc>
        <w:tc>
          <w:tcPr/>
          <w:p>
            <w:pPr>
              <w:pStyle w:val="Compact"/>
              <w:jc w:val="left"/>
            </w:pPr>
            <w:r>
              <w:t xml:space="preserve">Decision log</w:t>
            </w:r>
          </w:p>
        </w:tc>
        <w:tc>
          <w:tcPr/>
          <w:p>
            <w:pPr>
              <w:pStyle w:val="Compact"/>
              <w:jc w:val="left"/>
            </w:pPr>
            <w:r>
              <w:t xml:space="preserve">Versioned design-decision log</w:t>
            </w:r>
          </w:p>
        </w:tc>
        <w:tc>
          <w:tcPr/>
          <w:p>
            <w:pPr>
              <w:pStyle w:val="Compact"/>
              <w:jc w:val="left"/>
            </w:pPr>
            <w:r>
              <w:t xml:space="preserve">Testing team (next phase); Functional Process Owners; end users, via the champion network.</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61"/>
        <w:gridCol w:w="636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Decision log</w:t>
            </w:r>
          </w:p>
        </w:tc>
      </w:tr>
      <w:tr>
        <w:tc>
          <w:tcPr/>
          <w:p>
            <w:pPr>
              <w:pStyle w:val="Compact"/>
              <w:jc w:val="left"/>
            </w:pPr>
            <w:r>
              <w:t xml:space="preserve">Technique Goal</w:t>
            </w:r>
          </w:p>
        </w:tc>
        <w:tc>
          <w:tcPr/>
          <w:p>
            <w:pPr>
              <w:pStyle w:val="Compact"/>
              <w:jc w:val="left"/>
            </w:pPr>
            <w:r>
              <w:t xml:space="preserve">Record and version every design decision with its rationale.</w:t>
            </w:r>
          </w:p>
        </w:tc>
      </w:tr>
      <w:tr>
        <w:tc>
          <w:tcPr/>
          <w:p>
            <w:pPr>
              <w:pStyle w:val="Compact"/>
              <w:jc w:val="left"/>
            </w:pPr>
            <w:r>
              <w:t xml:space="preserve">Technique Details</w:t>
            </w:r>
          </w:p>
        </w:tc>
        <w:tc>
          <w:tcPr/>
          <w:p>
            <w:pPr>
              <w:pStyle w:val="Compact"/>
              <w:jc w:val="left"/>
            </w:pPr>
            <w:r>
              <w:t xml:space="preserve">Log every configuration decision that deviates from or clarifies the original design principles, with the date, owner and rationale.</w:t>
            </w:r>
          </w:p>
        </w:tc>
      </w:tr>
      <w:tr>
        <w:tc>
          <w:tcPr/>
          <w:p>
            <w:pPr>
              <w:pStyle w:val="Compact"/>
              <w:jc w:val="left"/>
            </w:pPr>
            <w:r>
              <w:t xml:space="preserve">Recommended Open-Source Tool</w:t>
            </w:r>
          </w:p>
        </w:tc>
        <w:tc>
          <w:tcPr/>
          <w:p>
            <w:pPr>
              <w:pStyle w:val="Compact"/>
              <w:jc w:val="left"/>
            </w:pPr>
            <w:r>
              <w:t xml:space="preserve">OpenProject wiki</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PM, FPO</w:t>
            </w:r>
          </w:p>
        </w:tc>
        <w:tc>
          <w:tcPr/>
          <w:p>
            <w:pPr>
              <w:pStyle w:val="Compact"/>
              <w:jc w:val="left"/>
            </w:pPr>
            <w:r>
              <w:t xml:space="preserve">PM</w:t>
            </w:r>
          </w:p>
        </w:tc>
        <w:tc>
          <w:tcPr/>
          <w:p>
            <w:pPr>
              <w:pStyle w:val="Compact"/>
              <w:jc w:val="left"/>
            </w:pPr>
            <w:r>
              <w:t xml:space="preserve">ITL</w:t>
            </w:r>
          </w:p>
        </w:tc>
        <w:tc>
          <w:tcPr/>
          <w:p>
            <w:pPr>
              <w:pStyle w:val="Compact"/>
              <w:jc w:val="left"/>
            </w:pPr>
            <w:r>
              <w:t xml:space="preserve">CM</w:t>
            </w:r>
          </w:p>
        </w:tc>
        <w:tc>
          <w:tcPr/>
          <w:p>
            <w:pPr>
              <w:pStyle w:val="Compact"/>
              <w:jc w:val="left"/>
            </w:pPr>
            <w:r>
              <w:t xml:space="preserve">ES, SUP, EU</w:t>
            </w:r>
          </w:p>
        </w:tc>
      </w:tr>
    </w:tbl>
    <w:p>
      <w:pPr>
        <w:pStyle w:val="BodyText"/>
      </w:pPr>
      <w:r>
        <w:rPr>
          <w:bCs/>
          <w:b/>
          <w:color w:val="3F827B"/>
          <w:sz w:val="24"/>
        </w:rPr>
        <w:t xml:space="preserve">Task 3 — [CHANGE] Launch Phase-1 communications and an FAQ channel</w:t>
      </w:r>
    </w:p>
    <w:p>
      <w:pPr>
        <w:pStyle w:val="BodyText"/>
      </w:pPr>
      <w:r>
        <w:rPr>
          <w:bCs/>
          <w:b/>
          <w:color w:val="5A8F89"/>
          <w:sz w:val="22"/>
        </w:rPr>
        <w:t xml:space="preserve">Step 1 — Plan the communications calendar</w:t>
      </w:r>
    </w:p>
    <w:p>
      <w:pPr>
        <w:pStyle w:val="BodyText"/>
      </w:pPr>
      <w:r>
        <w:t xml:space="preserve">Configuration decisions start becoming visible to the wider population in this phase, which is exactly when an unplanned information vacuum is most likely to fill with rumor.</w:t>
      </w:r>
    </w:p>
    <w:p>
      <w:pPr>
        <w:pStyle w:val="BodyText"/>
      </w:pPr>
      <w:r>
        <w:rPr>
          <w:iCs/>
          <w:i/>
        </w:rPr>
        <w:t xml:space="preserve">SIPOC for this step.</w:t>
      </w:r>
    </w:p>
    <w:tbl>
      <w:tblPr>
        <w:tblStyle w:val="Table"/>
        <w:tblW w:type="pct" w:w="4973"/>
        <w:tblLook w:firstRow="1" w:lastRow="0" w:firstColumn="0" w:lastColumn="0" w:noHBand="0" w:noVBand="0" w:val="0020"/>
        <w:jc w:val="start"/>
      </w:tblPr>
      <w:tblGrid>
        <w:gridCol w:w="2883"/>
        <w:gridCol w:w="2496"/>
        <w:gridCol w:w="559"/>
        <w:gridCol w:w="968"/>
        <w:gridCol w:w="96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and configuration team; Functional Process Owners (requirements sign-off); Change Manager; Communications lead.</w:t>
            </w:r>
          </w:p>
        </w:tc>
        <w:tc>
          <w:tcPr/>
          <w:p>
            <w:pPr>
              <w:pStyle w:val="Compact"/>
              <w:jc w:val="left"/>
            </w:pPr>
            <w:r>
              <w:t xml:space="preserve">Approved future-state design; configuration and build backlog; communication plan; champion-network nominee list.</w:t>
            </w:r>
          </w:p>
        </w:tc>
        <w:tc>
          <w:tcPr/>
          <w:p>
            <w:pPr>
              <w:pStyle w:val="Compact"/>
              <w:jc w:val="left"/>
            </w:pPr>
            <w:r>
              <w:t xml:space="preserve">Communications planning</w:t>
            </w:r>
          </w:p>
        </w:tc>
        <w:tc>
          <w:tcPr/>
          <w:p>
            <w:pPr>
              <w:pStyle w:val="Compact"/>
              <w:jc w:val="left"/>
            </w:pPr>
            <w:r>
              <w:t xml:space="preserve">Communications calendar and message drafts</w:t>
            </w:r>
          </w:p>
        </w:tc>
        <w:tc>
          <w:tcPr/>
          <w:p>
            <w:pPr>
              <w:pStyle w:val="Compact"/>
              <w:jc w:val="left"/>
            </w:pPr>
            <w:r>
              <w:t xml:space="preserve">Step 2 (Self-serve FAQ / knowledge base)</w:t>
            </w:r>
          </w:p>
        </w:tc>
      </w:tr>
    </w:tbl>
    <w:p>
      <w:pPr>
        <w:pStyle w:val="BodyText"/>
      </w:pPr>
      <w:r>
        <w:rPr>
          <w:iCs/>
          <w:i/>
        </w:rPr>
        <w:t xml:space="preserve">Technique detail for this step.</w:t>
      </w:r>
    </w:p>
    <w:tbl>
      <w:tblPr>
        <w:tblStyle w:val="Table"/>
        <w:tblW w:type="pct" w:w="4938"/>
        <w:tblLook w:firstRow="1" w:lastRow="0" w:firstColumn="0" w:lastColumn="0" w:noHBand="0" w:noVBand="0" w:val="0020"/>
        <w:jc w:val="start"/>
      </w:tblPr>
      <w:tblGrid>
        <w:gridCol w:w="1515"/>
        <w:gridCol w:w="630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Communications planning</w:t>
            </w:r>
          </w:p>
        </w:tc>
      </w:tr>
      <w:tr>
        <w:tc>
          <w:tcPr/>
          <w:p>
            <w:pPr>
              <w:pStyle w:val="Compact"/>
              <w:jc w:val="left"/>
            </w:pPr>
            <w:r>
              <w:t xml:space="preserve">Technique Goal</w:t>
            </w:r>
          </w:p>
        </w:tc>
        <w:tc>
          <w:tcPr/>
          <w:p>
            <w:pPr>
              <w:pStyle w:val="Compact"/>
              <w:jc w:val="left"/>
            </w:pPr>
            <w:r>
              <w:t xml:space="preserve">Sequence why / what / when messages by audience and channel.</w:t>
            </w:r>
          </w:p>
        </w:tc>
      </w:tr>
      <w:tr>
        <w:tc>
          <w:tcPr/>
          <w:p>
            <w:pPr>
              <w:pStyle w:val="Compact"/>
              <w:jc w:val="left"/>
            </w:pPr>
            <w:r>
              <w:t xml:space="preserve">Technique Details</w:t>
            </w:r>
          </w:p>
        </w:tc>
        <w:tc>
          <w:tcPr/>
          <w:p>
            <w:pPr>
              <w:pStyle w:val="Compact"/>
              <w:jc w:val="left"/>
            </w:pPr>
            <w:r>
              <w:t xml:space="preserve">Build a 6-week communications calendar mapping message, audience segment, channel and sender for each week of the build phase.</w:t>
            </w:r>
          </w:p>
        </w:tc>
      </w:tr>
      <w:tr>
        <w:tc>
          <w:tcPr/>
          <w:p>
            <w:pPr>
              <w:pStyle w:val="Compact"/>
              <w:jc w:val="left"/>
            </w:pPr>
            <w:r>
              <w:t xml:space="preserve">Recommended Open-Source Tool</w:t>
            </w:r>
          </w:p>
        </w:tc>
        <w:tc>
          <w:tcPr/>
          <w:p>
            <w:pPr>
              <w:pStyle w:val="Compact"/>
              <w:jc w:val="left"/>
            </w:pPr>
            <w:r>
              <w:t xml:space="preserve">Listmonk</w:t>
            </w:r>
          </w:p>
        </w:tc>
      </w:tr>
    </w:tbl>
    <w:p>
      <w:pPr>
        <w:pStyle w:val="BodyText"/>
      </w:pPr>
      <w:r>
        <w:rPr>
          <w:bCs/>
          <w:b/>
          <w:color w:val="5A8F89"/>
          <w:sz w:val="22"/>
        </w:rPr>
        <w:t xml:space="preserve">Step 2 — Stand up the FAQ channel</w:t>
      </w:r>
    </w:p>
    <w:p>
      <w:pPr>
        <w:pStyle w:val="BodyText"/>
      </w:pPr>
      <w:r>
        <w:t xml:space="preserve">Seeding the FAQ with the actual themes from the Month-0 open-text pulse, rather than guessing what people will ask, is what makes it get used instead of ignored.</w:t>
      </w:r>
    </w:p>
    <w:p>
      <w:pPr>
        <w:pStyle w:val="BodyText"/>
      </w:pPr>
      <w:r>
        <w:rPr>
          <w:iCs/>
          <w:i/>
        </w:rPr>
        <w:t xml:space="preserve">SIPOC for this step.</w:t>
      </w:r>
    </w:p>
    <w:tbl>
      <w:tblPr>
        <w:tblStyle w:val="Table"/>
        <w:tblW w:type="pct" w:w="4960"/>
        <w:tblLook w:firstRow="1" w:lastRow="0" w:firstColumn="0" w:lastColumn="0" w:noHBand="0" w:noVBand="0" w:val="0020"/>
        <w:jc w:val="start"/>
      </w:tblPr>
      <w:tblGrid>
        <w:gridCol w:w="1442"/>
        <w:gridCol w:w="1442"/>
        <w:gridCol w:w="1090"/>
        <w:gridCol w:w="897"/>
        <w:gridCol w:w="298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(Communications planning)</w:t>
            </w:r>
          </w:p>
        </w:tc>
        <w:tc>
          <w:tcPr/>
          <w:p>
            <w:pPr>
              <w:pStyle w:val="Compact"/>
              <w:jc w:val="left"/>
            </w:pPr>
            <w:r>
              <w:t xml:space="preserve">Communications calendar and message drafts</w:t>
            </w:r>
          </w:p>
        </w:tc>
        <w:tc>
          <w:tcPr/>
          <w:p>
            <w:pPr>
              <w:pStyle w:val="Compact"/>
              <w:jc w:val="left"/>
            </w:pPr>
            <w:r>
              <w:t xml:space="preserve">Self-serve FAQ / knowledge base</w:t>
            </w:r>
          </w:p>
        </w:tc>
        <w:tc>
          <w:tcPr/>
          <w:p>
            <w:pPr>
              <w:pStyle w:val="Compact"/>
              <w:jc w:val="left"/>
            </w:pPr>
            <w:r>
              <w:t xml:space="preserve">Live FAQ / knowledge base</w:t>
            </w:r>
          </w:p>
        </w:tc>
        <w:tc>
          <w:tcPr/>
          <w:p>
            <w:pPr>
              <w:pStyle w:val="Compact"/>
              <w:jc w:val="left"/>
            </w:pPr>
            <w:r>
              <w:t xml:space="preserve">Testing team (next phase); Functional Process Owners; end users, via the champion network.</w:t>
            </w:r>
          </w:p>
        </w:tc>
      </w:tr>
    </w:tbl>
    <w:p>
      <w:pPr>
        <w:pStyle w:val="BodyText"/>
      </w:pPr>
      <w:r>
        <w:rPr>
          <w:iCs/>
          <w:i/>
        </w:rPr>
        <w:t xml:space="preserve">Technique detail for this step.</w:t>
      </w:r>
    </w:p>
    <w:tbl>
      <w:tblPr>
        <w:tblStyle w:val="Table"/>
        <w:tblW w:type="pct" w:w="4934"/>
        <w:tblLook w:firstRow="1" w:lastRow="0" w:firstColumn="0" w:lastColumn="0" w:noHBand="0" w:noVBand="0" w:val="0020"/>
        <w:jc w:val="start"/>
      </w:tblPr>
      <w:tblGrid>
        <w:gridCol w:w="1625"/>
        <w:gridCol w:w="618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Self-serve FAQ / knowledge base</w:t>
            </w:r>
          </w:p>
        </w:tc>
      </w:tr>
      <w:tr>
        <w:tc>
          <w:tcPr/>
          <w:p>
            <w:pPr>
              <w:pStyle w:val="Compact"/>
              <w:jc w:val="left"/>
            </w:pPr>
            <w:r>
              <w:t xml:space="preserve">Technique Goal</w:t>
            </w:r>
          </w:p>
        </w:tc>
        <w:tc>
          <w:tcPr/>
          <w:p>
            <w:pPr>
              <w:pStyle w:val="Compact"/>
              <w:jc w:val="left"/>
            </w:pPr>
            <w:r>
              <w:t xml:space="preserve">Reduce repeat questions and slow the rumor mill.</w:t>
            </w:r>
          </w:p>
        </w:tc>
      </w:tr>
      <w:tr>
        <w:tc>
          <w:tcPr/>
          <w:p>
            <w:pPr>
              <w:pStyle w:val="Compact"/>
              <w:jc w:val="left"/>
            </w:pPr>
            <w:r>
              <w:t xml:space="preserve">Technique Details</w:t>
            </w:r>
          </w:p>
        </w:tc>
        <w:tc>
          <w:tcPr/>
          <w:p>
            <w:pPr>
              <w:pStyle w:val="Compact"/>
              <w:jc w:val="left"/>
            </w:pPr>
            <w:r>
              <w:t xml:space="preserve">Stand up a searchable FAQ seeded with the top themes from the baseline pulse's open-text analysis, updated weekly.</w:t>
            </w:r>
          </w:p>
        </w:tc>
      </w:tr>
      <w:tr>
        <w:tc>
          <w:tcPr/>
          <w:p>
            <w:pPr>
              <w:pStyle w:val="Compact"/>
              <w:jc w:val="left"/>
            </w:pPr>
            <w:r>
              <w:t xml:space="preserve">Recommended Open-Source Tool</w:t>
            </w:r>
          </w:p>
        </w:tc>
        <w:tc>
          <w:tcPr/>
          <w:p>
            <w:pPr>
              <w:pStyle w:val="Compact"/>
              <w:jc w:val="left"/>
            </w:pPr>
            <w:r>
              <w:t xml:space="preserve">BookStack</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ES, FPO</w:t>
            </w:r>
          </w:p>
        </w:tc>
        <w:tc>
          <w:tcPr/>
          <w:p>
            <w:pPr>
              <w:pStyle w:val="Compact"/>
              <w:jc w:val="left"/>
            </w:pPr>
            <w:r>
              <w:t xml:space="preserve">PM</w:t>
            </w:r>
          </w:p>
        </w:tc>
        <w:tc>
          <w:tcPr/>
          <w:p>
            <w:pPr>
              <w:pStyle w:val="Compact"/>
              <w:jc w:val="left"/>
            </w:pPr>
            <w:r>
              <w:t xml:space="preserve">ITL, SUP, EU</w:t>
            </w:r>
          </w:p>
        </w:tc>
      </w:tr>
    </w:tbl>
    <w:p>
      <w:pPr>
        <w:pStyle w:val="BodyText"/>
      </w:pPr>
      <w:r>
        <w:rPr>
          <w:bCs/>
          <w:b/>
          <w:color w:val="3F827B"/>
          <w:sz w:val="24"/>
        </w:rPr>
        <w:t xml:space="preserve">Task 4 — [CHANGE] Recruit and brief the change champion network</w:t>
      </w:r>
    </w:p>
    <w:p>
      <w:pPr>
        <w:pStyle w:val="BodyText"/>
      </w:pPr>
      <w:r>
        <w:rPr>
          <w:bCs/>
          <w:b/>
        </w:rPr>
        <w:t xml:space="preserve">journi:</w:t>
      </w:r>
      <w:r>
        <w:t xml:space="preserve"> </w:t>
      </w:r>
      <w:r>
        <w:rPr>
          <w:iCs/>
          <w:i/>
        </w:rPr>
        <w:t xml:space="preserve">This is entered/updated in journi — M4.</w:t>
      </w:r>
    </w:p>
    <w:p>
      <w:pPr>
        <w:pStyle w:val="BodyText"/>
      </w:pPr>
      <w:r>
        <w:rPr>
          <w:bCs/>
          <w:b/>
          <w:color w:val="5A8F89"/>
          <w:sz w:val="22"/>
        </w:rPr>
        <w:t xml:space="preserve">Step 1 — Nominate credible peer champions</w:t>
      </w:r>
    </w:p>
    <w:p>
      <w:pPr>
        <w:pStyle w:val="BodyText"/>
      </w:pPr>
      <w:r>
        <w:t xml:space="preserve">A champion chosen for seniority rather than peer credibility will be politely ignored by the cohort exactly when their influence matters most, at go-live.</w:t>
      </w:r>
    </w:p>
    <w:p>
      <w:pPr>
        <w:pStyle w:val="BodyText"/>
      </w:pPr>
      <w:r>
        <w:rPr>
          <w:iCs/>
          <w:i/>
        </w:rPr>
        <w:t xml:space="preserve">SIPOC for this step.</w:t>
      </w:r>
    </w:p>
    <w:tbl>
      <w:tblPr>
        <w:tblStyle w:val="Table"/>
        <w:tblW w:type="pct" w:w="4970"/>
        <w:tblLook w:firstRow="1" w:lastRow="0" w:firstColumn="0" w:lastColumn="0" w:noHBand="0" w:noVBand="0" w:val="0020"/>
        <w:jc w:val="start"/>
      </w:tblPr>
      <w:tblGrid>
        <w:gridCol w:w="3187"/>
        <w:gridCol w:w="2758"/>
        <w:gridCol w:w="475"/>
        <w:gridCol w:w="570"/>
        <w:gridCol w:w="88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and configuration team; Functional Process Owners (requirements sign-off); Change Manager; Communications lead.</w:t>
            </w:r>
          </w:p>
        </w:tc>
        <w:tc>
          <w:tcPr/>
          <w:p>
            <w:pPr>
              <w:pStyle w:val="Compact"/>
              <w:jc w:val="left"/>
            </w:pPr>
            <w:r>
              <w:t xml:space="preserve">Approved future-state design; configuration and build backlog; communication plan; champion-network nominee list.</w:t>
            </w:r>
          </w:p>
        </w:tc>
        <w:tc>
          <w:tcPr/>
          <w:p>
            <w:pPr>
              <w:pStyle w:val="Compact"/>
              <w:jc w:val="left"/>
            </w:pPr>
            <w:r>
              <w:t xml:space="preserve">Nomination survey</w:t>
            </w:r>
          </w:p>
        </w:tc>
        <w:tc>
          <w:tcPr/>
          <w:p>
            <w:pPr>
              <w:pStyle w:val="Compact"/>
              <w:jc w:val="left"/>
            </w:pPr>
            <w:r>
              <w:t xml:space="preserve">Champion nominee list</w:t>
            </w:r>
          </w:p>
        </w:tc>
        <w:tc>
          <w:tcPr/>
          <w:p>
            <w:pPr>
              <w:pStyle w:val="Compact"/>
              <w:jc w:val="left"/>
            </w:pPr>
            <w:r>
              <w:t xml:space="preserve">Step 2 (Champion kickoff workshop)</w:t>
            </w:r>
          </w:p>
        </w:tc>
      </w:tr>
    </w:tbl>
    <w:p>
      <w:pPr>
        <w:pStyle w:val="BodyText"/>
      </w:pPr>
      <w:r>
        <w:rPr>
          <w:iCs/>
          <w:i/>
        </w:rPr>
        <w:t xml:space="preserve">Technique detail for this step.</w:t>
      </w:r>
    </w:p>
    <w:tbl>
      <w:tblPr>
        <w:tblStyle w:val="Table"/>
        <w:tblW w:type="pct" w:w="4937"/>
        <w:tblLook w:firstRow="1" w:lastRow="0" w:firstColumn="0" w:lastColumn="0" w:noHBand="0" w:noVBand="0" w:val="0020"/>
        <w:jc w:val="start"/>
      </w:tblPr>
      <w:tblGrid>
        <w:gridCol w:w="1553"/>
        <w:gridCol w:w="626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Nomination survey</w:t>
            </w:r>
          </w:p>
        </w:tc>
      </w:tr>
      <w:tr>
        <w:tc>
          <w:tcPr/>
          <w:p>
            <w:pPr>
              <w:pStyle w:val="Compact"/>
              <w:jc w:val="left"/>
            </w:pPr>
            <w:r>
              <w:t xml:space="preserve">Technique Goal</w:t>
            </w:r>
          </w:p>
        </w:tc>
        <w:tc>
          <w:tcPr/>
          <w:p>
            <w:pPr>
              <w:pStyle w:val="Compact"/>
              <w:jc w:val="left"/>
            </w:pPr>
            <w:r>
              <w:t xml:space="preserve">Identify credible peer champions within each cohort.</w:t>
            </w:r>
          </w:p>
        </w:tc>
      </w:tr>
      <w:tr>
        <w:tc>
          <w:tcPr/>
          <w:p>
            <w:pPr>
              <w:pStyle w:val="Compact"/>
              <w:jc w:val="left"/>
            </w:pPr>
            <w:r>
              <w:t xml:space="preserve">Technique Details</w:t>
            </w:r>
          </w:p>
        </w:tc>
        <w:tc>
          <w:tcPr/>
          <w:p>
            <w:pPr>
              <w:pStyle w:val="Compact"/>
              <w:jc w:val="left"/>
            </w:pPr>
            <w:r>
              <w:t xml:space="preserve">Ask supervisors and FPOs to nominate 1 champion per 15–20 employees, screened for peer credibility rather than seniority.</w:t>
            </w:r>
          </w:p>
        </w:tc>
      </w:tr>
      <w:tr>
        <w:tc>
          <w:tcPr/>
          <w:p>
            <w:pPr>
              <w:pStyle w:val="Compact"/>
              <w:jc w:val="left"/>
            </w:pPr>
            <w:r>
              <w:t xml:space="preserve">Recommended Open-Source Tool</w:t>
            </w:r>
          </w:p>
        </w:tc>
        <w:tc>
          <w:tcPr/>
          <w:p>
            <w:pPr>
              <w:pStyle w:val="Compact"/>
              <w:jc w:val="left"/>
            </w:pPr>
            <w:r>
              <w:t xml:space="preserve">LimeSurvey</w:t>
            </w:r>
          </w:p>
        </w:tc>
      </w:tr>
    </w:tbl>
    <w:p>
      <w:pPr>
        <w:pStyle w:val="BodyText"/>
      </w:pPr>
      <w:r>
        <w:rPr>
          <w:bCs/>
          <w:b/>
        </w:rPr>
        <w:t xml:space="preserve">journi:</w:t>
      </w:r>
      <w:r>
        <w:t xml:space="preserve"> </w:t>
      </w:r>
      <w:r>
        <w:rPr>
          <w:iCs/>
          <w:i/>
        </w:rPr>
        <w:t xml:space="preserve">This is entered/updated in journi — M4 — Stakeholder &amp; Impact Mapping.</w:t>
      </w:r>
    </w:p>
    <w:p>
      <w:pPr>
        <w:pStyle w:val="BodyText"/>
      </w:pPr>
      <w:r>
        <w:rPr>
          <w:bCs/>
          <w:b/>
          <w:color w:val="5A8F89"/>
          <w:sz w:val="22"/>
        </w:rPr>
        <w:t xml:space="preserve">Step 2 — Brief the champion network</w:t>
      </w:r>
    </w:p>
    <w:p>
      <w:pPr>
        <w:pStyle w:val="BodyText"/>
      </w:pPr>
      <w:r>
        <w:t xml:space="preserve">This is the moment the champion network becomes a real early-warning system rather than a name on a list — champions who don't know how to escalate a barrier reason won't do it.</w:t>
      </w:r>
    </w:p>
    <w:p>
      <w:pPr>
        <w:pStyle w:val="BodyText"/>
      </w:pPr>
      <w:r>
        <w:rPr>
          <w:iCs/>
          <w:i/>
        </w:rPr>
        <w:t xml:space="preserve">SIPOC for this step.</w:t>
      </w:r>
    </w:p>
    <w:tbl>
      <w:tblPr>
        <w:tblStyle w:val="Table"/>
        <w:tblW w:type="pct" w:w="4955"/>
        <w:tblLook w:firstRow="1" w:lastRow="0" w:firstColumn="0" w:lastColumn="0" w:noHBand="0" w:noVBand="0" w:val="0020"/>
        <w:jc w:val="start"/>
      </w:tblPr>
      <w:tblGrid>
        <w:gridCol w:w="1397"/>
        <w:gridCol w:w="860"/>
        <w:gridCol w:w="1003"/>
        <w:gridCol w:w="1254"/>
        <w:gridCol w:w="333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(Nomination survey)</w:t>
            </w:r>
          </w:p>
        </w:tc>
        <w:tc>
          <w:tcPr/>
          <w:p>
            <w:pPr>
              <w:pStyle w:val="Compact"/>
              <w:jc w:val="left"/>
            </w:pPr>
            <w:r>
              <w:t xml:space="preserve">Champion nominee list</w:t>
            </w:r>
          </w:p>
        </w:tc>
        <w:tc>
          <w:tcPr/>
          <w:p>
            <w:pPr>
              <w:pStyle w:val="Compact"/>
              <w:jc w:val="left"/>
            </w:pPr>
            <w:r>
              <w:t xml:space="preserve">Champion kickoff workshop</w:t>
            </w:r>
          </w:p>
        </w:tc>
        <w:tc>
          <w:tcPr/>
          <w:p>
            <w:pPr>
              <w:pStyle w:val="Compact"/>
              <w:jc w:val="left"/>
            </w:pPr>
            <w:r>
              <w:t xml:space="preserve">Briefed, active champion network</w:t>
            </w:r>
          </w:p>
        </w:tc>
        <w:tc>
          <w:tcPr/>
          <w:p>
            <w:pPr>
              <w:pStyle w:val="Compact"/>
              <w:jc w:val="left"/>
            </w:pPr>
            <w:r>
              <w:t xml:space="preserve">Testing team (next phase); Functional Process Owners; end users, via the champion network.</w:t>
            </w:r>
          </w:p>
        </w:tc>
      </w:tr>
    </w:tbl>
    <w:p>
      <w:pPr>
        <w:pStyle w:val="BodyText"/>
      </w:pPr>
      <w:r>
        <w:rPr>
          <w:iCs/>
          <w:i/>
        </w:rPr>
        <w:t xml:space="preserve">Technique detail for this step.</w:t>
      </w:r>
    </w:p>
    <w:tbl>
      <w:tblPr>
        <w:tblStyle w:val="Table"/>
        <w:tblW w:type="pct" w:w="4934"/>
        <w:tblLook w:firstRow="1" w:lastRow="0" w:firstColumn="0" w:lastColumn="0" w:noHBand="0" w:noVBand="0" w:val="0020"/>
        <w:jc w:val="start"/>
      </w:tblPr>
      <w:tblGrid>
        <w:gridCol w:w="1615"/>
        <w:gridCol w:w="6200"/>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Champion kickoff workshop</w:t>
            </w:r>
          </w:p>
        </w:tc>
      </w:tr>
      <w:tr>
        <w:tc>
          <w:tcPr/>
          <w:p>
            <w:pPr>
              <w:pStyle w:val="Compact"/>
              <w:jc w:val="left"/>
            </w:pPr>
            <w:r>
              <w:t xml:space="preserve">Technique Goal</w:t>
            </w:r>
          </w:p>
        </w:tc>
        <w:tc>
          <w:tcPr/>
          <w:p>
            <w:pPr>
              <w:pStyle w:val="Compact"/>
              <w:jc w:val="left"/>
            </w:pPr>
            <w:r>
              <w:t xml:space="preserve">Align champions on their role, cadence and escalation path.</w:t>
            </w:r>
          </w:p>
        </w:tc>
      </w:tr>
      <w:tr>
        <w:tc>
          <w:tcPr/>
          <w:p>
            <w:pPr>
              <w:pStyle w:val="Compact"/>
              <w:jc w:val="left"/>
            </w:pPr>
            <w:r>
              <w:t xml:space="preserve">Technique Details</w:t>
            </w:r>
          </w:p>
        </w:tc>
        <w:tc>
          <w:tcPr/>
          <w:p>
            <w:pPr>
              <w:pStyle w:val="Compact"/>
              <w:jc w:val="left"/>
            </w:pPr>
            <w:r>
              <w:t xml:space="preserve">A half-day session covering the champion's role, the weekly feedback cadence, and how to escalate a barrier reason.</w:t>
            </w:r>
          </w:p>
        </w:tc>
      </w:tr>
      <w:tr>
        <w:tc>
          <w:tcPr/>
          <w:p>
            <w:pPr>
              <w:pStyle w:val="Compact"/>
              <w:jc w:val="left"/>
            </w:pPr>
            <w:r>
              <w:t xml:space="preserve">Recommended Open-Source Tool</w:t>
            </w:r>
          </w:p>
        </w:tc>
        <w:tc>
          <w:tcPr/>
          <w:p>
            <w:pPr>
              <w:pStyle w:val="Compact"/>
              <w:jc w:val="left"/>
            </w:pPr>
            <w:r>
              <w:t xml:space="preserve">BigBlueButton + Mattermost (ongoing coordination)</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PM</w:t>
            </w:r>
          </w:p>
        </w:tc>
        <w:tc>
          <w:tcPr/>
          <w:p>
            <w:pPr>
              <w:pStyle w:val="Compact"/>
              <w:jc w:val="left"/>
            </w:pPr>
            <w:r>
              <w:t xml:space="preserve">ES, ITL, EU</w:t>
            </w:r>
          </w:p>
        </w:tc>
      </w:tr>
    </w:tbl>
    <w:p>
      <w:pPr>
        <w:pStyle w:val="BodyText"/>
      </w:pPr>
      <w:r>
        <w:rPr>
          <w:bCs/>
          <w:b/>
          <w:color w:val="3F827B"/>
          <w:sz w:val="24"/>
        </w:rPr>
        <w:t xml:space="preserve">Task 5 — [CHANGE] Re-run the ADKAR pulse (Awareness / early Desire)</w:t>
      </w:r>
    </w:p>
    <w:p>
      <w:pPr>
        <w:pStyle w:val="BodyText"/>
      </w:pPr>
      <w:r>
        <w:rPr>
          <w:bCs/>
          <w:b/>
        </w:rPr>
        <w:t xml:space="preserve">journi:</w:t>
      </w:r>
      <w:r>
        <w:t xml:space="preserve"> </w:t>
      </w:r>
      <w:r>
        <w:rPr>
          <w:iCs/>
          <w:i/>
        </w:rPr>
        <w:t xml:space="preserve">This is entered/updated in journi — M5.</w:t>
      </w:r>
    </w:p>
    <w:p>
      <w:pPr>
        <w:pStyle w:val="BodyText"/>
      </w:pPr>
      <w:r>
        <w:rPr>
          <w:bCs/>
          <w:b/>
          <w:color w:val="5A8F89"/>
          <w:sz w:val="22"/>
        </w:rPr>
        <w:t xml:space="preserve">Step 1 — Re-survey the population</w:t>
      </w:r>
    </w:p>
    <w:p>
      <w:pPr>
        <w:pStyle w:val="BodyText"/>
      </w:pPr>
      <w:r>
        <w:t xml:space="preserve">Using the identical instrument as the baseline is what makes this a genuine wave-over-wave comparison rather than two different snapshots that can't be honestly compared.</w:t>
      </w:r>
    </w:p>
    <w:p>
      <w:pPr>
        <w:pStyle w:val="BodyText"/>
      </w:pPr>
      <w:r>
        <w:rPr>
          <w:iCs/>
          <w:i/>
        </w:rPr>
        <w:t xml:space="preserve">SIPOC for this step.</w:t>
      </w:r>
    </w:p>
    <w:tbl>
      <w:tblPr>
        <w:tblStyle w:val="Table"/>
        <w:tblW w:type="pct" w:w="4969"/>
        <w:tblLook w:firstRow="1" w:lastRow="0" w:firstColumn="0" w:lastColumn="0" w:noHBand="0" w:noVBand="0" w:val="0020"/>
        <w:jc w:val="start"/>
      </w:tblPr>
      <w:tblGrid>
        <w:gridCol w:w="3275"/>
        <w:gridCol w:w="2835"/>
        <w:gridCol w:w="586"/>
        <w:gridCol w:w="537"/>
        <w:gridCol w:w="63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and configuration team; Functional Process Owners (requirements sign-off); Change Manager; Communications lead.</w:t>
            </w:r>
          </w:p>
        </w:tc>
        <w:tc>
          <w:tcPr/>
          <w:p>
            <w:pPr>
              <w:pStyle w:val="Compact"/>
              <w:jc w:val="left"/>
            </w:pPr>
            <w:r>
              <w:t xml:space="preserve">Approved future-state design; configuration and build backlog; communication plan; champion-network nominee list.</w:t>
            </w:r>
          </w:p>
        </w:tc>
        <w:tc>
          <w:tcPr/>
          <w:p>
            <w:pPr>
              <w:pStyle w:val="Compact"/>
              <w:jc w:val="left"/>
            </w:pPr>
            <w:r>
              <w:t xml:space="preserve">Pulse survey (wave 2)</w:t>
            </w:r>
          </w:p>
        </w:tc>
        <w:tc>
          <w:tcPr/>
          <w:p>
            <w:pPr>
              <w:pStyle w:val="Compact"/>
              <w:jc w:val="left"/>
            </w:pPr>
            <w:r>
              <w:t xml:space="preserve">Wave-2 ADKAR scores</w:t>
            </w:r>
          </w:p>
        </w:tc>
        <w:tc>
          <w:tcPr/>
          <w:p>
            <w:pPr>
              <w:pStyle w:val="Compact"/>
              <w:jc w:val="left"/>
            </w:pPr>
            <w:r>
              <w:t xml:space="preserve">Step 2 (Trend analysis)</w:t>
            </w:r>
          </w:p>
        </w:tc>
      </w:tr>
    </w:tbl>
    <w:p>
      <w:pPr>
        <w:pStyle w:val="BodyText"/>
      </w:pPr>
      <w:r>
        <w:rPr>
          <w:iCs/>
          <w:i/>
        </w:rPr>
        <w:t xml:space="preserve">Technique detail for this step.</w:t>
      </w:r>
    </w:p>
    <w:tbl>
      <w:tblPr>
        <w:tblStyle w:val="Table"/>
        <w:tblW w:type="pct" w:w="4930"/>
        <w:tblLook w:firstRow="1" w:lastRow="0" w:firstColumn="0" w:lastColumn="0" w:noHBand="0" w:noVBand="0" w:val="0020"/>
        <w:jc w:val="start"/>
      </w:tblPr>
      <w:tblGrid>
        <w:gridCol w:w="1716"/>
        <w:gridCol w:w="609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Pulse survey (wave 2)</w:t>
            </w:r>
          </w:p>
        </w:tc>
      </w:tr>
      <w:tr>
        <w:tc>
          <w:tcPr/>
          <w:p>
            <w:pPr>
              <w:pStyle w:val="Compact"/>
              <w:jc w:val="left"/>
            </w:pPr>
            <w:r>
              <w:t xml:space="preserve">Technique Goal</w:t>
            </w:r>
          </w:p>
        </w:tc>
        <w:tc>
          <w:tcPr/>
          <w:p>
            <w:pPr>
              <w:pStyle w:val="Compact"/>
              <w:jc w:val="left"/>
            </w:pPr>
            <w:r>
              <w:t xml:space="preserve">Track Awareness / Desire movement since the Month-0 baseline.</w:t>
            </w:r>
          </w:p>
        </w:tc>
      </w:tr>
      <w:tr>
        <w:tc>
          <w:tcPr/>
          <w:p>
            <w:pPr>
              <w:pStyle w:val="Compact"/>
              <w:jc w:val="left"/>
            </w:pPr>
            <w:r>
              <w:t xml:space="preserve">Technique Details</w:t>
            </w:r>
          </w:p>
        </w:tc>
        <w:tc>
          <w:tcPr/>
          <w:p>
            <w:pPr>
              <w:pStyle w:val="Compact"/>
              <w:jc w:val="left"/>
            </w:pPr>
            <w:r>
              <w:t xml:space="preserve">Re-issue the same instrument used at baseline to the same population for a clean wave-over-wave comparison.</w:t>
            </w:r>
          </w:p>
        </w:tc>
      </w:tr>
      <w:tr>
        <w:tc>
          <w:tcPr/>
          <w:p>
            <w:pPr>
              <w:pStyle w:val="Compact"/>
              <w:jc w:val="left"/>
            </w:pPr>
            <w:r>
              <w:t xml:space="preserve">Recommended Open-Source Tool</w:t>
            </w:r>
          </w:p>
        </w:tc>
        <w:tc>
          <w:tcPr/>
          <w:p>
            <w:pPr>
              <w:pStyle w:val="Compact"/>
              <w:jc w:val="left"/>
            </w:pPr>
            <w:r>
              <w:t xml:space="preserve">LimeSurvey</w:t>
            </w:r>
          </w:p>
        </w:tc>
      </w:tr>
    </w:tbl>
    <w:p>
      <w:pPr>
        <w:pStyle w:val="BodyText"/>
      </w:pPr>
      <w:r>
        <w:rPr>
          <w:bCs/>
          <w:b/>
        </w:rPr>
        <w:t xml:space="preserve">journi:</w:t>
      </w:r>
      <w:r>
        <w:t xml:space="preserve"> </w:t>
      </w:r>
      <w:r>
        <w:rPr>
          <w:iCs/>
          <w:i/>
        </w:rPr>
        <w:t xml:space="preserve">This is entered/updated in journi — M5 — ADKAR Engine.</w:t>
      </w:r>
    </w:p>
    <w:p>
      <w:pPr>
        <w:pStyle w:val="BodyText"/>
      </w:pPr>
      <w:r>
        <w:rPr>
          <w:bCs/>
          <w:b/>
          <w:color w:val="5A8F89"/>
          <w:sz w:val="22"/>
        </w:rPr>
        <w:t xml:space="preserve">Step 2 — Compare wave-over-wave trends</w:t>
      </w:r>
    </w:p>
    <w:p>
      <w:pPr>
        <w:pStyle w:val="BodyText"/>
      </w:pPr>
      <w:r>
        <w:t xml:space="preserve">This is usually the first point in the program where a stalled Desire score becomes visible in the data, well before it would otherwise surface in a workshop or a complaint.</w:t>
      </w:r>
    </w:p>
    <w:p>
      <w:pPr>
        <w:pStyle w:val="BodyText"/>
      </w:pPr>
      <w:r>
        <w:rPr>
          <w:iCs/>
          <w:i/>
        </w:rPr>
        <w:t xml:space="preserve">SIPOC for this step.</w:t>
      </w:r>
    </w:p>
    <w:tbl>
      <w:tblPr>
        <w:tblStyle w:val="Table"/>
        <w:tblW w:type="pct" w:w="4952"/>
        <w:tblLook w:firstRow="1" w:lastRow="0" w:firstColumn="0" w:lastColumn="0" w:noHBand="0" w:noVBand="0" w:val="0020"/>
        <w:jc w:val="start"/>
      </w:tblPr>
      <w:tblGrid>
        <w:gridCol w:w="1645"/>
        <w:gridCol w:w="841"/>
        <w:gridCol w:w="650"/>
        <w:gridCol w:w="1147"/>
        <w:gridCol w:w="355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(Pulse survey (wave 2))</w:t>
            </w:r>
          </w:p>
        </w:tc>
        <w:tc>
          <w:tcPr/>
          <w:p>
            <w:pPr>
              <w:pStyle w:val="Compact"/>
              <w:jc w:val="left"/>
            </w:pPr>
            <w:r>
              <w:t xml:space="preserve">Wave-2 ADKAR scores</w:t>
            </w:r>
          </w:p>
        </w:tc>
        <w:tc>
          <w:tcPr/>
          <w:p>
            <w:pPr>
              <w:pStyle w:val="Compact"/>
              <w:jc w:val="left"/>
            </w:pPr>
            <w:r>
              <w:t xml:space="preserve">Trend analysis</w:t>
            </w:r>
          </w:p>
        </w:tc>
        <w:tc>
          <w:tcPr/>
          <w:p>
            <w:pPr>
              <w:pStyle w:val="Compact"/>
              <w:jc w:val="left"/>
            </w:pPr>
            <w:r>
              <w:t xml:space="preserve">Wave-over-wave trend report</w:t>
            </w:r>
          </w:p>
        </w:tc>
        <w:tc>
          <w:tcPr/>
          <w:p>
            <w:pPr>
              <w:pStyle w:val="Compact"/>
              <w:jc w:val="left"/>
            </w:pPr>
            <w:r>
              <w:t xml:space="preserve">Testing team (next phase); Functional Process Owners; end users, via the champion network.</w:t>
            </w:r>
          </w:p>
        </w:tc>
      </w:tr>
    </w:tbl>
    <w:p>
      <w:pPr>
        <w:pStyle w:val="BodyText"/>
      </w:pPr>
      <w:r>
        <w:rPr>
          <w:iCs/>
          <w:i/>
        </w:rPr>
        <w:t xml:space="preserve">Technique detail for this step.</w:t>
      </w:r>
    </w:p>
    <w:tbl>
      <w:tblPr>
        <w:tblStyle w:val="Table"/>
        <w:tblW w:type="pct" w:w="4924"/>
        <w:tblLook w:firstRow="1" w:lastRow="0" w:firstColumn="0" w:lastColumn="0" w:noHBand="0" w:noVBand="0" w:val="0020"/>
        <w:jc w:val="start"/>
      </w:tblPr>
      <w:tblGrid>
        <w:gridCol w:w="1860"/>
        <w:gridCol w:w="5940"/>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Trend analysis</w:t>
            </w:r>
          </w:p>
        </w:tc>
      </w:tr>
      <w:tr>
        <w:tc>
          <w:tcPr/>
          <w:p>
            <w:pPr>
              <w:pStyle w:val="Compact"/>
              <w:jc w:val="left"/>
            </w:pPr>
            <w:r>
              <w:t xml:space="preserve">Technique Goal</w:t>
            </w:r>
          </w:p>
        </w:tc>
        <w:tc>
          <w:tcPr/>
          <w:p>
            <w:pPr>
              <w:pStyle w:val="Compact"/>
              <w:jc w:val="left"/>
            </w:pPr>
            <w:r>
              <w:t xml:space="preserve">Compare wave 1 vs. wave 2 results by cohort.</w:t>
            </w:r>
          </w:p>
        </w:tc>
      </w:tr>
      <w:tr>
        <w:tc>
          <w:tcPr/>
          <w:p>
            <w:pPr>
              <w:pStyle w:val="Compact"/>
              <w:jc w:val="left"/>
            </w:pPr>
            <w:r>
              <w:t xml:space="preserve">Technique Details</w:t>
            </w:r>
          </w:p>
        </w:tc>
        <w:tc>
          <w:tcPr/>
          <w:p>
            <w:pPr>
              <w:pStyle w:val="Compact"/>
              <w:jc w:val="left"/>
            </w:pPr>
            <w:r>
              <w:t xml:space="preserve">Build a wave-over-wave comparison view by cohort and flag any cohort where Desire has not moved.</w:t>
            </w:r>
          </w:p>
        </w:tc>
      </w:tr>
      <w:tr>
        <w:tc>
          <w:tcPr/>
          <w:p>
            <w:pPr>
              <w:pStyle w:val="Compact"/>
              <w:jc w:val="left"/>
            </w:pPr>
            <w:r>
              <w:t xml:space="preserve">Recommended Open-Source Tool</w:t>
            </w:r>
          </w:p>
        </w:tc>
        <w:tc>
          <w:tcPr/>
          <w:p>
            <w:pPr>
              <w:pStyle w:val="Compact"/>
              <w:jc w:val="left"/>
            </w:pPr>
            <w:r>
              <w:t xml:space="preserve">Metabase</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EU</w:t>
            </w:r>
          </w:p>
        </w:tc>
        <w:tc>
          <w:tcPr/>
          <w:p>
            <w:pPr>
              <w:pStyle w:val="Compact"/>
              <w:jc w:val="left"/>
            </w:pPr>
            <w:r>
              <w:t xml:space="preserve">CM</w:t>
            </w:r>
          </w:p>
        </w:tc>
        <w:tc>
          <w:tcPr/>
          <w:p>
            <w:pPr>
              <w:pStyle w:val="Compact"/>
              <w:jc w:val="left"/>
            </w:pPr>
            <w:r>
              <w:t xml:space="preserve">FPO, SUP</w:t>
            </w:r>
          </w:p>
        </w:tc>
        <w:tc>
          <w:tcPr/>
          <w:p>
            <w:pPr>
              <w:pStyle w:val="Compact"/>
              <w:jc w:val="left"/>
            </w:pPr>
            <w:r>
              <w:t xml:space="preserve">PM</w:t>
            </w:r>
          </w:p>
        </w:tc>
        <w:tc>
          <w:tcPr/>
          <w:p>
            <w:pPr>
              <w:pStyle w:val="Compact"/>
              <w:jc w:val="left"/>
            </w:pPr>
            <w:r>
              <w:t xml:space="preserve">ES, ITL</w:t>
            </w:r>
          </w:p>
        </w:tc>
      </w:tr>
    </w:tbl>
    <w:p>
      <w:pPr>
        <w:pStyle w:val="BodyText"/>
      </w:pPr>
      <w:r>
        <w:rPr>
          <w:bCs/>
          <w:b/>
          <w:color w:val="275650"/>
          <w:sz w:val="27"/>
        </w:rPr>
        <w:t xml:space="preserve">6.3 Phase 3 — Data Migration &amp; Integration (Weeks 13–28)</w:t>
      </w:r>
    </w:p>
    <w:p>
      <w:pPr>
        <w:pStyle w:val="BodyText"/>
      </w:pPr>
      <w:r>
        <w:t xml:space="preserve">The highest-risk, least-visible phase — exactly where journi's own data shows a Desire stall is most likely (Exception E1).</w:t>
      </w:r>
    </w:p>
    <w:p>
      <w:pPr>
        <w:pStyle w:val="BodyText"/>
      </w:pPr>
      <w:r>
        <w:rPr>
          <w:bCs/>
          <w:b/>
        </w:rPr>
        <w:t xml:space="preserve">Timeline</w:t>
      </w:r>
    </w:p>
    <w:tbl>
      <w:tblPr>
        <w:tblStyle w:val="Table"/>
        <w:tblW w:type="pct" w:w="4932"/>
        <w:tblLook w:firstRow="1" w:lastRow="0" w:firstColumn="0" w:lastColumn="0" w:noHBand="0" w:noVBand="0" w:val="0020"/>
        <w:jc w:val="start"/>
      </w:tblPr>
      <w:tblGrid>
        <w:gridCol w:w="592"/>
        <w:gridCol w:w="5333"/>
        <w:gridCol w:w="1077"/>
        <w:gridCol w:w="808"/>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Owner(s)</w:t>
            </w:r>
          </w:p>
        </w:tc>
      </w:tr>
      <w:tr>
        <w:tc>
          <w:tcPr/>
          <w:p>
            <w:pPr>
              <w:pStyle w:val="Compact"/>
              <w:jc w:val="left"/>
            </w:pPr>
            <w:r>
              <w:t xml:space="preserve">W13–W14</w:t>
            </w:r>
          </w:p>
        </w:tc>
        <w:tc>
          <w:tcPr/>
          <w:p>
            <w:pPr>
              <w:pStyle w:val="Compact"/>
              <w:jc w:val="left"/>
            </w:pPr>
            <w:r>
              <w:t xml:space="preserve">Cleanse and map legacy data to the future-state model.</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W15–W16</w:t>
            </w:r>
          </w:p>
        </w:tc>
        <w:tc>
          <w:tcPr/>
          <w:p>
            <w:pPr>
              <w:pStyle w:val="Compact"/>
              <w:jc w:val="left"/>
            </w:pPr>
            <w:r>
              <w:t xml:space="preserve">Build integrations with adjacent systems.</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W17–W18</w:t>
            </w:r>
          </w:p>
        </w:tc>
        <w:tc>
          <w:tcPr/>
          <w:p>
            <w:pPr>
              <w:pStyle w:val="Compact"/>
              <w:jc w:val="left"/>
            </w:pPr>
            <w:r>
              <w:t xml:space="preserve">Test integrations; log defects.</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W19–W20</w:t>
            </w:r>
          </w:p>
        </w:tc>
        <w:tc>
          <w:tcPr/>
          <w:p>
            <w:pPr>
              <w:pStyle w:val="Compact"/>
              <w:jc w:val="left"/>
            </w:pPr>
            <w:r>
              <w:t xml:space="preserve">Run the first mock migration cycle and reconcile results.</w:t>
            </w:r>
          </w:p>
        </w:tc>
        <w:tc>
          <w:tcPr/>
          <w:p>
            <w:pPr>
              <w:pStyle w:val="Compact"/>
              <w:jc w:val="left"/>
            </w:pPr>
            <w:r>
              <w:t xml:space="preserve">—</w:t>
            </w:r>
          </w:p>
        </w:tc>
        <w:tc>
          <w:tcPr/>
          <w:p>
            <w:pPr>
              <w:pStyle w:val="Compact"/>
              <w:jc w:val="left"/>
            </w:pPr>
            <w:r>
              <w:t xml:space="preserve">ITL, PM</w:t>
            </w:r>
          </w:p>
        </w:tc>
      </w:tr>
      <w:tr>
        <w:tc>
          <w:tcPr/>
          <w:p>
            <w:pPr>
              <w:pStyle w:val="Compact"/>
              <w:jc w:val="left"/>
            </w:pPr>
            <w:r>
              <w:t xml:space="preserve">W21–W22</w:t>
            </w:r>
          </w:p>
        </w:tc>
        <w:tc>
          <w:tcPr/>
          <w:p>
            <w:pPr>
              <w:pStyle w:val="Compact"/>
              <w:jc w:val="left"/>
            </w:pPr>
            <w:r>
              <w:t xml:space="preserve">Watch for Desire-stall signals from low end-user visibility; log a barrier reason if Desire ≤ 2.</w:t>
            </w:r>
          </w:p>
        </w:tc>
        <w:tc>
          <w:tcPr/>
          <w:p>
            <w:pPr>
              <w:pStyle w:val="Compact"/>
              <w:jc w:val="left"/>
            </w:pPr>
            <w:r>
              <w:t xml:space="preserve">M5 CM</w:t>
            </w:r>
          </w:p>
        </w:tc>
        <w:tc>
          <w:tcPr/>
          <w:p>
            <w:pPr>
              <w:pStyle w:val="Compact"/>
            </w:pPr>
          </w:p>
        </w:tc>
      </w:tr>
      <w:tr>
        <w:tc>
          <w:tcPr/>
          <w:p>
            <w:pPr>
              <w:pStyle w:val="Compact"/>
              <w:jc w:val="left"/>
            </w:pPr>
            <w:r>
              <w:t xml:space="preserve">W23–W24</w:t>
            </w:r>
          </w:p>
        </w:tc>
        <w:tc>
          <w:tcPr/>
          <w:p>
            <w:pPr>
              <w:pStyle w:val="Compact"/>
              <w:jc w:val="left"/>
            </w:pPr>
            <w:r>
              <w:t xml:space="preserve">Run the second mock migration cycle; prepare data-quality sign-off.</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W25–W26</w:t>
            </w:r>
          </w:p>
        </w:tc>
        <w:tc>
          <w:tcPr/>
          <w:p>
            <w:pPr>
              <w:pStyle w:val="Compact"/>
              <w:jc w:val="left"/>
            </w:pPr>
            <w:r>
              <w:t xml:space="preserve">Update the Composite Readiness Index ahead of the Testing entry gate.</w:t>
            </w:r>
          </w:p>
        </w:tc>
        <w:tc>
          <w:tcPr/>
          <w:p>
            <w:pPr>
              <w:pStyle w:val="Compact"/>
              <w:jc w:val="left"/>
            </w:pPr>
            <w:r>
              <w:t xml:space="preserve">M5–M6 CM</w:t>
            </w:r>
          </w:p>
        </w:tc>
        <w:tc>
          <w:tcPr/>
          <w:p>
            <w:pPr>
              <w:pStyle w:val="Compact"/>
            </w:pPr>
          </w:p>
        </w:tc>
      </w:tr>
      <w:tr>
        <w:tc>
          <w:tcPr/>
          <w:p>
            <w:pPr>
              <w:pStyle w:val="Compact"/>
              <w:jc w:val="left"/>
            </w:pPr>
            <w:r>
              <w:t xml:space="preserve">W27–W28</w:t>
            </w:r>
          </w:p>
        </w:tc>
        <w:tc>
          <w:tcPr/>
          <w:p>
            <w:pPr>
              <w:pStyle w:val="Compact"/>
              <w:jc w:val="left"/>
            </w:pPr>
            <w:r>
              <w:t xml:space="preserve">Data-quality sign-off; Phase 3 gate review.</w:t>
            </w:r>
          </w:p>
        </w:tc>
        <w:tc>
          <w:tcPr/>
          <w:p>
            <w:pPr>
              <w:pStyle w:val="Compact"/>
              <w:jc w:val="left"/>
            </w:pPr>
            <w:r>
              <w:t xml:space="preserve">—</w:t>
            </w:r>
          </w:p>
        </w:tc>
        <w:tc>
          <w:tcPr/>
          <w:p>
            <w:pPr>
              <w:pStyle w:val="Compact"/>
              <w:jc w:val="left"/>
            </w:pPr>
            <w:r>
              <w:t xml:space="preserve">FPO, ES</w:t>
            </w:r>
          </w:p>
        </w:tc>
      </w:tr>
    </w:tbl>
    <w:p>
      <w:pPr>
        <w:pStyle w:val="BodyText"/>
      </w:pPr>
      <w:r>
        <w:rPr>
          <w:iCs/>
          <w:i/>
        </w:rPr>
        <w:t xml:space="preserve">Week-by-week timeline for Phase 3 — Data Migration &amp; Integration.</w:t>
      </w:r>
    </w:p>
    <w:p>
      <w:pPr>
        <w:pStyle w:val="BodyText"/>
      </w:pPr>
      <w:r>
        <w:rPr>
          <w:bCs/>
          <w:b/>
        </w:rPr>
        <w:t xml:space="preserve">SIPOC</w:t>
      </w:r>
    </w:p>
    <w:tbl>
      <w:tblPr>
        <w:tblStyle w:val="Table"/>
        <w:tblW w:type="pct" w:w="4967"/>
        <w:tblLook w:firstRow="1" w:lastRow="0" w:firstColumn="0" w:lastColumn="0" w:noHBand="0" w:noVBand="0" w:val="0020"/>
        <w:jc w:val="start"/>
      </w:tblPr>
      <w:tblGrid>
        <w:gridCol w:w="1425"/>
        <w:gridCol w:w="1883"/>
        <w:gridCol w:w="1196"/>
        <w:gridCol w:w="2023"/>
        <w:gridCol w:w="133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legacy system owners; data governance / master data team.</w:t>
            </w:r>
          </w:p>
        </w:tc>
        <w:tc>
          <w:tcPr/>
          <w:p>
            <w:pPr>
              <w:pStyle w:val="Compact"/>
              <w:jc w:val="left"/>
            </w:pPr>
            <w:r>
              <w:t xml:space="preserve">Data mapping and cleansing rules; legacy extracts; integration specifications; cutover data-freeze plan.</w:t>
            </w:r>
          </w:p>
        </w:tc>
        <w:tc>
          <w:tcPr/>
          <w:p>
            <w:pPr>
              <w:jc w:val="left"/>
            </w:pPr>
            <w:r>
              <w:t xml:space="preserve">1. Cleanse and map legacy data to the future-state model</w:t>
            </w:r>
          </w:p>
          <w:p>
            <w:pPr>
              <w:jc w:val="left"/>
            </w:pPr>
            <w:r>
              <w:t xml:space="preserve">2. Build and test integrations with adjacent systems</w:t>
            </w:r>
          </w:p>
          <w:p>
            <w:pPr>
              <w:jc w:val="left"/>
            </w:pPr>
            <w:r>
              <w:t xml:space="preserve">3. Run mock data-migration cycles and reconcile results</w:t>
            </w:r>
          </w:p>
          <w:p>
            <w:pPr>
              <w:jc w:val="left"/>
            </w:pPr>
            <w:r>
              <w:t xml:space="preserve">4. Log Desire-block barrier reasons from low end-user visibility</w:t>
            </w:r>
          </w:p>
          <w:p>
            <w:pPr>
              <w:jc w:val="left"/>
            </w:pPr>
            <w:r>
              <w:t xml:space="preserve">5. Update the Composite Readiness Index ahead of Testing</w:t>
            </w:r>
          </w:p>
        </w:tc>
        <w:tc>
          <w:tcPr/>
          <w:p>
            <w:pPr>
              <w:pStyle w:val="Compact"/>
              <w:jc w:val="left"/>
            </w:pPr>
            <w:r>
              <w:t xml:space="preserve">Migrated and reconciled data set; tested integrations; data-quality sign-off; updated Composite Readiness Index.</w:t>
            </w:r>
          </w:p>
        </w:tc>
        <w:tc>
          <w:tcPr/>
          <w:p>
            <w:pPr>
              <w:pStyle w:val="Compact"/>
              <w:jc w:val="left"/>
            </w:pPr>
            <w:r>
              <w:t xml:space="preserve">Testing team; Functional Process Owners (data sign-off); Program Manager.</w:t>
            </w:r>
          </w:p>
        </w:tc>
      </w:tr>
    </w:tbl>
    <w:p>
      <w:pPr>
        <w:pStyle w:val="BodyText"/>
      </w:pPr>
      <w:r>
        <w:rPr>
          <w:iCs/>
          <w:i/>
        </w:rPr>
        <w:t xml:space="preserve">SIPOC for Phase 3 — Data Migration &amp; Integration. The Process column lists this phase's five Tasks in sequence.</w:t>
      </w:r>
    </w:p>
    <w:p>
      <w:pPr>
        <w:pStyle w:val="BodyText"/>
      </w:pPr>
      <w:r>
        <w:rPr>
          <w:bCs/>
          <w:b/>
        </w:rPr>
        <w:t xml:space="preserve">Tasks, Steps, Techniques &amp; RACSI</w:t>
      </w:r>
    </w:p>
    <w:p>
      <w:pPr>
        <w:pStyle w:val="BodyText"/>
      </w:pPr>
      <w:r>
        <w:rPr>
          <w:bCs/>
          <w:b/>
          <w:color w:val="3F827B"/>
          <w:sz w:val="24"/>
        </w:rPr>
        <w:t xml:space="preserve">Task 1 — [PROJECT] Cleanse and map legacy data to the future-state model</w:t>
      </w:r>
    </w:p>
    <w:p>
      <w:pPr>
        <w:pStyle w:val="BodyText"/>
      </w:pPr>
      <w:r>
        <w:rPr>
          <w:bCs/>
          <w:b/>
          <w:color w:val="5A8F89"/>
          <w:sz w:val="22"/>
        </w:rPr>
        <w:t xml:space="preserve">Step 1 — Profile the legacy data</w:t>
      </w:r>
    </w:p>
    <w:p>
      <w:pPr>
        <w:pStyle w:val="BodyText"/>
      </w:pPr>
      <w:r>
        <w:t xml:space="preserve">Finding a data-quality defect here costs a mapping-rule adjustment; finding the same defect at reconciliation, three steps later, costs a re-run of the entire migration cycle.</w:t>
      </w:r>
    </w:p>
    <w:p>
      <w:pPr>
        <w:pStyle w:val="BodyText"/>
      </w:pPr>
      <w:r>
        <w:rPr>
          <w:iCs/>
          <w:i/>
        </w:rPr>
        <w:t xml:space="preserve">SIPOC for this step.</w:t>
      </w:r>
    </w:p>
    <w:tbl>
      <w:tblPr>
        <w:tblStyle w:val="Table"/>
        <w:tblW w:type="pct" w:w="4962"/>
        <w:tblLook w:firstRow="1" w:lastRow="0" w:firstColumn="0" w:lastColumn="0" w:noHBand="0" w:noVBand="0" w:val="0020"/>
        <w:jc w:val="start"/>
      </w:tblPr>
      <w:tblGrid>
        <w:gridCol w:w="2457"/>
        <w:gridCol w:w="3246"/>
        <w:gridCol w:w="515"/>
        <w:gridCol w:w="819"/>
        <w:gridCol w:w="81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legacy system owners; data governance / master data team.</w:t>
            </w:r>
          </w:p>
        </w:tc>
        <w:tc>
          <w:tcPr/>
          <w:p>
            <w:pPr>
              <w:pStyle w:val="Compact"/>
              <w:jc w:val="left"/>
            </w:pPr>
            <w:r>
              <w:t xml:space="preserve">Data mapping and cleansing rules; legacy extracts; integration specifications; cutover data-freeze plan.</w:t>
            </w:r>
          </w:p>
        </w:tc>
        <w:tc>
          <w:tcPr/>
          <w:p>
            <w:pPr>
              <w:pStyle w:val="Compact"/>
              <w:jc w:val="left"/>
            </w:pPr>
            <w:r>
              <w:t xml:space="preserve">Data profiling</w:t>
            </w:r>
          </w:p>
        </w:tc>
        <w:tc>
          <w:tcPr/>
          <w:p>
            <w:pPr>
              <w:pStyle w:val="Compact"/>
              <w:jc w:val="left"/>
            </w:pPr>
            <w:r>
              <w:t xml:space="preserve">Data-quality defect list</w:t>
            </w:r>
          </w:p>
        </w:tc>
        <w:tc>
          <w:tcPr/>
          <w:p>
            <w:pPr>
              <w:pStyle w:val="Compact"/>
              <w:jc w:val="left"/>
            </w:pPr>
            <w:r>
              <w:t xml:space="preserve">Step 2 (ETL scripting)</w:t>
            </w:r>
          </w:p>
        </w:tc>
      </w:tr>
    </w:tbl>
    <w:p>
      <w:pPr>
        <w:pStyle w:val="BodyText"/>
      </w:pPr>
      <w:r>
        <w:rPr>
          <w:iCs/>
          <w:i/>
        </w:rPr>
        <w:t xml:space="preserve">Technique detail for this step.</w:t>
      </w:r>
    </w:p>
    <w:tbl>
      <w:tblPr>
        <w:tblStyle w:val="Table"/>
        <w:tblW w:type="pct" w:w="4941"/>
        <w:tblLook w:firstRow="1" w:lastRow="0" w:firstColumn="0" w:lastColumn="0" w:noHBand="0" w:noVBand="0" w:val="0020"/>
        <w:jc w:val="start"/>
      </w:tblPr>
      <w:tblGrid>
        <w:gridCol w:w="1444"/>
        <w:gridCol w:w="638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Data profiling</w:t>
            </w:r>
          </w:p>
        </w:tc>
      </w:tr>
      <w:tr>
        <w:tc>
          <w:tcPr/>
          <w:p>
            <w:pPr>
              <w:pStyle w:val="Compact"/>
              <w:jc w:val="left"/>
            </w:pPr>
            <w:r>
              <w:t xml:space="preserve">Technique Goal</w:t>
            </w:r>
          </w:p>
        </w:tc>
        <w:tc>
          <w:tcPr/>
          <w:p>
            <w:pPr>
              <w:pStyle w:val="Compact"/>
              <w:jc w:val="left"/>
            </w:pPr>
            <w:r>
              <w:t xml:space="preserve">Identify data-quality defects before mapping begins.</w:t>
            </w:r>
          </w:p>
        </w:tc>
      </w:tr>
      <w:tr>
        <w:tc>
          <w:tcPr/>
          <w:p>
            <w:pPr>
              <w:pStyle w:val="Compact"/>
              <w:jc w:val="left"/>
            </w:pPr>
            <w:r>
              <w:t xml:space="preserve">Technique Details</w:t>
            </w:r>
          </w:p>
        </w:tc>
        <w:tc>
          <w:tcPr/>
          <w:p>
            <w:pPr>
              <w:pStyle w:val="Compact"/>
              <w:jc w:val="left"/>
            </w:pPr>
            <w:r>
              <w:t xml:space="preserve">Profile every legacy field slated for migration for null rates, duplicates and out-of-range values before any mapping rule is written.</w:t>
            </w:r>
          </w:p>
        </w:tc>
      </w:tr>
      <w:tr>
        <w:tc>
          <w:tcPr/>
          <w:p>
            <w:pPr>
              <w:pStyle w:val="Compact"/>
              <w:jc w:val="left"/>
            </w:pPr>
            <w:r>
              <w:t xml:space="preserve">Recommended Open-Source Tool</w:t>
            </w:r>
          </w:p>
        </w:tc>
        <w:tc>
          <w:tcPr/>
          <w:p>
            <w:pPr>
              <w:pStyle w:val="Compact"/>
              <w:jc w:val="left"/>
            </w:pPr>
            <w:r>
              <w:t xml:space="preserve">OpenRefine</w:t>
            </w:r>
          </w:p>
        </w:tc>
      </w:tr>
    </w:tbl>
    <w:p>
      <w:pPr>
        <w:pStyle w:val="BodyText"/>
      </w:pPr>
      <w:r>
        <w:rPr>
          <w:bCs/>
          <w:b/>
          <w:color w:val="5A8F89"/>
          <w:sz w:val="22"/>
        </w:rPr>
        <w:t xml:space="preserve">Step 2 — Build the ETL transformation flows</w:t>
      </w:r>
    </w:p>
    <w:p>
      <w:pPr>
        <w:pStyle w:val="BodyText"/>
      </w:pPr>
      <w:r>
        <w:t xml:space="preserve">Building these as reusable, documented flows per data domain — rather than one-off scripts — is what makes the mock-run rehearsals in the next Task actually repeatable.</w:t>
      </w:r>
    </w:p>
    <w:p>
      <w:pPr>
        <w:pStyle w:val="BodyText"/>
      </w:pPr>
      <w:r>
        <w:rPr>
          <w:iCs/>
          <w:i/>
        </w:rPr>
        <w:t xml:space="preserve">SIPOC for this step.</w:t>
      </w:r>
    </w:p>
    <w:tbl>
      <w:tblPr>
        <w:tblStyle w:val="Table"/>
        <w:tblW w:type="pct" w:w="4949"/>
        <w:tblLook w:firstRow="1" w:lastRow="0" w:firstColumn="0" w:lastColumn="0" w:noHBand="0" w:noVBand="0" w:val="0020"/>
        <w:jc w:val="start"/>
      </w:tblPr>
      <w:tblGrid>
        <w:gridCol w:w="1454"/>
        <w:gridCol w:w="1091"/>
        <w:gridCol w:w="646"/>
        <w:gridCol w:w="1575"/>
        <w:gridCol w:w="307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(Data profiling)</w:t>
            </w:r>
          </w:p>
        </w:tc>
        <w:tc>
          <w:tcPr/>
          <w:p>
            <w:pPr>
              <w:pStyle w:val="Compact"/>
              <w:jc w:val="left"/>
            </w:pPr>
            <w:r>
              <w:t xml:space="preserve">Data-quality defect list</w:t>
            </w:r>
          </w:p>
        </w:tc>
        <w:tc>
          <w:tcPr/>
          <w:p>
            <w:pPr>
              <w:pStyle w:val="Compact"/>
              <w:jc w:val="left"/>
            </w:pPr>
            <w:r>
              <w:t xml:space="preserve">ETL scripting</w:t>
            </w:r>
          </w:p>
        </w:tc>
        <w:tc>
          <w:tcPr/>
          <w:p>
            <w:pPr>
              <w:pStyle w:val="Compact"/>
              <w:jc w:val="left"/>
            </w:pPr>
            <w:r>
              <w:t xml:space="preserve">Documented ETL flows per data domain</w:t>
            </w:r>
          </w:p>
        </w:tc>
        <w:tc>
          <w:tcPr/>
          <w:p>
            <w:pPr>
              <w:pStyle w:val="Compact"/>
              <w:jc w:val="left"/>
            </w:pPr>
            <w:r>
              <w:t xml:space="preserve">Testing team; Functional Process Owners (data sign-off); Program Manager.</w:t>
            </w:r>
          </w:p>
        </w:tc>
      </w:tr>
    </w:tbl>
    <w:p>
      <w:pPr>
        <w:pStyle w:val="BodyText"/>
      </w:pPr>
      <w:r>
        <w:rPr>
          <w:iCs/>
          <w:i/>
        </w:rPr>
        <w:t xml:space="preserve">Technique detail for this step.</w:t>
      </w:r>
    </w:p>
    <w:tbl>
      <w:tblPr>
        <w:tblStyle w:val="Table"/>
        <w:tblW w:type="pct" w:w="4935"/>
        <w:tblLook w:firstRow="1" w:lastRow="0" w:firstColumn="0" w:lastColumn="0" w:noHBand="0" w:noVBand="0" w:val="0020"/>
        <w:jc w:val="start"/>
      </w:tblPr>
      <w:tblGrid>
        <w:gridCol w:w="1594"/>
        <w:gridCol w:w="622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ETL scripting</w:t>
            </w:r>
          </w:p>
        </w:tc>
      </w:tr>
      <w:tr>
        <w:tc>
          <w:tcPr/>
          <w:p>
            <w:pPr>
              <w:pStyle w:val="Compact"/>
              <w:jc w:val="left"/>
            </w:pPr>
            <w:r>
              <w:t xml:space="preserve">Technique Goal</w:t>
            </w:r>
          </w:p>
        </w:tc>
        <w:tc>
          <w:tcPr/>
          <w:p>
            <w:pPr>
              <w:pStyle w:val="Compact"/>
              <w:jc w:val="left"/>
            </w:pPr>
            <w:r>
              <w:t xml:space="preserve">Transform and load legacy data into the target model.</w:t>
            </w:r>
          </w:p>
        </w:tc>
      </w:tr>
      <w:tr>
        <w:tc>
          <w:tcPr/>
          <w:p>
            <w:pPr>
              <w:pStyle w:val="Compact"/>
              <w:jc w:val="left"/>
            </w:pPr>
            <w:r>
              <w:t xml:space="preserve">Technique Details</w:t>
            </w:r>
          </w:p>
        </w:tc>
        <w:tc>
          <w:tcPr/>
          <w:p>
            <w:pPr>
              <w:pStyle w:val="Compact"/>
              <w:jc w:val="left"/>
            </w:pPr>
            <w:r>
              <w:t xml:space="preserve">Build reusable extract-transform-load flows per data domain (vendor, item, GL) with field-level mapping documentation.</w:t>
            </w:r>
          </w:p>
        </w:tc>
      </w:tr>
      <w:tr>
        <w:tc>
          <w:tcPr/>
          <w:p>
            <w:pPr>
              <w:pStyle w:val="Compact"/>
              <w:jc w:val="left"/>
            </w:pPr>
            <w:r>
              <w:t xml:space="preserve">Recommended Open-Source Tool</w:t>
            </w:r>
          </w:p>
        </w:tc>
        <w:tc>
          <w:tcPr/>
          <w:p>
            <w:pPr>
              <w:pStyle w:val="Compact"/>
              <w:jc w:val="left"/>
            </w:pPr>
            <w:r>
              <w:t xml:space="preserve">Apache NiFi</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ITL</w:t>
            </w:r>
          </w:p>
        </w:tc>
        <w:tc>
          <w:tcPr/>
          <w:p>
            <w:pPr>
              <w:pStyle w:val="Compact"/>
              <w:jc w:val="left"/>
            </w:pPr>
            <w:r>
              <w:t xml:space="preserve">FPO</w:t>
            </w:r>
          </w:p>
        </w:tc>
        <w:tc>
          <w:tcPr/>
          <w:p>
            <w:pPr>
              <w:pStyle w:val="Compact"/>
              <w:jc w:val="left"/>
            </w:pPr>
            <w:r>
              <w:t xml:space="preserve">PM</w:t>
            </w:r>
          </w:p>
        </w:tc>
        <w:tc>
          <w:tcPr/>
          <w:p>
            <w:pPr>
              <w:pStyle w:val="Compact"/>
              <w:jc w:val="left"/>
            </w:pPr>
            <w:r>
              <w:t xml:space="preserve">CM, SUP, ES, EU</w:t>
            </w:r>
          </w:p>
        </w:tc>
      </w:tr>
    </w:tbl>
    <w:p>
      <w:pPr>
        <w:pStyle w:val="BodyText"/>
      </w:pPr>
      <w:r>
        <w:rPr>
          <w:bCs/>
          <w:b/>
          <w:color w:val="3F827B"/>
          <w:sz w:val="24"/>
        </w:rPr>
        <w:t xml:space="preserve">Task 2 — [PROJECT] Build and test integrations with adjacent systems</w:t>
      </w:r>
    </w:p>
    <w:p>
      <w:pPr>
        <w:pStyle w:val="BodyText"/>
      </w:pPr>
      <w:r>
        <w:rPr>
          <w:bCs/>
          <w:b/>
          <w:color w:val="5A8F89"/>
          <w:sz w:val="22"/>
        </w:rPr>
        <w:t xml:space="preserve">Step 1 — Design the integration contracts</w:t>
      </w:r>
    </w:p>
    <w:p>
      <w:pPr>
        <w:pStyle w:val="BodyText"/>
      </w:pPr>
      <w:r>
        <w:t xml:space="preserve">An interface contract agreed on a whiteboard with the owning system's technical lead is far cheaper to change than one discovered to be wrong during integration testing.</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2160"/>
        <w:gridCol w:w="2853"/>
        <w:gridCol w:w="800"/>
        <w:gridCol w:w="960"/>
        <w:gridCol w:w="109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legacy system owners; data governance / master data team.</w:t>
            </w:r>
          </w:p>
        </w:tc>
        <w:tc>
          <w:tcPr/>
          <w:p>
            <w:pPr>
              <w:pStyle w:val="Compact"/>
              <w:jc w:val="left"/>
            </w:pPr>
            <w:r>
              <w:t xml:space="preserve">Data mapping and cleansing rules; legacy extracts; integration specifications; cutover data-freeze plan.</w:t>
            </w:r>
          </w:p>
        </w:tc>
        <w:tc>
          <w:tcPr/>
          <w:p>
            <w:pPr>
              <w:pStyle w:val="Compact"/>
              <w:jc w:val="left"/>
            </w:pPr>
            <w:r>
              <w:t xml:space="preserve">Integration design workshop</w:t>
            </w:r>
          </w:p>
        </w:tc>
        <w:tc>
          <w:tcPr/>
          <w:p>
            <w:pPr>
              <w:pStyle w:val="Compact"/>
              <w:jc w:val="left"/>
            </w:pPr>
            <w:r>
              <w:t xml:space="preserve">Interface contract specifications</w:t>
            </w:r>
          </w:p>
        </w:tc>
        <w:tc>
          <w:tcPr/>
          <w:p>
            <w:pPr>
              <w:pStyle w:val="Compact"/>
              <w:jc w:val="left"/>
            </w:pPr>
            <w:r>
              <w:t xml:space="preserve">Step 2 (Automated integration testing)</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61"/>
        <w:gridCol w:w="636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Integration design workshop</w:t>
            </w:r>
          </w:p>
        </w:tc>
      </w:tr>
      <w:tr>
        <w:tc>
          <w:tcPr/>
          <w:p>
            <w:pPr>
              <w:pStyle w:val="Compact"/>
              <w:jc w:val="left"/>
            </w:pPr>
            <w:r>
              <w:t xml:space="preserve">Technique Goal</w:t>
            </w:r>
          </w:p>
        </w:tc>
        <w:tc>
          <w:tcPr/>
          <w:p>
            <w:pPr>
              <w:pStyle w:val="Compact"/>
              <w:jc w:val="left"/>
            </w:pPr>
            <w:r>
              <w:t xml:space="preserve">Agree interface contracts between the ERP and adjacent systems.</w:t>
            </w:r>
          </w:p>
        </w:tc>
      </w:tr>
      <w:tr>
        <w:tc>
          <w:tcPr/>
          <w:p>
            <w:pPr>
              <w:pStyle w:val="Compact"/>
              <w:jc w:val="left"/>
            </w:pPr>
            <w:r>
              <w:t xml:space="preserve">Technique Details</w:t>
            </w:r>
          </w:p>
        </w:tc>
        <w:tc>
          <w:tcPr/>
          <w:p>
            <w:pPr>
              <w:pStyle w:val="Compact"/>
              <w:jc w:val="left"/>
            </w:pPr>
            <w:r>
              <w:t xml:space="preserve">Whiteboard every inbound/outbound interface with the owning system's technical lead, agreeing format, frequency and error-handling.</w:t>
            </w:r>
          </w:p>
        </w:tc>
      </w:tr>
      <w:tr>
        <w:tc>
          <w:tcPr/>
          <w:p>
            <w:pPr>
              <w:pStyle w:val="Compact"/>
              <w:jc w:val="left"/>
            </w:pPr>
            <w:r>
              <w:t xml:space="preserve">Recommended Open-Source Tool</w:t>
            </w:r>
          </w:p>
        </w:tc>
        <w:tc>
          <w:tcPr/>
          <w:p>
            <w:pPr>
              <w:pStyle w:val="Compact"/>
              <w:jc w:val="left"/>
            </w:pPr>
            <w:r>
              <w:t xml:space="preserve">draw.io</w:t>
            </w:r>
          </w:p>
        </w:tc>
      </w:tr>
    </w:tbl>
    <w:p>
      <w:pPr>
        <w:pStyle w:val="BodyText"/>
      </w:pPr>
      <w:r>
        <w:rPr>
          <w:bCs/>
          <w:b/>
          <w:color w:val="5A8F89"/>
          <w:sz w:val="22"/>
        </w:rPr>
        <w:t xml:space="preserve">Step 2 — Automate the integration tests</w:t>
      </w:r>
    </w:p>
    <w:p>
      <w:pPr>
        <w:pStyle w:val="BodyText"/>
      </w:pPr>
      <w:r>
        <w:t xml:space="preserve">Automating these tests means every future configuration change can be re-validated in minutes instead of requiring a manual re-test of every interface.</w:t>
      </w:r>
    </w:p>
    <w:p>
      <w:pPr>
        <w:pStyle w:val="BodyText"/>
      </w:pPr>
      <w:r>
        <w:rPr>
          <w:iCs/>
          <w:i/>
        </w:rPr>
        <w:t xml:space="preserve">SIPOC for this step.</w:t>
      </w:r>
    </w:p>
    <w:tbl>
      <w:tblPr>
        <w:tblStyle w:val="Table"/>
        <w:tblW w:type="pct" w:w="4957"/>
        <w:tblLook w:firstRow="1" w:lastRow="0" w:firstColumn="0" w:lastColumn="0" w:noHBand="0" w:noVBand="0" w:val="0020"/>
        <w:jc w:val="start"/>
      </w:tblPr>
      <w:tblGrid>
        <w:gridCol w:w="1687"/>
        <w:gridCol w:w="1239"/>
        <w:gridCol w:w="1101"/>
        <w:gridCol w:w="1205"/>
        <w:gridCol w:w="261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(Integration design workshop)</w:t>
            </w:r>
          </w:p>
        </w:tc>
        <w:tc>
          <w:tcPr/>
          <w:p>
            <w:pPr>
              <w:pStyle w:val="Compact"/>
              <w:jc w:val="left"/>
            </w:pPr>
            <w:r>
              <w:t xml:space="preserve">Interface contract specifications</w:t>
            </w:r>
          </w:p>
        </w:tc>
        <w:tc>
          <w:tcPr/>
          <w:p>
            <w:pPr>
              <w:pStyle w:val="Compact"/>
              <w:jc w:val="left"/>
            </w:pPr>
            <w:r>
              <w:t xml:space="preserve">Automated integration testing</w:t>
            </w:r>
          </w:p>
        </w:tc>
        <w:tc>
          <w:tcPr/>
          <w:p>
            <w:pPr>
              <w:pStyle w:val="Compact"/>
              <w:jc w:val="left"/>
            </w:pPr>
            <w:r>
              <w:t xml:space="preserve">Automated integration test suite</w:t>
            </w:r>
          </w:p>
        </w:tc>
        <w:tc>
          <w:tcPr/>
          <w:p>
            <w:pPr>
              <w:pStyle w:val="Compact"/>
              <w:jc w:val="left"/>
            </w:pPr>
            <w:r>
              <w:t xml:space="preserve">Testing team; Functional Process Owners (data sign-off); Program Manager.</w:t>
            </w:r>
          </w:p>
        </w:tc>
      </w:tr>
    </w:tbl>
    <w:p>
      <w:pPr>
        <w:pStyle w:val="BodyText"/>
      </w:pPr>
      <w:r>
        <w:rPr>
          <w:iCs/>
          <w:i/>
        </w:rPr>
        <w:t xml:space="preserve">Technique detail for this step.</w:t>
      </w:r>
    </w:p>
    <w:tbl>
      <w:tblPr>
        <w:tblStyle w:val="Table"/>
        <w:tblW w:type="pct" w:w="4935"/>
        <w:tblLook w:firstRow="1" w:lastRow="0" w:firstColumn="0" w:lastColumn="0" w:noHBand="0" w:noVBand="0" w:val="0020"/>
        <w:jc w:val="start"/>
      </w:tblPr>
      <w:tblGrid>
        <w:gridCol w:w="1594"/>
        <w:gridCol w:w="622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Automated integration testing</w:t>
            </w:r>
          </w:p>
        </w:tc>
      </w:tr>
      <w:tr>
        <w:tc>
          <w:tcPr/>
          <w:p>
            <w:pPr>
              <w:pStyle w:val="Compact"/>
              <w:jc w:val="left"/>
            </w:pPr>
            <w:r>
              <w:t xml:space="preserve">Technique Goal</w:t>
            </w:r>
          </w:p>
        </w:tc>
        <w:tc>
          <w:tcPr/>
          <w:p>
            <w:pPr>
              <w:pStyle w:val="Compact"/>
              <w:jc w:val="left"/>
            </w:pPr>
            <w:r>
              <w:t xml:space="preserve">Validate interface behavior before reconciliation begins.</w:t>
            </w:r>
          </w:p>
        </w:tc>
      </w:tr>
      <w:tr>
        <w:tc>
          <w:tcPr/>
          <w:p>
            <w:pPr>
              <w:pStyle w:val="Compact"/>
              <w:jc w:val="left"/>
            </w:pPr>
            <w:r>
              <w:t xml:space="preserve">Technique Details</w:t>
            </w:r>
          </w:p>
        </w:tc>
        <w:tc>
          <w:tcPr/>
          <w:p>
            <w:pPr>
              <w:pStyle w:val="Compact"/>
              <w:jc w:val="left"/>
            </w:pPr>
            <w:r>
              <w:t xml:space="preserve">Script automated test cases for each interface covering the happy path and the two or three most likely failure modes.</w:t>
            </w:r>
          </w:p>
        </w:tc>
      </w:tr>
      <w:tr>
        <w:tc>
          <w:tcPr/>
          <w:p>
            <w:pPr>
              <w:pStyle w:val="Compact"/>
              <w:jc w:val="left"/>
            </w:pPr>
            <w:r>
              <w:t xml:space="preserve">Recommended Open-Source Tool</w:t>
            </w:r>
          </w:p>
        </w:tc>
        <w:tc>
          <w:tcPr/>
          <w:p>
            <w:pPr>
              <w:pStyle w:val="Compact"/>
              <w:jc w:val="left"/>
            </w:pPr>
            <w:r>
              <w:t xml:space="preserve">Apache JMeter</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ITL</w:t>
            </w:r>
          </w:p>
        </w:tc>
        <w:tc>
          <w:tcPr/>
          <w:p>
            <w:pPr>
              <w:pStyle w:val="Compact"/>
              <w:jc w:val="left"/>
            </w:pPr>
            <w:r>
              <w:t xml:space="preserve">PM</w:t>
            </w:r>
          </w:p>
        </w:tc>
        <w:tc>
          <w:tcPr/>
          <w:p>
            <w:pPr>
              <w:pStyle w:val="Compact"/>
              <w:jc w:val="left"/>
            </w:pPr>
            <w:r>
              <w:t xml:space="preserve">FPO</w:t>
            </w:r>
          </w:p>
        </w:tc>
        <w:tc>
          <w:tcPr/>
          <w:p>
            <w:pPr>
              <w:pStyle w:val="Compact"/>
              <w:jc w:val="left"/>
            </w:pPr>
            <w:r>
              <w:t xml:space="preserve">CM, SUP, ES, EU</w:t>
            </w:r>
          </w:p>
        </w:tc>
      </w:tr>
    </w:tbl>
    <w:p>
      <w:pPr>
        <w:pStyle w:val="BodyText"/>
      </w:pPr>
      <w:r>
        <w:rPr>
          <w:bCs/>
          <w:b/>
          <w:color w:val="3F827B"/>
          <w:sz w:val="24"/>
        </w:rPr>
        <w:t xml:space="preserve">Task 3 — [PROJECT] Run mock data-migration cycles and reconcile results</w:t>
      </w:r>
    </w:p>
    <w:p>
      <w:pPr>
        <w:pStyle w:val="BodyText"/>
      </w:pPr>
      <w:r>
        <w:rPr>
          <w:bCs/>
          <w:b/>
          <w:color w:val="5A8F89"/>
          <w:sz w:val="22"/>
        </w:rPr>
        <w:t xml:space="preserve">Step 1 — Rehearse the migration run</w:t>
      </w:r>
    </w:p>
    <w:p>
      <w:pPr>
        <w:pStyle w:val="BodyText"/>
      </w:pPr>
      <w:r>
        <w:t xml:space="preserve">Timing every step of the mock run is what turns the eventual cutover weekend from a guess into a scheduled, minute-by-minute plan.</w:t>
      </w:r>
    </w:p>
    <w:p>
      <w:pPr>
        <w:pStyle w:val="BodyText"/>
      </w:pPr>
      <w:r>
        <w:rPr>
          <w:iCs/>
          <w:i/>
        </w:rPr>
        <w:t xml:space="preserve">SIPOC for this step.</w:t>
      </w:r>
    </w:p>
    <w:tbl>
      <w:tblPr>
        <w:tblStyle w:val="Table"/>
        <w:tblW w:type="pct" w:w="4965"/>
        <w:tblLook w:firstRow="1" w:lastRow="0" w:firstColumn="0" w:lastColumn="0" w:noHBand="0" w:noVBand="0" w:val="0020"/>
        <w:jc w:val="start"/>
      </w:tblPr>
      <w:tblGrid>
        <w:gridCol w:w="2250"/>
        <w:gridCol w:w="2973"/>
        <w:gridCol w:w="583"/>
        <w:gridCol w:w="1028"/>
        <w:gridCol w:w="102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legacy system owners; data governance / master data team.</w:t>
            </w:r>
          </w:p>
        </w:tc>
        <w:tc>
          <w:tcPr/>
          <w:p>
            <w:pPr>
              <w:pStyle w:val="Compact"/>
              <w:jc w:val="left"/>
            </w:pPr>
            <w:r>
              <w:t xml:space="preserve">Data mapping and cleansing rules; legacy extracts; integration specifications; cutover data-freeze plan.</w:t>
            </w:r>
          </w:p>
        </w:tc>
        <w:tc>
          <w:tcPr/>
          <w:p>
            <w:pPr>
              <w:pStyle w:val="Compact"/>
              <w:jc w:val="left"/>
            </w:pPr>
            <w:r>
              <w:t xml:space="preserve">Mock-run rehearsal</w:t>
            </w:r>
          </w:p>
        </w:tc>
        <w:tc>
          <w:tcPr/>
          <w:p>
            <w:pPr>
              <w:pStyle w:val="Compact"/>
              <w:jc w:val="left"/>
            </w:pPr>
            <w:r>
              <w:t xml:space="preserve">Mock-run execution log and timings</w:t>
            </w:r>
          </w:p>
        </w:tc>
        <w:tc>
          <w:tcPr/>
          <w:p>
            <w:pPr>
              <w:pStyle w:val="Compact"/>
              <w:jc w:val="left"/>
            </w:pPr>
            <w:r>
              <w:t xml:space="preserve">Step 2 (Reconciliation checklist)</w:t>
            </w:r>
          </w:p>
        </w:tc>
      </w:tr>
    </w:tbl>
    <w:p>
      <w:pPr>
        <w:pStyle w:val="BodyText"/>
      </w:pPr>
      <w:r>
        <w:rPr>
          <w:iCs/>
          <w:i/>
        </w:rPr>
        <w:t xml:space="preserve">Technique detail for this step.</w:t>
      </w:r>
    </w:p>
    <w:tbl>
      <w:tblPr>
        <w:tblStyle w:val="Table"/>
        <w:tblW w:type="pct" w:w="4923"/>
        <w:tblLook w:firstRow="1" w:lastRow="0" w:firstColumn="0" w:lastColumn="0" w:noHBand="0" w:noVBand="0" w:val="0020"/>
        <w:jc w:val="start"/>
      </w:tblPr>
      <w:tblGrid>
        <w:gridCol w:w="1888"/>
        <w:gridCol w:w="590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Mock-run rehearsal</w:t>
            </w:r>
          </w:p>
        </w:tc>
      </w:tr>
      <w:tr>
        <w:tc>
          <w:tcPr/>
          <w:p>
            <w:pPr>
              <w:pStyle w:val="Compact"/>
              <w:jc w:val="left"/>
            </w:pPr>
            <w:r>
              <w:t xml:space="preserve">Technique Goal</w:t>
            </w:r>
          </w:p>
        </w:tc>
        <w:tc>
          <w:tcPr/>
          <w:p>
            <w:pPr>
              <w:pStyle w:val="Compact"/>
              <w:jc w:val="left"/>
            </w:pPr>
            <w:r>
              <w:t xml:space="preserve">Rehearse the full migration sequence under realistic conditions.</w:t>
            </w:r>
          </w:p>
        </w:tc>
      </w:tr>
      <w:tr>
        <w:tc>
          <w:tcPr/>
          <w:p>
            <w:pPr>
              <w:pStyle w:val="Compact"/>
              <w:jc w:val="left"/>
            </w:pPr>
            <w:r>
              <w:t xml:space="preserve">Technique Details</w:t>
            </w:r>
          </w:p>
        </w:tc>
        <w:tc>
          <w:tcPr/>
          <w:p>
            <w:pPr>
              <w:pStyle w:val="Compact"/>
              <w:jc w:val="left"/>
            </w:pPr>
            <w:r>
              <w:t xml:space="preserve">Execute the full migration runbook against a copy of production-scale data, timing every step.</w:t>
            </w:r>
          </w:p>
        </w:tc>
      </w:tr>
      <w:tr>
        <w:tc>
          <w:tcPr/>
          <w:p>
            <w:pPr>
              <w:pStyle w:val="Compact"/>
              <w:jc w:val="left"/>
            </w:pPr>
            <w:r>
              <w:t xml:space="preserve">Recommended Open-Source Tool</w:t>
            </w:r>
          </w:p>
        </w:tc>
        <w:tc>
          <w:tcPr/>
          <w:p>
            <w:pPr>
              <w:pStyle w:val="Compact"/>
              <w:jc w:val="left"/>
            </w:pPr>
            <w:r>
              <w:t xml:space="preserve">Rundeck</w:t>
            </w:r>
          </w:p>
        </w:tc>
      </w:tr>
    </w:tbl>
    <w:p>
      <w:pPr>
        <w:pStyle w:val="BodyText"/>
      </w:pPr>
      <w:r>
        <w:rPr>
          <w:bCs/>
          <w:b/>
          <w:color w:val="5A8F89"/>
          <w:sz w:val="22"/>
        </w:rPr>
        <w:t xml:space="preserve">Step 2 — Reconcile source and target data</w:t>
      </w:r>
    </w:p>
    <w:p>
      <w:pPr>
        <w:pStyle w:val="BodyText"/>
      </w:pPr>
      <w:r>
        <w:t xml:space="preserve">This is the last technical checkpoint before the data is treated as trustworthy by every downstream phase, so it deserves more than a spot check.</w:t>
      </w:r>
    </w:p>
    <w:p>
      <w:pPr>
        <w:pStyle w:val="BodyText"/>
      </w:pPr>
      <w:r>
        <w:rPr>
          <w:iCs/>
          <w:i/>
        </w:rPr>
        <w:t xml:space="preserve">SIPOC for this step.</w:t>
      </w:r>
    </w:p>
    <w:tbl>
      <w:tblPr>
        <w:tblStyle w:val="Table"/>
        <w:tblW w:type="pct" w:w="4954"/>
        <w:tblLook w:firstRow="1" w:lastRow="0" w:firstColumn="0" w:lastColumn="0" w:noHBand="0" w:noVBand="0" w:val="0020"/>
        <w:jc w:val="start"/>
      </w:tblPr>
      <w:tblGrid>
        <w:gridCol w:w="1453"/>
        <w:gridCol w:w="1344"/>
        <w:gridCol w:w="980"/>
        <w:gridCol w:w="1307"/>
        <w:gridCol w:w="276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(Mock-run rehearsal)</w:t>
            </w:r>
          </w:p>
        </w:tc>
        <w:tc>
          <w:tcPr/>
          <w:p>
            <w:pPr>
              <w:pStyle w:val="Compact"/>
              <w:jc w:val="left"/>
            </w:pPr>
            <w:r>
              <w:t xml:space="preserve">Mock-run execution log and timings</w:t>
            </w:r>
          </w:p>
        </w:tc>
        <w:tc>
          <w:tcPr/>
          <w:p>
            <w:pPr>
              <w:pStyle w:val="Compact"/>
              <w:jc w:val="left"/>
            </w:pPr>
            <w:r>
              <w:t xml:space="preserve">Reconciliation checklist</w:t>
            </w:r>
          </w:p>
        </w:tc>
        <w:tc>
          <w:tcPr/>
          <w:p>
            <w:pPr>
              <w:pStyle w:val="Compact"/>
              <w:jc w:val="left"/>
            </w:pPr>
            <w:r>
              <w:t xml:space="preserve">Reconciliation sign-off checklist</w:t>
            </w:r>
          </w:p>
        </w:tc>
        <w:tc>
          <w:tcPr/>
          <w:p>
            <w:pPr>
              <w:pStyle w:val="Compact"/>
              <w:jc w:val="left"/>
            </w:pPr>
            <w:r>
              <w:t xml:space="preserve">Testing team; Functional Process Owners (data sign-off); Program Manager.</w:t>
            </w:r>
          </w:p>
        </w:tc>
      </w:tr>
    </w:tbl>
    <w:p>
      <w:pPr>
        <w:pStyle w:val="BodyText"/>
      </w:pPr>
      <w:r>
        <w:rPr>
          <w:iCs/>
          <w:i/>
        </w:rPr>
        <w:t xml:space="preserve">Technique detail for this step.</w:t>
      </w:r>
    </w:p>
    <w:tbl>
      <w:tblPr>
        <w:tblStyle w:val="Table"/>
        <w:tblW w:type="pct" w:w="4935"/>
        <w:tblLook w:firstRow="1" w:lastRow="0" w:firstColumn="0" w:lastColumn="0" w:noHBand="0" w:noVBand="0" w:val="0020"/>
        <w:jc w:val="start"/>
      </w:tblPr>
      <w:tblGrid>
        <w:gridCol w:w="1584"/>
        <w:gridCol w:w="6233"/>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Reconciliation checklist</w:t>
            </w:r>
          </w:p>
        </w:tc>
      </w:tr>
      <w:tr>
        <w:tc>
          <w:tcPr/>
          <w:p>
            <w:pPr>
              <w:pStyle w:val="Compact"/>
              <w:jc w:val="left"/>
            </w:pPr>
            <w:r>
              <w:t xml:space="preserve">Technique Goal</w:t>
            </w:r>
          </w:p>
        </w:tc>
        <w:tc>
          <w:tcPr/>
          <w:p>
            <w:pPr>
              <w:pStyle w:val="Compact"/>
              <w:jc w:val="left"/>
            </w:pPr>
            <w:r>
              <w:t xml:space="preserve">Verify record counts and key totals match the source system.</w:t>
            </w:r>
          </w:p>
        </w:tc>
      </w:tr>
      <w:tr>
        <w:tc>
          <w:tcPr/>
          <w:p>
            <w:pPr>
              <w:pStyle w:val="Compact"/>
              <w:jc w:val="left"/>
            </w:pPr>
            <w:r>
              <w:t xml:space="preserve">Technique Details</w:t>
            </w:r>
          </w:p>
        </w:tc>
        <w:tc>
          <w:tcPr/>
          <w:p>
            <w:pPr>
              <w:pStyle w:val="Compact"/>
              <w:jc w:val="left"/>
            </w:pPr>
            <w:r>
              <w:t xml:space="preserve">Compare record counts, control totals and a sample of individual records between source and target after each mock run.</w:t>
            </w:r>
          </w:p>
        </w:tc>
      </w:tr>
      <w:tr>
        <w:tc>
          <w:tcPr/>
          <w:p>
            <w:pPr>
              <w:pStyle w:val="Compact"/>
              <w:jc w:val="left"/>
            </w:pPr>
            <w:r>
              <w:t xml:space="preserve">Recommended Open-Source Tool</w:t>
            </w:r>
          </w:p>
        </w:tc>
        <w:tc>
          <w:tcPr/>
          <w:p>
            <w:pPr>
              <w:pStyle w:val="Compact"/>
              <w:jc w:val="left"/>
            </w:pPr>
            <w:r>
              <w:t xml:space="preserve">LibreOffice Calc</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 PM</w:t>
            </w:r>
          </w:p>
        </w:tc>
        <w:tc>
          <w:tcPr/>
          <w:p>
            <w:pPr>
              <w:pStyle w:val="Compact"/>
              <w:jc w:val="left"/>
            </w:pPr>
            <w:r>
              <w:t xml:space="preserve">PM</w:t>
            </w:r>
          </w:p>
        </w:tc>
        <w:tc>
          <w:tcPr/>
          <w:p>
            <w:pPr>
              <w:pStyle w:val="Compact"/>
              <w:jc w:val="left"/>
            </w:pPr>
            <w:r>
              <w:t xml:space="preserve">FPO</w:t>
            </w:r>
          </w:p>
        </w:tc>
        <w:tc>
          <w:tcPr/>
          <w:p>
            <w:pPr>
              <w:pStyle w:val="Compact"/>
              <w:jc w:val="left"/>
            </w:pPr>
            <w:r>
              <w:t xml:space="preserve">CM</w:t>
            </w:r>
          </w:p>
        </w:tc>
        <w:tc>
          <w:tcPr/>
          <w:p>
            <w:pPr>
              <w:pStyle w:val="Compact"/>
              <w:jc w:val="left"/>
            </w:pPr>
            <w:r>
              <w:t xml:space="preserve">ES, SUP, EU</w:t>
            </w:r>
          </w:p>
        </w:tc>
      </w:tr>
    </w:tbl>
    <w:p>
      <w:pPr>
        <w:pStyle w:val="BodyText"/>
      </w:pPr>
      <w:r>
        <w:rPr>
          <w:bCs/>
          <w:b/>
          <w:color w:val="3F827B"/>
          <w:sz w:val="24"/>
        </w:rPr>
        <w:t xml:space="preserve">Task 4 — [CHANGE] Log Desire-block barrier reasons from low end-user visibility</w:t>
      </w:r>
    </w:p>
    <w:p>
      <w:pPr>
        <w:pStyle w:val="BodyText"/>
      </w:pPr>
      <w:r>
        <w:rPr>
          <w:bCs/>
          <w:b/>
        </w:rPr>
        <w:t xml:space="preserve">journi:</w:t>
      </w:r>
      <w:r>
        <w:t xml:space="preserve"> </w:t>
      </w:r>
      <w:r>
        <w:rPr>
          <w:iCs/>
          <w:i/>
        </w:rPr>
        <w:t xml:space="preserve">This is entered/updated in journi — M5.</w:t>
      </w:r>
    </w:p>
    <w:p>
      <w:pPr>
        <w:pStyle w:val="BodyText"/>
      </w:pPr>
      <w:r>
        <w:rPr>
          <w:bCs/>
          <w:b/>
          <w:color w:val="5A8F89"/>
          <w:sz w:val="22"/>
        </w:rPr>
        <w:t xml:space="preserve">Step 1 — Log the barrier reason</w:t>
      </w:r>
    </w:p>
    <w:p>
      <w:pPr>
        <w:pStyle w:val="BodyText"/>
      </w:pPr>
      <w:r>
        <w:t xml:space="preserve">This is the phase journi's own data shows Desire stalling most often, precisely because the migration work happening in this phase is real but invisible to the people being asked to feel good about it.</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2145"/>
        <w:gridCol w:w="2834"/>
        <w:gridCol w:w="662"/>
        <w:gridCol w:w="847"/>
        <w:gridCol w:w="137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legacy system owners; data governance / master data team.</w:t>
            </w:r>
          </w:p>
        </w:tc>
        <w:tc>
          <w:tcPr/>
          <w:p>
            <w:pPr>
              <w:pStyle w:val="Compact"/>
              <w:jc w:val="left"/>
            </w:pPr>
            <w:r>
              <w:t xml:space="preserve">Data mapping and cleansing rules; legacy extracts; integration specifications; cutover data-freeze plan.</w:t>
            </w:r>
          </w:p>
        </w:tc>
        <w:tc>
          <w:tcPr/>
          <w:p>
            <w:pPr>
              <w:pStyle w:val="Compact"/>
              <w:jc w:val="left"/>
            </w:pPr>
            <w:r>
              <w:t xml:space="preserve">Barrier-reason logging</w:t>
            </w:r>
          </w:p>
        </w:tc>
        <w:tc>
          <w:tcPr/>
          <w:p>
            <w:pPr>
              <w:pStyle w:val="Compact"/>
              <w:jc w:val="left"/>
            </w:pPr>
            <w:r>
              <w:t xml:space="preserve">Logged barrier-reason records</w:t>
            </w:r>
          </w:p>
        </w:tc>
        <w:tc>
          <w:tcPr/>
          <w:p>
            <w:pPr>
              <w:pStyle w:val="Compact"/>
              <w:jc w:val="left"/>
            </w:pPr>
            <w:r>
              <w:t xml:space="preserve">Step 2 (Root-cause clustering (affinity mapping))</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63"/>
        <w:gridCol w:w="625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Barrier-reason logging</w:t>
            </w:r>
          </w:p>
        </w:tc>
      </w:tr>
      <w:tr>
        <w:tc>
          <w:tcPr/>
          <w:p>
            <w:pPr>
              <w:pStyle w:val="Compact"/>
              <w:jc w:val="left"/>
            </w:pPr>
            <w:r>
              <w:t xml:space="preserve">Technique Goal</w:t>
            </w:r>
          </w:p>
        </w:tc>
        <w:tc>
          <w:tcPr/>
          <w:p>
            <w:pPr>
              <w:pStyle w:val="Compact"/>
              <w:jc w:val="left"/>
            </w:pPr>
            <w:r>
              <w:t xml:space="preserve">Capture the specific, named reason behind any Desire ≤ 2 score.</w:t>
            </w:r>
          </w:p>
        </w:tc>
      </w:tr>
      <w:tr>
        <w:tc>
          <w:tcPr/>
          <w:p>
            <w:pPr>
              <w:pStyle w:val="Compact"/>
              <w:jc w:val="left"/>
            </w:pPr>
            <w:r>
              <w:t xml:space="preserve">Technique Details</w:t>
            </w:r>
          </w:p>
        </w:tc>
        <w:tc>
          <w:tcPr/>
          <w:p>
            <w:pPr>
              <w:pStyle w:val="Compact"/>
              <w:jc w:val="left"/>
            </w:pPr>
            <w:r>
              <w:t xml:space="preserve">For every cohort scoring Desire at 2 or below, require a one-sentence, named barrier reason before the score is accepted.</w:t>
            </w:r>
          </w:p>
        </w:tc>
      </w:tr>
      <w:tr>
        <w:tc>
          <w:tcPr/>
          <w:p>
            <w:pPr>
              <w:pStyle w:val="Compact"/>
              <w:jc w:val="left"/>
            </w:pPr>
            <w:r>
              <w:t xml:space="preserve">Recommended Open-Source Tool</w:t>
            </w:r>
          </w:p>
        </w:tc>
        <w:tc>
          <w:tcPr/>
          <w:p>
            <w:pPr>
              <w:pStyle w:val="Compact"/>
              <w:jc w:val="left"/>
            </w:pPr>
            <w:r>
              <w:t xml:space="preserve">OpenProject (custom field)</w:t>
            </w:r>
          </w:p>
        </w:tc>
      </w:tr>
    </w:tbl>
    <w:p>
      <w:pPr>
        <w:pStyle w:val="BodyText"/>
      </w:pPr>
      <w:r>
        <w:rPr>
          <w:bCs/>
          <w:b/>
        </w:rPr>
        <w:t xml:space="preserve">journi:</w:t>
      </w:r>
      <w:r>
        <w:t xml:space="preserve"> </w:t>
      </w:r>
      <w:r>
        <w:rPr>
          <w:iCs/>
          <w:i/>
        </w:rPr>
        <w:t xml:space="preserve">This is entered/updated in journi — M5 — ADKAR Engine (auto-escalated).</w:t>
      </w:r>
    </w:p>
    <w:p>
      <w:pPr>
        <w:pStyle w:val="BodyText"/>
      </w:pPr>
      <w:r>
        <w:rPr>
          <w:bCs/>
          <w:b/>
          <w:color w:val="5A8F89"/>
          <w:sz w:val="22"/>
        </w:rPr>
        <w:t xml:space="preserve">Step 2 — Cluster the barrier reasons</w:t>
      </w:r>
    </w:p>
    <w:p>
      <w:pPr>
        <w:pStyle w:val="BodyText"/>
      </w:pPr>
      <w:r>
        <w:t xml:space="preserve">Clustering now, before the stall is confirmed, means the E1 playbook can start from a running head start instead of a blank page if an escalation follows.</w:t>
      </w:r>
    </w:p>
    <w:p>
      <w:pPr>
        <w:pStyle w:val="BodyText"/>
      </w:pPr>
      <w:r>
        <w:rPr>
          <w:iCs/>
          <w:i/>
        </w:rPr>
        <w:t xml:space="preserve">SIPOC for this step.</w:t>
      </w:r>
    </w:p>
    <w:tbl>
      <w:tblPr>
        <w:tblStyle w:val="Table"/>
        <w:tblW w:type="pct" w:w="4957"/>
        <w:tblLook w:firstRow="1" w:lastRow="0" w:firstColumn="0" w:lastColumn="0" w:noHBand="0" w:noVBand="0" w:val="0020"/>
        <w:jc w:val="start"/>
      </w:tblPr>
      <w:tblGrid>
        <w:gridCol w:w="1508"/>
        <w:gridCol w:w="1097"/>
        <w:gridCol w:w="1474"/>
        <w:gridCol w:w="1165"/>
        <w:gridCol w:w="260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(Barrier-reason logging)</w:t>
            </w:r>
          </w:p>
        </w:tc>
        <w:tc>
          <w:tcPr/>
          <w:p>
            <w:pPr>
              <w:pStyle w:val="Compact"/>
              <w:jc w:val="left"/>
            </w:pPr>
            <w:r>
              <w:t xml:space="preserve">Logged barrier-reason records</w:t>
            </w:r>
          </w:p>
        </w:tc>
        <w:tc>
          <w:tcPr/>
          <w:p>
            <w:pPr>
              <w:pStyle w:val="Compact"/>
              <w:jc w:val="left"/>
            </w:pPr>
            <w:r>
              <w:t xml:space="preserve">Root-cause clustering (affinity mapping)</w:t>
            </w:r>
          </w:p>
        </w:tc>
        <w:tc>
          <w:tcPr/>
          <w:p>
            <w:pPr>
              <w:pStyle w:val="Compact"/>
              <w:jc w:val="left"/>
            </w:pPr>
            <w:r>
              <w:t xml:space="preserve">Clustered barrier-reason themes</w:t>
            </w:r>
          </w:p>
        </w:tc>
        <w:tc>
          <w:tcPr/>
          <w:p>
            <w:pPr>
              <w:pStyle w:val="Compact"/>
              <w:jc w:val="left"/>
            </w:pPr>
            <w:r>
              <w:t xml:space="preserve">Testing team; Functional Process Owners (data sign-off); Program Manager.</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61"/>
        <w:gridCol w:w="636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Root-cause clustering (affinity mapping)</w:t>
            </w:r>
          </w:p>
        </w:tc>
      </w:tr>
      <w:tr>
        <w:tc>
          <w:tcPr/>
          <w:p>
            <w:pPr>
              <w:pStyle w:val="Compact"/>
              <w:jc w:val="left"/>
            </w:pPr>
            <w:r>
              <w:t xml:space="preserve">Technique Goal</w:t>
            </w:r>
          </w:p>
        </w:tc>
        <w:tc>
          <w:tcPr/>
          <w:p>
            <w:pPr>
              <w:pStyle w:val="Compact"/>
              <w:jc w:val="left"/>
            </w:pPr>
            <w:r>
              <w:t xml:space="preserve">Group barrier reasons into actionable themes.</w:t>
            </w:r>
          </w:p>
        </w:tc>
      </w:tr>
      <w:tr>
        <w:tc>
          <w:tcPr/>
          <w:p>
            <w:pPr>
              <w:pStyle w:val="Compact"/>
              <w:jc w:val="left"/>
            </w:pPr>
            <w:r>
              <w:t xml:space="preserve">Technique Details</w:t>
            </w:r>
          </w:p>
        </w:tc>
        <w:tc>
          <w:tcPr/>
          <w:p>
            <w:pPr>
              <w:pStyle w:val="Compact"/>
              <w:jc w:val="left"/>
            </w:pPr>
            <w:r>
              <w:t xml:space="preserve">Cluster the week's barrier-reason notes into 3–5 named themes with the CM team, ready for the E1 playbook if a stall is confirmed.</w:t>
            </w:r>
          </w:p>
        </w:tc>
      </w:tr>
      <w:tr>
        <w:tc>
          <w:tcPr/>
          <w:p>
            <w:pPr>
              <w:pStyle w:val="Compact"/>
              <w:jc w:val="left"/>
            </w:pPr>
            <w:r>
              <w:t xml:space="preserve">Recommended Open-Source Tool</w:t>
            </w:r>
          </w:p>
        </w:tc>
        <w:tc>
          <w:tcPr/>
          <w:p>
            <w:pPr>
              <w:pStyle w:val="Compact"/>
              <w:jc w:val="left"/>
            </w:pPr>
            <w:r>
              <w:t xml:space="preserve">draw.io</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SUP, FPO</w:t>
            </w:r>
          </w:p>
        </w:tc>
        <w:tc>
          <w:tcPr/>
          <w:p>
            <w:pPr>
              <w:pStyle w:val="Compact"/>
              <w:jc w:val="left"/>
            </w:pPr>
            <w:r>
              <w:t xml:space="preserve">PM</w:t>
            </w:r>
          </w:p>
        </w:tc>
        <w:tc>
          <w:tcPr/>
          <w:p>
            <w:pPr>
              <w:pStyle w:val="Compact"/>
              <w:jc w:val="left"/>
            </w:pPr>
            <w:r>
              <w:t xml:space="preserve">ES, ITL, EU</w:t>
            </w:r>
          </w:p>
        </w:tc>
      </w:tr>
    </w:tbl>
    <w:p>
      <w:pPr>
        <w:pStyle w:val="BodyText"/>
      </w:pPr>
      <w:r>
        <w:rPr>
          <w:bCs/>
          <w:b/>
          <w:color w:val="3F827B"/>
          <w:sz w:val="24"/>
        </w:rPr>
        <w:t xml:space="preserve">Task 5 — [CHANGE] Update the Composite Readiness Index ahead of Testing</w:t>
      </w:r>
    </w:p>
    <w:p>
      <w:pPr>
        <w:pStyle w:val="BodyText"/>
      </w:pPr>
      <w:r>
        <w:rPr>
          <w:bCs/>
          <w:b/>
        </w:rPr>
        <w:t xml:space="preserve">journi:</w:t>
      </w:r>
      <w:r>
        <w:t xml:space="preserve"> </w:t>
      </w:r>
      <w:r>
        <w:rPr>
          <w:iCs/>
          <w:i/>
        </w:rPr>
        <w:t xml:space="preserve">This is entered/updated in journi — M5–M6.</w:t>
      </w:r>
    </w:p>
    <w:p>
      <w:pPr>
        <w:pStyle w:val="BodyText"/>
      </w:pPr>
      <w:r>
        <w:rPr>
          <w:bCs/>
          <w:b/>
          <w:color w:val="5A8F89"/>
          <w:sz w:val="22"/>
        </w:rPr>
        <w:t xml:space="preserve">Step 1 — Recalculate the readiness index</w:t>
      </w:r>
    </w:p>
    <w:p>
      <w:pPr>
        <w:pStyle w:val="BodyText"/>
      </w:pPr>
      <w:r>
        <w:t xml:space="preserve">This is the last full Index recalculation before Testing opens, so it functions as a baseline health check the Steering Committee will compare every later reading against.</w:t>
      </w:r>
    </w:p>
    <w:p>
      <w:pPr>
        <w:pStyle w:val="BodyText"/>
      </w:pPr>
      <w:r>
        <w:rPr>
          <w:iCs/>
          <w:i/>
        </w:rPr>
        <w:t xml:space="preserve">SIPOC for this step.</w:t>
      </w:r>
    </w:p>
    <w:tbl>
      <w:tblPr>
        <w:tblStyle w:val="Table"/>
        <w:tblW w:type="pct" w:w="4965"/>
        <w:tblLook w:firstRow="1" w:lastRow="0" w:firstColumn="0" w:lastColumn="0" w:noHBand="0" w:noVBand="0" w:val="0020"/>
        <w:jc w:val="start"/>
      </w:tblPr>
      <w:tblGrid>
        <w:gridCol w:w="2227"/>
        <w:gridCol w:w="2942"/>
        <w:gridCol w:w="797"/>
        <w:gridCol w:w="990"/>
        <w:gridCol w:w="90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legacy system owners; data governance / master data team.</w:t>
            </w:r>
          </w:p>
        </w:tc>
        <w:tc>
          <w:tcPr/>
          <w:p>
            <w:pPr>
              <w:pStyle w:val="Compact"/>
              <w:jc w:val="left"/>
            </w:pPr>
            <w:r>
              <w:t xml:space="preserve">Data mapping and cleansing rules; legacy extracts; integration specifications; cutover data-freeze plan.</w:t>
            </w:r>
          </w:p>
        </w:tc>
        <w:tc>
          <w:tcPr/>
          <w:p>
            <w:pPr>
              <w:pStyle w:val="Compact"/>
              <w:jc w:val="left"/>
            </w:pPr>
            <w:r>
              <w:t xml:space="preserve">Weighted index calculation</w:t>
            </w:r>
          </w:p>
        </w:tc>
        <w:tc>
          <w:tcPr/>
          <w:p>
            <w:pPr>
              <w:pStyle w:val="Compact"/>
              <w:jc w:val="left"/>
            </w:pPr>
            <w:r>
              <w:t xml:space="preserve">Updated Composite Readiness Index</w:t>
            </w:r>
          </w:p>
        </w:tc>
        <w:tc>
          <w:tcPr/>
          <w:p>
            <w:pPr>
              <w:pStyle w:val="Compact"/>
              <w:jc w:val="left"/>
            </w:pPr>
            <w:r>
              <w:t xml:space="preserve">Step 2 (Dashboard publication)</w:t>
            </w:r>
          </w:p>
        </w:tc>
      </w:tr>
    </w:tbl>
    <w:p>
      <w:pPr>
        <w:pStyle w:val="BodyText"/>
      </w:pPr>
      <w:r>
        <w:rPr>
          <w:iCs/>
          <w:i/>
        </w:rPr>
        <w:t xml:space="preserve">Technique detail for this step.</w:t>
      </w:r>
    </w:p>
    <w:tbl>
      <w:tblPr>
        <w:tblStyle w:val="Table"/>
        <w:tblW w:type="pct" w:w="4939"/>
        <w:tblLook w:firstRow="1" w:lastRow="0" w:firstColumn="0" w:lastColumn="0" w:noHBand="0" w:noVBand="0" w:val="0020"/>
        <w:jc w:val="start"/>
      </w:tblPr>
      <w:tblGrid>
        <w:gridCol w:w="1497"/>
        <w:gridCol w:w="632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Weighted index calculation</w:t>
            </w:r>
          </w:p>
        </w:tc>
      </w:tr>
      <w:tr>
        <w:tc>
          <w:tcPr/>
          <w:p>
            <w:pPr>
              <w:pStyle w:val="Compact"/>
              <w:jc w:val="left"/>
            </w:pPr>
            <w:r>
              <w:t xml:space="preserve">Technique Goal</w:t>
            </w:r>
          </w:p>
        </w:tc>
        <w:tc>
          <w:tcPr/>
          <w:p>
            <w:pPr>
              <w:pStyle w:val="Compact"/>
              <w:jc w:val="left"/>
            </w:pPr>
            <w:r>
              <w:t xml:space="preserve">Blend ADKAR, sentiment and training data into one comparable score.</w:t>
            </w:r>
          </w:p>
        </w:tc>
      </w:tr>
      <w:tr>
        <w:tc>
          <w:tcPr/>
          <w:p>
            <w:pPr>
              <w:pStyle w:val="Compact"/>
              <w:jc w:val="left"/>
            </w:pPr>
            <w:r>
              <w:t xml:space="preserve">Technique Details</w:t>
            </w:r>
          </w:p>
        </w:tc>
        <w:tc>
          <w:tcPr/>
          <w:p>
            <w:pPr>
              <w:pStyle w:val="Compact"/>
              <w:jc w:val="left"/>
            </w:pPr>
            <w:r>
              <w:t xml:space="preserve">Recalculate the Index using the latest ADKAR wave, Kübler-Ross sentiment and (where training has started) completion percentage.</w:t>
            </w:r>
          </w:p>
        </w:tc>
      </w:tr>
      <w:tr>
        <w:tc>
          <w:tcPr/>
          <w:p>
            <w:pPr>
              <w:pStyle w:val="Compact"/>
              <w:jc w:val="left"/>
            </w:pPr>
            <w:r>
              <w:t xml:space="preserve">Recommended Open-Source Tool</w:t>
            </w:r>
          </w:p>
        </w:tc>
        <w:tc>
          <w:tcPr/>
          <w:p>
            <w:pPr>
              <w:pStyle w:val="Compact"/>
              <w:jc w:val="left"/>
            </w:pPr>
            <w:r>
              <w:t xml:space="preserve">Metabase (calculated field)</w:t>
            </w:r>
          </w:p>
        </w:tc>
      </w:tr>
    </w:tbl>
    <w:p>
      <w:pPr>
        <w:pStyle w:val="BodyText"/>
      </w:pPr>
      <w:r>
        <w:rPr>
          <w:bCs/>
          <w:b/>
        </w:rPr>
        <w:t xml:space="preserve">journi:</w:t>
      </w:r>
      <w:r>
        <w:t xml:space="preserve"> </w:t>
      </w:r>
      <w:r>
        <w:rPr>
          <w:iCs/>
          <w:i/>
        </w:rPr>
        <w:t xml:space="preserve">This is entered/updated in journi — M5–M6.</w:t>
      </w:r>
    </w:p>
    <w:p>
      <w:pPr>
        <w:pStyle w:val="BodyText"/>
      </w:pPr>
      <w:r>
        <w:rPr>
          <w:bCs/>
          <w:b/>
          <w:color w:val="5A8F89"/>
          <w:sz w:val="22"/>
        </w:rPr>
        <w:t xml:space="preserve">Step 2 — Publish the readiness dashboard</w:t>
      </w:r>
    </w:p>
    <w:p>
      <w:pPr>
        <w:pStyle w:val="BodyText"/>
      </w:pPr>
      <w:r>
        <w:t xml:space="preserve">A trend line the Steering Committee can see for themselves, updated on a predictable cadence, does more to sustain their engagement than a verbal status update ever will.</w:t>
      </w:r>
    </w:p>
    <w:p>
      <w:pPr>
        <w:pStyle w:val="BodyText"/>
      </w:pPr>
      <w:r>
        <w:rPr>
          <w:iCs/>
          <w:i/>
        </w:rPr>
        <w:t xml:space="preserve">SIPOC for this step.</w:t>
      </w:r>
    </w:p>
    <w:tbl>
      <w:tblPr>
        <w:tblStyle w:val="Table"/>
        <w:tblW w:type="pct" w:w="4954"/>
        <w:tblLook w:firstRow="1" w:lastRow="0" w:firstColumn="0" w:lastColumn="0" w:noHBand="0" w:noVBand="0" w:val="0020"/>
        <w:jc w:val="start"/>
      </w:tblPr>
      <w:tblGrid>
        <w:gridCol w:w="1743"/>
        <w:gridCol w:w="1307"/>
        <w:gridCol w:w="871"/>
        <w:gridCol w:w="1162"/>
        <w:gridCol w:w="276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(Weighted index calculation)</w:t>
            </w:r>
          </w:p>
        </w:tc>
        <w:tc>
          <w:tcPr/>
          <w:p>
            <w:pPr>
              <w:pStyle w:val="Compact"/>
              <w:jc w:val="left"/>
            </w:pPr>
            <w:r>
              <w:t xml:space="preserve">Updated Composite Readiness Index</w:t>
            </w:r>
          </w:p>
        </w:tc>
        <w:tc>
          <w:tcPr/>
          <w:p>
            <w:pPr>
              <w:pStyle w:val="Compact"/>
              <w:jc w:val="left"/>
            </w:pPr>
            <w:r>
              <w:t xml:space="preserve">Dashboard publication</w:t>
            </w:r>
          </w:p>
        </w:tc>
        <w:tc>
          <w:tcPr/>
          <w:p>
            <w:pPr>
              <w:pStyle w:val="Compact"/>
              <w:jc w:val="left"/>
            </w:pPr>
            <w:r>
              <w:t xml:space="preserve">Published readiness dashboard</w:t>
            </w:r>
          </w:p>
        </w:tc>
        <w:tc>
          <w:tcPr/>
          <w:p>
            <w:pPr>
              <w:pStyle w:val="Compact"/>
              <w:jc w:val="left"/>
            </w:pPr>
            <w:r>
              <w:t xml:space="preserve">Testing team; Functional Process Owners (data sign-off); Program Manager.</w:t>
            </w:r>
          </w:p>
        </w:tc>
      </w:tr>
    </w:tbl>
    <w:p>
      <w:pPr>
        <w:pStyle w:val="BodyText"/>
      </w:pPr>
      <w:r>
        <w:rPr>
          <w:iCs/>
          <w:i/>
        </w:rPr>
        <w:t xml:space="preserve">Technique detail for this step.</w:t>
      </w:r>
    </w:p>
    <w:tbl>
      <w:tblPr>
        <w:tblStyle w:val="Table"/>
        <w:tblW w:type="pct" w:w="4927"/>
        <w:tblLook w:firstRow="1" w:lastRow="0" w:firstColumn="0" w:lastColumn="0" w:noHBand="0" w:noVBand="0" w:val="0020"/>
        <w:jc w:val="start"/>
      </w:tblPr>
      <w:tblGrid>
        <w:gridCol w:w="1792"/>
        <w:gridCol w:w="601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Dashboard publication</w:t>
            </w:r>
          </w:p>
        </w:tc>
      </w:tr>
      <w:tr>
        <w:tc>
          <w:tcPr/>
          <w:p>
            <w:pPr>
              <w:pStyle w:val="Compact"/>
              <w:jc w:val="left"/>
            </w:pPr>
            <w:r>
              <w:t xml:space="preserve">Technique Goal</w:t>
            </w:r>
          </w:p>
        </w:tc>
        <w:tc>
          <w:tcPr/>
          <w:p>
            <w:pPr>
              <w:pStyle w:val="Compact"/>
              <w:jc w:val="left"/>
            </w:pPr>
            <w:r>
              <w:t xml:space="preserve">Make the readiness trend visible to the Steering Committee.</w:t>
            </w:r>
          </w:p>
        </w:tc>
      </w:tr>
      <w:tr>
        <w:tc>
          <w:tcPr/>
          <w:p>
            <w:pPr>
              <w:pStyle w:val="Compact"/>
              <w:jc w:val="left"/>
            </w:pPr>
            <w:r>
              <w:t xml:space="preserve">Technique Details</w:t>
            </w:r>
          </w:p>
        </w:tc>
        <w:tc>
          <w:tcPr/>
          <w:p>
            <w:pPr>
              <w:pStyle w:val="Compact"/>
              <w:jc w:val="left"/>
            </w:pPr>
            <w:r>
              <w:t xml:space="preserve">Publish the Index trend line, with cohort disaggregation, to the shared Steering Committee dashboard.</w:t>
            </w:r>
          </w:p>
        </w:tc>
      </w:tr>
      <w:tr>
        <w:tc>
          <w:tcPr/>
          <w:p>
            <w:pPr>
              <w:pStyle w:val="Compact"/>
              <w:jc w:val="left"/>
            </w:pPr>
            <w:r>
              <w:t xml:space="preserve">Recommended Open-Source Tool</w:t>
            </w:r>
          </w:p>
        </w:tc>
        <w:tc>
          <w:tcPr/>
          <w:p>
            <w:pPr>
              <w:pStyle w:val="Compact"/>
              <w:jc w:val="left"/>
            </w:pPr>
            <w:r>
              <w:t xml:space="preserve">Apache Superset</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PM</w:t>
            </w:r>
          </w:p>
        </w:tc>
        <w:tc>
          <w:tcPr/>
          <w:p>
            <w:pPr>
              <w:pStyle w:val="Compact"/>
              <w:jc w:val="left"/>
            </w:pPr>
            <w:r>
              <w:t xml:space="preserve">FPO</w:t>
            </w:r>
          </w:p>
        </w:tc>
        <w:tc>
          <w:tcPr/>
          <w:p>
            <w:pPr>
              <w:pStyle w:val="Compact"/>
              <w:jc w:val="left"/>
            </w:pPr>
            <w:r>
              <w:t xml:space="preserve">ES, ITL, SUP, EU</w:t>
            </w:r>
          </w:p>
        </w:tc>
      </w:tr>
    </w:tbl>
    <w:p>
      <w:pPr>
        <w:pStyle w:val="BodyText"/>
      </w:pPr>
      <w:r>
        <w:rPr>
          <w:bCs/>
          <w:b/>
          <w:color w:val="275650"/>
          <w:sz w:val="27"/>
        </w:rPr>
        <w:t xml:space="preserve">6.4 Phase 4 — Testing (SIT / UAT) (Weeks 25–32)</w:t>
      </w:r>
    </w:p>
    <w:p>
      <w:pPr>
        <w:pStyle w:val="BodyText"/>
      </w:pPr>
      <w:r>
        <w:t xml:space="preserve">The first point where a representative slice of end users gets real hands-on exposure — and the first honest opportunity to run the Divergence Pattern check (Exception E2).</w:t>
      </w:r>
    </w:p>
    <w:p>
      <w:pPr>
        <w:pStyle w:val="BodyText"/>
      </w:pPr>
      <w:r>
        <w:rPr>
          <w:bCs/>
          <w:b/>
        </w:rPr>
        <w:t xml:space="preserve">Timeline</w:t>
      </w:r>
    </w:p>
    <w:tbl>
      <w:tblPr>
        <w:tblStyle w:val="Table"/>
        <w:tblW w:type="pct" w:w="4935"/>
        <w:tblLook w:firstRow="1" w:lastRow="0" w:firstColumn="0" w:lastColumn="0" w:noHBand="0" w:noVBand="0" w:val="0020"/>
        <w:jc w:val="start"/>
      </w:tblPr>
      <w:tblGrid>
        <w:gridCol w:w="562"/>
        <w:gridCol w:w="5467"/>
        <w:gridCol w:w="1021"/>
        <w:gridCol w:w="766"/>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Owner(s)</w:t>
            </w:r>
          </w:p>
        </w:tc>
      </w:tr>
      <w:tr>
        <w:tc>
          <w:tcPr/>
          <w:p>
            <w:pPr>
              <w:pStyle w:val="Compact"/>
              <w:jc w:val="left"/>
            </w:pPr>
            <w:r>
              <w:t xml:space="preserve">W25–W26</w:t>
            </w:r>
          </w:p>
        </w:tc>
        <w:tc>
          <w:tcPr/>
          <w:p>
            <w:pPr>
              <w:pStyle w:val="Compact"/>
              <w:jc w:val="left"/>
            </w:pPr>
            <w:r>
              <w:t xml:space="preserve">Execute system integration testing (SIT).</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W27</w:t>
            </w:r>
          </w:p>
        </w:tc>
        <w:tc>
          <w:tcPr/>
          <w:p>
            <w:pPr>
              <w:pStyle w:val="Compact"/>
              <w:jc w:val="left"/>
            </w:pPr>
            <w:r>
              <w:t xml:space="preserve">Recruit a representative UAT cohort.</w:t>
            </w:r>
          </w:p>
        </w:tc>
        <w:tc>
          <w:tcPr/>
          <w:p>
            <w:pPr>
              <w:pStyle w:val="Compact"/>
              <w:jc w:val="left"/>
            </w:pPr>
            <w:r>
              <w:t xml:space="preserve">M4 CM, FP</w:t>
            </w:r>
          </w:p>
        </w:tc>
        <w:tc>
          <w:tcPr/>
          <w:p>
            <w:pPr>
              <w:pStyle w:val="Compact"/>
              <w:jc w:val="left"/>
            </w:pPr>
            <w:r>
              <w:t xml:space="preserve">O</w:t>
            </w:r>
          </w:p>
        </w:tc>
      </w:tr>
      <w:tr>
        <w:tc>
          <w:tcPr/>
          <w:p>
            <w:pPr>
              <w:pStyle w:val="Compact"/>
              <w:jc w:val="left"/>
            </w:pPr>
            <w:r>
              <w:t xml:space="preserve">W28–W29</w:t>
            </w:r>
          </w:p>
        </w:tc>
        <w:tc>
          <w:tcPr/>
          <w:p>
            <w:pPr>
              <w:pStyle w:val="Compact"/>
              <w:jc w:val="left"/>
            </w:pPr>
            <w:r>
              <w:t xml:space="preserve">Run UAT sessions; log defects and usability friction.</w:t>
            </w:r>
          </w:p>
        </w:tc>
        <w:tc>
          <w:tcPr/>
          <w:p>
            <w:pPr>
              <w:pStyle w:val="Compact"/>
              <w:jc w:val="left"/>
            </w:pPr>
            <w:r>
              <w:t xml:space="preserve">—</w:t>
            </w:r>
          </w:p>
        </w:tc>
        <w:tc>
          <w:tcPr/>
          <w:p>
            <w:pPr>
              <w:pStyle w:val="Compact"/>
              <w:jc w:val="left"/>
            </w:pPr>
            <w:r>
              <w:t xml:space="preserve">FPO, EU</w:t>
            </w:r>
          </w:p>
        </w:tc>
      </w:tr>
      <w:tr>
        <w:tc>
          <w:tcPr/>
          <w:p>
            <w:pPr>
              <w:pStyle w:val="Compact"/>
              <w:jc w:val="left"/>
            </w:pPr>
            <w:r>
              <w:t xml:space="preserve">W30</w:t>
            </w:r>
          </w:p>
        </w:tc>
        <w:tc>
          <w:tcPr/>
          <w:p>
            <w:pPr>
              <w:pStyle w:val="Compact"/>
              <w:jc w:val="left"/>
            </w:pPr>
            <w:r>
              <w:t xml:space="preserve">Cross-check Knowledge / Ability scores against the Bridges reading — run the Divergence Pattern check.</w:t>
            </w:r>
          </w:p>
        </w:tc>
        <w:tc>
          <w:tcPr/>
          <w:p>
            <w:pPr>
              <w:pStyle w:val="Compact"/>
              <w:jc w:val="left"/>
            </w:pPr>
            <w:r>
              <w:t xml:space="preserve">M6 CM</w:t>
            </w:r>
          </w:p>
        </w:tc>
        <w:tc>
          <w:tcPr/>
          <w:p>
            <w:pPr>
              <w:pStyle w:val="Compact"/>
            </w:pPr>
          </w:p>
        </w:tc>
      </w:tr>
      <w:tr>
        <w:tc>
          <w:tcPr/>
          <w:p>
            <w:pPr>
              <w:pStyle w:val="Compact"/>
              <w:jc w:val="left"/>
            </w:pPr>
            <w:r>
              <w:t xml:space="preserve">W31</w:t>
            </w:r>
          </w:p>
        </w:tc>
        <w:tc>
          <w:tcPr/>
          <w:p>
            <w:pPr>
              <w:pStyle w:val="Compact"/>
              <w:jc w:val="left"/>
            </w:pPr>
            <w:r>
              <w:t xml:space="preserve">Triage and remediate defects before sign-off.</w:t>
            </w:r>
          </w:p>
        </w:tc>
        <w:tc>
          <w:tcPr/>
          <w:p>
            <w:pPr>
              <w:pStyle w:val="Compact"/>
              <w:jc w:val="left"/>
            </w:pPr>
            <w:r>
              <w:t xml:space="preserve">—</w:t>
            </w:r>
          </w:p>
        </w:tc>
        <w:tc>
          <w:tcPr/>
          <w:p>
            <w:pPr>
              <w:pStyle w:val="Compact"/>
              <w:jc w:val="left"/>
            </w:pPr>
            <w:r>
              <w:t xml:space="preserve">ITL, PM</w:t>
            </w:r>
          </w:p>
        </w:tc>
      </w:tr>
      <w:tr>
        <w:tc>
          <w:tcPr/>
          <w:p>
            <w:pPr>
              <w:pStyle w:val="Compact"/>
              <w:jc w:val="left"/>
            </w:pPr>
            <w:r>
              <w:t xml:space="preserve">W32</w:t>
            </w:r>
          </w:p>
        </w:tc>
        <w:tc>
          <w:tcPr/>
          <w:p>
            <w:pPr>
              <w:pStyle w:val="Compact"/>
              <w:jc w:val="left"/>
            </w:pPr>
            <w:r>
              <w:t xml:space="preserve">SIT / UAT sign-off; Phase 4 gate review.</w:t>
            </w:r>
          </w:p>
        </w:tc>
        <w:tc>
          <w:tcPr/>
          <w:p>
            <w:pPr>
              <w:pStyle w:val="Compact"/>
              <w:jc w:val="left"/>
            </w:pPr>
            <w:r>
              <w:t xml:space="preserve">—</w:t>
            </w:r>
          </w:p>
        </w:tc>
        <w:tc>
          <w:tcPr/>
          <w:p>
            <w:pPr>
              <w:pStyle w:val="Compact"/>
              <w:jc w:val="left"/>
            </w:pPr>
            <w:r>
              <w:t xml:space="preserve">PM, ES</w:t>
            </w:r>
          </w:p>
        </w:tc>
      </w:tr>
    </w:tbl>
    <w:p>
      <w:pPr>
        <w:pStyle w:val="BodyText"/>
      </w:pPr>
      <w:r>
        <w:rPr>
          <w:iCs/>
          <w:i/>
        </w:rPr>
        <w:t xml:space="preserve">Week-by-week timeline for Phase 4 — Testing (SIT / UAT).</w:t>
      </w:r>
    </w:p>
    <w:p>
      <w:pPr>
        <w:pStyle w:val="BodyText"/>
      </w:pPr>
      <w:r>
        <w:rPr>
          <w:bCs/>
          <w:b/>
        </w:rPr>
        <w:t xml:space="preserve">SIPOC</w:t>
      </w:r>
    </w:p>
    <w:tbl>
      <w:tblPr>
        <w:tblStyle w:val="Table"/>
        <w:tblW w:type="pct" w:w="4969"/>
        <w:tblLook w:firstRow="1" w:lastRow="0" w:firstColumn="0" w:lastColumn="0" w:noHBand="0" w:noVBand="0" w:val="0020"/>
        <w:jc w:val="start"/>
      </w:tblPr>
      <w:tblGrid>
        <w:gridCol w:w="1743"/>
        <w:gridCol w:w="1645"/>
        <w:gridCol w:w="1320"/>
        <w:gridCol w:w="2118"/>
        <w:gridCol w:w="104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Functional Process Owners; a representative sample of end users (UAT participants).</w:t>
            </w:r>
          </w:p>
        </w:tc>
        <w:tc>
          <w:tcPr/>
          <w:p>
            <w:pPr>
              <w:pStyle w:val="Compact"/>
              <w:jc w:val="left"/>
            </w:pPr>
            <w:r>
              <w:t xml:space="preserve">Test scripts and acceptance criteria; migrated data set; configured build; UAT participant roster.</w:t>
            </w:r>
          </w:p>
        </w:tc>
        <w:tc>
          <w:tcPr/>
          <w:p>
            <w:pPr>
              <w:jc w:val="left"/>
            </w:pPr>
            <w:r>
              <w:t xml:space="preserve">1. Execute system integration testing (SIT)</w:t>
            </w:r>
          </w:p>
          <w:p>
            <w:pPr>
              <w:jc w:val="left"/>
            </w:pPr>
            <w:r>
              <w:t xml:space="preserve">2. Recruit a representative cohort for user acceptance testing (UAT)</w:t>
            </w:r>
          </w:p>
          <w:p>
            <w:pPr>
              <w:jc w:val="left"/>
            </w:pPr>
            <w:r>
              <w:t xml:space="preserve">3. Run UAT sessions and log defects and usability friction</w:t>
            </w:r>
          </w:p>
          <w:p>
            <w:pPr>
              <w:jc w:val="left"/>
            </w:pPr>
            <w:r>
              <w:t xml:space="preserve">4. Cross-check Knowledge / Ability against Bridges (Divergence Pattern check)</w:t>
            </w:r>
          </w:p>
          <w:p>
            <w:pPr>
              <w:jc w:val="left"/>
            </w:pPr>
            <w:r>
              <w:t xml:space="preserve">5. Triage and remediate defects before sign-off</w:t>
            </w:r>
          </w:p>
        </w:tc>
        <w:tc>
          <w:tcPr/>
          <w:p>
            <w:pPr>
              <w:pStyle w:val="Compact"/>
              <w:jc w:val="left"/>
            </w:pPr>
            <w:r>
              <w:t xml:space="preserve">SIT / UAT sign-off; defect log (closed or accepted); first real Knowledge / Ability scores; Divergence Pattern Detector result.</w:t>
            </w:r>
          </w:p>
        </w:tc>
        <w:tc>
          <w:tcPr/>
          <w:p>
            <w:pPr>
              <w:pStyle w:val="Compact"/>
              <w:jc w:val="left"/>
            </w:pPr>
            <w:r>
              <w:t xml:space="preserve">Training team (next phase); cutover team; Steering Committee.</w:t>
            </w:r>
          </w:p>
        </w:tc>
      </w:tr>
    </w:tbl>
    <w:p>
      <w:pPr>
        <w:pStyle w:val="BodyText"/>
      </w:pPr>
      <w:r>
        <w:rPr>
          <w:iCs/>
          <w:i/>
        </w:rPr>
        <w:t xml:space="preserve">SIPOC for Phase 4 — Testing (SIT / UAT). The Process column lists this phase's five Tasks in sequence.</w:t>
      </w:r>
    </w:p>
    <w:p>
      <w:pPr>
        <w:pStyle w:val="BodyText"/>
      </w:pPr>
      <w:r>
        <w:rPr>
          <w:bCs/>
          <w:b/>
        </w:rPr>
        <w:t xml:space="preserve">Tasks, Steps, Techniques &amp; RACSI</w:t>
      </w:r>
    </w:p>
    <w:p>
      <w:pPr>
        <w:pStyle w:val="BodyText"/>
      </w:pPr>
      <w:r>
        <w:rPr>
          <w:bCs/>
          <w:b/>
          <w:color w:val="3F827B"/>
          <w:sz w:val="24"/>
        </w:rPr>
        <w:t xml:space="preserve">Task 1 — [PROJECT] Execute system integration testing (SIT)</w:t>
      </w:r>
    </w:p>
    <w:p>
      <w:pPr>
        <w:pStyle w:val="BodyText"/>
      </w:pPr>
      <w:r>
        <w:rPr>
          <w:bCs/>
          <w:b/>
          <w:color w:val="5A8F89"/>
          <w:sz w:val="22"/>
        </w:rPr>
        <w:t xml:space="preserve">Step 1 — Execute the SIT script set</w:t>
      </w:r>
    </w:p>
    <w:p>
      <w:pPr>
        <w:pStyle w:val="BodyText"/>
      </w:pPr>
      <w:r>
        <w:t xml:space="preserve">SIT is deliberately technical and internal, run before any end user touches the system, so that UAT can focus on real-world usability rather than basic system defects.</w:t>
      </w:r>
    </w:p>
    <w:p>
      <w:pPr>
        <w:pStyle w:val="BodyText"/>
      </w:pPr>
      <w:r>
        <w:rPr>
          <w:iCs/>
          <w:i/>
        </w:rPr>
        <w:t xml:space="preserve">SIPOC for this step.</w:t>
      </w:r>
    </w:p>
    <w:tbl>
      <w:tblPr>
        <w:tblStyle w:val="Table"/>
        <w:tblW w:type="pct" w:w="4965"/>
        <w:tblLook w:firstRow="1" w:lastRow="0" w:firstColumn="0" w:lastColumn="0" w:noHBand="0" w:noVBand="0" w:val="0020"/>
        <w:jc w:val="start"/>
      </w:tblPr>
      <w:tblGrid>
        <w:gridCol w:w="2973"/>
        <w:gridCol w:w="2806"/>
        <w:gridCol w:w="722"/>
        <w:gridCol w:w="666"/>
        <w:gridCol w:w="69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Functional Process Owners; a representative sample of end users (UAT participants).</w:t>
            </w:r>
          </w:p>
        </w:tc>
        <w:tc>
          <w:tcPr/>
          <w:p>
            <w:pPr>
              <w:pStyle w:val="Compact"/>
              <w:jc w:val="left"/>
            </w:pPr>
            <w:r>
              <w:t xml:space="preserve">Test scripts and acceptance criteria; migrated data set; configured build; UAT participant roster.</w:t>
            </w:r>
          </w:p>
        </w:tc>
        <w:tc>
          <w:tcPr/>
          <w:p>
            <w:pPr>
              <w:pStyle w:val="Compact"/>
              <w:jc w:val="left"/>
            </w:pPr>
            <w:r>
              <w:t xml:space="preserve">Scripted test execution</w:t>
            </w:r>
          </w:p>
        </w:tc>
        <w:tc>
          <w:tcPr/>
          <w:p>
            <w:pPr>
              <w:pStyle w:val="Compact"/>
              <w:jc w:val="left"/>
            </w:pPr>
            <w:r>
              <w:t xml:space="preserve">SIT execution results</w:t>
            </w:r>
          </w:p>
        </w:tc>
        <w:tc>
          <w:tcPr/>
          <w:p>
            <w:pPr>
              <w:pStyle w:val="Compact"/>
              <w:jc w:val="left"/>
            </w:pPr>
            <w:r>
              <w:t xml:space="preserve">Step 2 (Defect triage)</w:t>
            </w:r>
          </w:p>
        </w:tc>
      </w:tr>
    </w:tbl>
    <w:p>
      <w:pPr>
        <w:pStyle w:val="BodyText"/>
      </w:pPr>
      <w:r>
        <w:rPr>
          <w:iCs/>
          <w:i/>
        </w:rPr>
        <w:t xml:space="preserve">Technique detail for this step.</w:t>
      </w:r>
    </w:p>
    <w:tbl>
      <w:tblPr>
        <w:tblStyle w:val="Table"/>
        <w:tblW w:type="pct" w:w="4925"/>
        <w:tblLook w:firstRow="1" w:lastRow="0" w:firstColumn="0" w:lastColumn="0" w:noHBand="0" w:noVBand="0" w:val="0020"/>
        <w:jc w:val="start"/>
      </w:tblPr>
      <w:tblGrid>
        <w:gridCol w:w="1846"/>
        <w:gridCol w:w="595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Scripted test execution</w:t>
            </w:r>
          </w:p>
        </w:tc>
      </w:tr>
      <w:tr>
        <w:tc>
          <w:tcPr/>
          <w:p>
            <w:pPr>
              <w:pStyle w:val="Compact"/>
              <w:jc w:val="left"/>
            </w:pPr>
            <w:r>
              <w:t xml:space="preserve">Technique Goal</w:t>
            </w:r>
          </w:p>
        </w:tc>
        <w:tc>
          <w:tcPr/>
          <w:p>
            <w:pPr>
              <w:pStyle w:val="Compact"/>
              <w:jc w:val="left"/>
            </w:pPr>
            <w:r>
              <w:t xml:space="preserve">Validate system behavior against acceptance criteria.</w:t>
            </w:r>
          </w:p>
        </w:tc>
      </w:tr>
      <w:tr>
        <w:tc>
          <w:tcPr/>
          <w:p>
            <w:pPr>
              <w:pStyle w:val="Compact"/>
              <w:jc w:val="left"/>
            </w:pPr>
            <w:r>
              <w:t xml:space="preserve">Technique Details</w:t>
            </w:r>
          </w:p>
        </w:tc>
        <w:tc>
          <w:tcPr/>
          <w:p>
            <w:pPr>
              <w:pStyle w:val="Compact"/>
              <w:jc w:val="left"/>
            </w:pPr>
            <w:r>
              <w:t xml:space="preserve">Execute the full SIT script set in sequence, logging pass/fail against each acceptance criterion.</w:t>
            </w:r>
          </w:p>
        </w:tc>
      </w:tr>
      <w:tr>
        <w:tc>
          <w:tcPr/>
          <w:p>
            <w:pPr>
              <w:pStyle w:val="Compact"/>
              <w:jc w:val="left"/>
            </w:pPr>
            <w:r>
              <w:t xml:space="preserve">Recommended Open-Source Tool</w:t>
            </w:r>
          </w:p>
        </w:tc>
        <w:tc>
          <w:tcPr/>
          <w:p>
            <w:pPr>
              <w:pStyle w:val="Compact"/>
              <w:jc w:val="left"/>
            </w:pPr>
            <w:r>
              <w:t xml:space="preserve">Kiwi TCMS (test case management)</w:t>
            </w:r>
          </w:p>
        </w:tc>
      </w:tr>
    </w:tbl>
    <w:p>
      <w:pPr>
        <w:pStyle w:val="BodyText"/>
      </w:pPr>
      <w:r>
        <w:rPr>
          <w:bCs/>
          <w:b/>
          <w:color w:val="5A8F89"/>
          <w:sz w:val="22"/>
        </w:rPr>
        <w:t xml:space="preserve">Step 2 — Triage the SIT defects</w:t>
      </w:r>
    </w:p>
    <w:p>
      <w:pPr>
        <w:pStyle w:val="BodyText"/>
      </w:pPr>
      <w:r>
        <w:t xml:space="preserve">A same-day triage discipline is what keeps a defect backlog from silently growing into a blocker for the UAT entry gate.</w:t>
      </w:r>
    </w:p>
    <w:p>
      <w:pPr>
        <w:pStyle w:val="BodyText"/>
      </w:pPr>
      <w:r>
        <w:rPr>
          <w:iCs/>
          <w:i/>
        </w:rPr>
        <w:t xml:space="preserve">SIPOC for this step.</w:t>
      </w:r>
    </w:p>
    <w:tbl>
      <w:tblPr>
        <w:tblStyle w:val="Table"/>
        <w:tblW w:type="pct" w:w="4944"/>
        <w:tblLook w:firstRow="1" w:lastRow="0" w:firstColumn="0" w:lastColumn="0" w:noHBand="0" w:noVBand="0" w:val="0020"/>
        <w:jc w:val="start"/>
      </w:tblPr>
      <w:tblGrid>
        <w:gridCol w:w="1980"/>
        <w:gridCol w:w="1056"/>
        <w:gridCol w:w="704"/>
        <w:gridCol w:w="1276"/>
        <w:gridCol w:w="2816"/>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(Scripted test execution)</w:t>
            </w:r>
          </w:p>
        </w:tc>
        <w:tc>
          <w:tcPr/>
          <w:p>
            <w:pPr>
              <w:pStyle w:val="Compact"/>
              <w:jc w:val="left"/>
            </w:pPr>
            <w:r>
              <w:t xml:space="preserve">SIT execution results</w:t>
            </w:r>
          </w:p>
        </w:tc>
        <w:tc>
          <w:tcPr/>
          <w:p>
            <w:pPr>
              <w:pStyle w:val="Compact"/>
              <w:jc w:val="left"/>
            </w:pPr>
            <w:r>
              <w:t xml:space="preserve">Defect triage</w:t>
            </w:r>
          </w:p>
        </w:tc>
        <w:tc>
          <w:tcPr/>
          <w:p>
            <w:pPr>
              <w:pStyle w:val="Compact"/>
              <w:jc w:val="left"/>
            </w:pPr>
            <w:r>
              <w:t xml:space="preserve">Prioritized defect backlog</w:t>
            </w:r>
          </w:p>
        </w:tc>
        <w:tc>
          <w:tcPr/>
          <w:p>
            <w:pPr>
              <w:pStyle w:val="Compact"/>
              <w:jc w:val="left"/>
            </w:pPr>
            <w:r>
              <w:t xml:space="preserve">Training team (next phase); cutover team; Steering Committee.</w:t>
            </w:r>
          </w:p>
        </w:tc>
      </w:tr>
    </w:tbl>
    <w:p>
      <w:pPr>
        <w:pStyle w:val="BodyText"/>
      </w:pPr>
      <w:r>
        <w:rPr>
          <w:iCs/>
          <w:i/>
        </w:rPr>
        <w:t xml:space="preserve">Technique detail for this step.</w:t>
      </w:r>
    </w:p>
    <w:tbl>
      <w:tblPr>
        <w:tblStyle w:val="Table"/>
        <w:tblW w:type="pct" w:w="4928"/>
        <w:tblLook w:firstRow="1" w:lastRow="0" w:firstColumn="0" w:lastColumn="0" w:noHBand="0" w:noVBand="0" w:val="0020"/>
        <w:jc w:val="start"/>
      </w:tblPr>
      <w:tblGrid>
        <w:gridCol w:w="1766"/>
        <w:gridCol w:w="603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Defect triage</w:t>
            </w:r>
          </w:p>
        </w:tc>
      </w:tr>
      <w:tr>
        <w:tc>
          <w:tcPr/>
          <w:p>
            <w:pPr>
              <w:pStyle w:val="Compact"/>
              <w:jc w:val="left"/>
            </w:pPr>
            <w:r>
              <w:t xml:space="preserve">Technique Goal</w:t>
            </w:r>
          </w:p>
        </w:tc>
        <w:tc>
          <w:tcPr/>
          <w:p>
            <w:pPr>
              <w:pStyle w:val="Compact"/>
              <w:jc w:val="left"/>
            </w:pPr>
            <w:r>
              <w:t xml:space="preserve">Log and prioritize defects by business severity.</w:t>
            </w:r>
          </w:p>
        </w:tc>
      </w:tr>
      <w:tr>
        <w:tc>
          <w:tcPr/>
          <w:p>
            <w:pPr>
              <w:pStyle w:val="Compact"/>
              <w:jc w:val="left"/>
            </w:pPr>
            <w:r>
              <w:t xml:space="preserve">Technique Details</w:t>
            </w:r>
          </w:p>
        </w:tc>
        <w:tc>
          <w:tcPr/>
          <w:p>
            <w:pPr>
              <w:pStyle w:val="Compact"/>
              <w:jc w:val="left"/>
            </w:pPr>
            <w:r>
              <w:t xml:space="preserve">Triage every failed test case within 24 hours, assigning a severity (blocker/major/minor) and an owner.</w:t>
            </w:r>
          </w:p>
        </w:tc>
      </w:tr>
      <w:tr>
        <w:tc>
          <w:tcPr/>
          <w:p>
            <w:pPr>
              <w:pStyle w:val="Compact"/>
              <w:jc w:val="left"/>
            </w:pPr>
            <w:r>
              <w:t xml:space="preserve">Recommended Open-Source Tool</w:t>
            </w:r>
          </w:p>
        </w:tc>
        <w:tc>
          <w:tcPr/>
          <w:p>
            <w:pPr>
              <w:pStyle w:val="Compact"/>
              <w:jc w:val="left"/>
            </w:pPr>
            <w:r>
              <w:t xml:space="preserve">Mantis BT</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ITL</w:t>
            </w:r>
          </w:p>
        </w:tc>
        <w:tc>
          <w:tcPr/>
          <w:p>
            <w:pPr>
              <w:pStyle w:val="Compact"/>
              <w:jc w:val="left"/>
            </w:pPr>
            <w:r>
              <w:t xml:space="preserve">PM</w:t>
            </w:r>
          </w:p>
        </w:tc>
        <w:tc>
          <w:tcPr/>
          <w:p>
            <w:pPr>
              <w:pStyle w:val="Compact"/>
              <w:jc w:val="left"/>
            </w:pPr>
            <w:r>
              <w:t xml:space="preserve">FPO</w:t>
            </w:r>
          </w:p>
        </w:tc>
        <w:tc>
          <w:tcPr/>
          <w:p>
            <w:pPr>
              <w:pStyle w:val="Compact"/>
              <w:jc w:val="left"/>
            </w:pPr>
            <w:r>
              <w:t xml:space="preserve">CM, SUP, ES, EU</w:t>
            </w:r>
          </w:p>
        </w:tc>
      </w:tr>
    </w:tbl>
    <w:p>
      <w:pPr>
        <w:pStyle w:val="BodyText"/>
      </w:pPr>
      <w:r>
        <w:rPr>
          <w:bCs/>
          <w:b/>
          <w:color w:val="3F827B"/>
          <w:sz w:val="24"/>
        </w:rPr>
        <w:t xml:space="preserve">Task 2 — [JOINT] Recruit a representative cohort for user acceptance testing (UAT)</w:t>
      </w:r>
    </w:p>
    <w:p>
      <w:pPr>
        <w:pStyle w:val="BodyText"/>
      </w:pPr>
      <w:r>
        <w:rPr>
          <w:bCs/>
          <w:b/>
        </w:rPr>
        <w:t xml:space="preserve">journi:</w:t>
      </w:r>
      <w:r>
        <w:t xml:space="preserve"> </w:t>
      </w:r>
      <w:r>
        <w:rPr>
          <w:iCs/>
          <w:i/>
        </w:rPr>
        <w:t xml:space="preserve">This is entered/updated in journi — M4.</w:t>
      </w:r>
    </w:p>
    <w:p>
      <w:pPr>
        <w:pStyle w:val="BodyText"/>
      </w:pPr>
      <w:r>
        <w:rPr>
          <w:bCs/>
          <w:b/>
          <w:color w:val="5A8F89"/>
          <w:sz w:val="22"/>
        </w:rPr>
        <w:t xml:space="preserve">Step 1 — Sample a representative cohort</w:t>
      </w:r>
    </w:p>
    <w:p>
      <w:pPr>
        <w:pStyle w:val="BodyText"/>
      </w:pPr>
      <w:r>
        <w:t xml:space="preserve">A UAT cohort skewed toward the most confident or most senior employees will pass every test and still leave the actual population underprepared.</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2824"/>
        <w:gridCol w:w="2666"/>
        <w:gridCol w:w="580"/>
        <w:gridCol w:w="897"/>
        <w:gridCol w:w="89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Functional Process Owners; a representative sample of end users (UAT participants).</w:t>
            </w:r>
          </w:p>
        </w:tc>
        <w:tc>
          <w:tcPr/>
          <w:p>
            <w:pPr>
              <w:pStyle w:val="Compact"/>
              <w:jc w:val="left"/>
            </w:pPr>
            <w:r>
              <w:t xml:space="preserve">Test scripts and acceptance criteria; migrated data set; configured build; UAT participant roster.</w:t>
            </w:r>
          </w:p>
        </w:tc>
        <w:tc>
          <w:tcPr/>
          <w:p>
            <w:pPr>
              <w:pStyle w:val="Compact"/>
              <w:jc w:val="left"/>
            </w:pPr>
            <w:r>
              <w:t xml:space="preserve">Stratified sampling</w:t>
            </w:r>
          </w:p>
        </w:tc>
        <w:tc>
          <w:tcPr/>
          <w:p>
            <w:pPr>
              <w:pStyle w:val="Compact"/>
              <w:jc w:val="left"/>
            </w:pPr>
            <w:r>
              <w:t xml:space="preserve">Stratified UAT participant list</w:t>
            </w:r>
          </w:p>
        </w:tc>
        <w:tc>
          <w:tcPr/>
          <w:p>
            <w:pPr>
              <w:pStyle w:val="Compact"/>
              <w:jc w:val="left"/>
            </w:pPr>
            <w:r>
              <w:t xml:space="preserve">Step 2 (Participant briefing)</w:t>
            </w:r>
          </w:p>
        </w:tc>
      </w:tr>
    </w:tbl>
    <w:p>
      <w:pPr>
        <w:pStyle w:val="BodyText"/>
      </w:pPr>
      <w:r>
        <w:rPr>
          <w:iCs/>
          <w:i/>
        </w:rPr>
        <w:t xml:space="preserve">Technique detail for this step.</w:t>
      </w:r>
    </w:p>
    <w:tbl>
      <w:tblPr>
        <w:tblStyle w:val="Table"/>
        <w:tblW w:type="pct" w:w="4931"/>
        <w:tblLook w:firstRow="1" w:lastRow="0" w:firstColumn="0" w:lastColumn="0" w:noHBand="0" w:noVBand="0" w:val="0020"/>
        <w:jc w:val="start"/>
      </w:tblPr>
      <w:tblGrid>
        <w:gridCol w:w="1705"/>
        <w:gridCol w:w="610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Stratified sampling</w:t>
            </w:r>
          </w:p>
        </w:tc>
      </w:tr>
      <w:tr>
        <w:tc>
          <w:tcPr/>
          <w:p>
            <w:pPr>
              <w:pStyle w:val="Compact"/>
              <w:jc w:val="left"/>
            </w:pPr>
            <w:r>
              <w:t xml:space="preserve">Technique Goal</w:t>
            </w:r>
          </w:p>
        </w:tc>
        <w:tc>
          <w:tcPr/>
          <w:p>
            <w:pPr>
              <w:pStyle w:val="Compact"/>
              <w:jc w:val="left"/>
            </w:pPr>
            <w:r>
              <w:t xml:space="preserve">Ensure the UAT cohort represents every impacted role and site.</w:t>
            </w:r>
          </w:p>
        </w:tc>
      </w:tr>
      <w:tr>
        <w:tc>
          <w:tcPr/>
          <w:p>
            <w:pPr>
              <w:pStyle w:val="Compact"/>
              <w:jc w:val="left"/>
            </w:pPr>
            <w:r>
              <w:t xml:space="preserve">Technique Details</w:t>
            </w:r>
          </w:p>
        </w:tc>
        <w:tc>
          <w:tcPr/>
          <w:p>
            <w:pPr>
              <w:pStyle w:val="Compact"/>
              <w:jc w:val="left"/>
            </w:pPr>
            <w:r>
              <w:t xml:space="preserve">Select participants proportionally across role, site and tenure so no single group dominates the UAT sample.</w:t>
            </w:r>
          </w:p>
        </w:tc>
      </w:tr>
      <w:tr>
        <w:tc>
          <w:tcPr/>
          <w:p>
            <w:pPr>
              <w:pStyle w:val="Compact"/>
              <w:jc w:val="left"/>
            </w:pPr>
            <w:r>
              <w:t xml:space="preserve">Recommended Open-Source Tool</w:t>
            </w:r>
          </w:p>
        </w:tc>
        <w:tc>
          <w:tcPr/>
          <w:p>
            <w:pPr>
              <w:pStyle w:val="Compact"/>
              <w:jc w:val="left"/>
            </w:pPr>
            <w:r>
              <w:t xml:space="preserve">LibreOffice Calc</w:t>
            </w:r>
          </w:p>
        </w:tc>
      </w:tr>
    </w:tbl>
    <w:p>
      <w:pPr>
        <w:pStyle w:val="BodyText"/>
      </w:pPr>
      <w:r>
        <w:rPr>
          <w:bCs/>
          <w:b/>
        </w:rPr>
        <w:t xml:space="preserve">journi:</w:t>
      </w:r>
      <w:r>
        <w:t xml:space="preserve"> </w:t>
      </w:r>
      <w:r>
        <w:rPr>
          <w:iCs/>
          <w:i/>
        </w:rPr>
        <w:t xml:space="preserve">This is entered/updated in journi — M4 — Stakeholder &amp; Impact Mapping.</w:t>
      </w:r>
    </w:p>
    <w:p>
      <w:pPr>
        <w:pStyle w:val="BodyText"/>
      </w:pPr>
      <w:r>
        <w:rPr>
          <w:bCs/>
          <w:b/>
          <w:color w:val="5A8F89"/>
          <w:sz w:val="22"/>
        </w:rPr>
        <w:t xml:space="preserve">Step 2 — Brief the UAT participants</w:t>
      </w:r>
    </w:p>
    <w:p>
      <w:pPr>
        <w:pStyle w:val="BodyText"/>
      </w:pPr>
      <w:r>
        <w:t xml:space="preserve">Participants who don't know the difference between a hard defect and a usability complaint will either under-report real problems or flood the log with noise.</w:t>
      </w:r>
    </w:p>
    <w:p>
      <w:pPr>
        <w:pStyle w:val="BodyText"/>
      </w:pPr>
      <w:r>
        <w:rPr>
          <w:iCs/>
          <w:i/>
        </w:rPr>
        <w:t xml:space="preserve">SIPOC for this step.</w:t>
      </w:r>
    </w:p>
    <w:tbl>
      <w:tblPr>
        <w:tblStyle w:val="Table"/>
        <w:tblW w:type="pct" w:w="4948"/>
        <w:tblLook w:firstRow="1" w:lastRow="0" w:firstColumn="0" w:lastColumn="0" w:noHBand="0" w:noVBand="0" w:val="0020"/>
        <w:jc w:val="start"/>
      </w:tblPr>
      <w:tblGrid>
        <w:gridCol w:w="1700"/>
        <w:gridCol w:w="1409"/>
        <w:gridCol w:w="953"/>
        <w:gridCol w:w="1119"/>
        <w:gridCol w:w="265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(Stratified sampling)</w:t>
            </w:r>
          </w:p>
        </w:tc>
        <w:tc>
          <w:tcPr/>
          <w:p>
            <w:pPr>
              <w:pStyle w:val="Compact"/>
              <w:jc w:val="left"/>
            </w:pPr>
            <w:r>
              <w:t xml:space="preserve">Stratified UAT participant list</w:t>
            </w:r>
          </w:p>
        </w:tc>
        <w:tc>
          <w:tcPr/>
          <w:p>
            <w:pPr>
              <w:pStyle w:val="Compact"/>
              <w:jc w:val="left"/>
            </w:pPr>
            <w:r>
              <w:t xml:space="preserve">Participant briefing</w:t>
            </w:r>
          </w:p>
        </w:tc>
        <w:tc>
          <w:tcPr/>
          <w:p>
            <w:pPr>
              <w:pStyle w:val="Compact"/>
              <w:jc w:val="left"/>
            </w:pPr>
            <w:r>
              <w:t xml:space="preserve">Briefed UAT participants</w:t>
            </w:r>
          </w:p>
        </w:tc>
        <w:tc>
          <w:tcPr/>
          <w:p>
            <w:pPr>
              <w:pStyle w:val="Compact"/>
              <w:jc w:val="left"/>
            </w:pPr>
            <w:r>
              <w:t xml:space="preserve">Training team (next phase); cutover team; Steering Committee.</w:t>
            </w:r>
          </w:p>
        </w:tc>
      </w:tr>
    </w:tbl>
    <w:p>
      <w:pPr>
        <w:pStyle w:val="BodyText"/>
      </w:pPr>
      <w:r>
        <w:rPr>
          <w:iCs/>
          <w:i/>
        </w:rPr>
        <w:t xml:space="preserve">Technique detail for this step.</w:t>
      </w:r>
    </w:p>
    <w:tbl>
      <w:tblPr>
        <w:tblStyle w:val="Table"/>
        <w:tblW w:type="pct" w:w="4938"/>
        <w:tblLook w:firstRow="1" w:lastRow="0" w:firstColumn="0" w:lastColumn="0" w:noHBand="0" w:noVBand="0" w:val="0020"/>
        <w:jc w:val="start"/>
      </w:tblPr>
      <w:tblGrid>
        <w:gridCol w:w="1534"/>
        <w:gridCol w:w="628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Participant briefing</w:t>
            </w:r>
          </w:p>
        </w:tc>
      </w:tr>
      <w:tr>
        <w:tc>
          <w:tcPr/>
          <w:p>
            <w:pPr>
              <w:pStyle w:val="Compact"/>
              <w:jc w:val="left"/>
            </w:pPr>
            <w:r>
              <w:t xml:space="preserve">Technique Goal</w:t>
            </w:r>
          </w:p>
        </w:tc>
        <w:tc>
          <w:tcPr/>
          <w:p>
            <w:pPr>
              <w:pStyle w:val="Compact"/>
              <w:jc w:val="left"/>
            </w:pPr>
            <w:r>
              <w:t xml:space="preserve">Set expectations and logistics for UAT participants.</w:t>
            </w:r>
          </w:p>
        </w:tc>
      </w:tr>
      <w:tr>
        <w:tc>
          <w:tcPr/>
          <w:p>
            <w:pPr>
              <w:pStyle w:val="Compact"/>
              <w:jc w:val="left"/>
            </w:pPr>
            <w:r>
              <w:t xml:space="preserve">Technique Details</w:t>
            </w:r>
          </w:p>
        </w:tc>
        <w:tc>
          <w:tcPr/>
          <w:p>
            <w:pPr>
              <w:pStyle w:val="Compact"/>
              <w:jc w:val="left"/>
            </w:pPr>
            <w:r>
              <w:t xml:space="preserve">A 30-minute kickoff covering schedule, what</w:t>
            </w:r>
            <w:r>
              <w:t xml:space="preserve"> </w:t>
            </w:r>
            <w:r>
              <w:t xml:space="preserve">“</w:t>
            </w:r>
            <w:r>
              <w:t xml:space="preserve">done</w:t>
            </w:r>
            <w:r>
              <w:t xml:space="preserve">”</w:t>
            </w:r>
            <w:r>
              <w:t xml:space="preserve"> </w:t>
            </w:r>
            <w:r>
              <w:t xml:space="preserve">looks like for a test case, and how to log friction versus a hard defect.</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FPO</w:t>
            </w:r>
          </w:p>
        </w:tc>
        <w:tc>
          <w:tcPr/>
          <w:p>
            <w:pPr>
              <w:pStyle w:val="Compact"/>
              <w:jc w:val="left"/>
            </w:pPr>
            <w:r>
              <w:t xml:space="preserve">CM</w:t>
            </w:r>
          </w:p>
        </w:tc>
        <w:tc>
          <w:tcPr/>
          <w:p>
            <w:pPr>
              <w:pStyle w:val="Compact"/>
              <w:jc w:val="left"/>
            </w:pPr>
            <w:r>
              <w:t xml:space="preserve">SUP</w:t>
            </w:r>
          </w:p>
        </w:tc>
        <w:tc>
          <w:tcPr/>
          <w:p>
            <w:pPr>
              <w:pStyle w:val="Compact"/>
              <w:jc w:val="left"/>
            </w:pPr>
            <w:r>
              <w:t xml:space="preserve">PM</w:t>
            </w:r>
          </w:p>
        </w:tc>
        <w:tc>
          <w:tcPr/>
          <w:p>
            <w:pPr>
              <w:pStyle w:val="Compact"/>
              <w:jc w:val="left"/>
            </w:pPr>
            <w:r>
              <w:t xml:space="preserve">ES, ITL, EU</w:t>
            </w:r>
          </w:p>
        </w:tc>
      </w:tr>
    </w:tbl>
    <w:p>
      <w:pPr>
        <w:pStyle w:val="BodyText"/>
      </w:pPr>
      <w:r>
        <w:rPr>
          <w:bCs/>
          <w:b/>
          <w:color w:val="3F827B"/>
          <w:sz w:val="24"/>
        </w:rPr>
        <w:t xml:space="preserve">Task 3 — [JOINT] Run UAT sessions and log defects and usability friction</w:t>
      </w:r>
    </w:p>
    <w:p>
      <w:pPr>
        <w:pStyle w:val="BodyText"/>
      </w:pPr>
      <w:r>
        <w:rPr>
          <w:bCs/>
          <w:b/>
          <w:color w:val="5A8F89"/>
          <w:sz w:val="22"/>
        </w:rPr>
        <w:t xml:space="preserve">Step 1 — Facilitate the UAT sessions</w:t>
      </w:r>
    </w:p>
    <w:p>
      <w:pPr>
        <w:pStyle w:val="BodyText"/>
      </w:pPr>
      <w:r>
        <w:t xml:space="preserve">Watching a real user attempt a real-world scenario — not a scripted happy path — is what surfaces the usability gaps that scripted SIT testing structurally cannot find.</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2902"/>
        <w:gridCol w:w="2739"/>
        <w:gridCol w:w="705"/>
        <w:gridCol w:w="596"/>
        <w:gridCol w:w="92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Functional Process Owners; a representative sample of end users (UAT participants).</w:t>
            </w:r>
          </w:p>
        </w:tc>
        <w:tc>
          <w:tcPr/>
          <w:p>
            <w:pPr>
              <w:pStyle w:val="Compact"/>
              <w:jc w:val="left"/>
            </w:pPr>
            <w:r>
              <w:t xml:space="preserve">Test scripts and acceptance criteria; migrated data set; configured build; UAT participant roster.</w:t>
            </w:r>
          </w:p>
        </w:tc>
        <w:tc>
          <w:tcPr/>
          <w:p>
            <w:pPr>
              <w:pStyle w:val="Compact"/>
              <w:jc w:val="left"/>
            </w:pPr>
            <w:r>
              <w:t xml:space="preserve">Facilitated UAT session</w:t>
            </w:r>
          </w:p>
        </w:tc>
        <w:tc>
          <w:tcPr/>
          <w:p>
            <w:pPr>
              <w:pStyle w:val="Compact"/>
              <w:jc w:val="left"/>
            </w:pPr>
            <w:r>
              <w:t xml:space="preserve">UAT session results</w:t>
            </w:r>
          </w:p>
        </w:tc>
        <w:tc>
          <w:tcPr/>
          <w:p>
            <w:pPr>
              <w:pStyle w:val="Compact"/>
              <w:jc w:val="left"/>
            </w:pPr>
            <w:r>
              <w:t xml:space="preserve">Step 2 (Usability friction log)</w:t>
            </w:r>
          </w:p>
        </w:tc>
      </w:tr>
    </w:tbl>
    <w:p>
      <w:pPr>
        <w:pStyle w:val="BodyText"/>
      </w:pPr>
      <w:r>
        <w:rPr>
          <w:iCs/>
          <w:i/>
        </w:rPr>
        <w:t xml:space="preserve">Technique detail for this step.</w:t>
      </w:r>
    </w:p>
    <w:tbl>
      <w:tblPr>
        <w:tblStyle w:val="Table"/>
        <w:tblW w:type="pct" w:w="4939"/>
        <w:tblLook w:firstRow="1" w:lastRow="0" w:firstColumn="0" w:lastColumn="0" w:noHBand="0" w:noVBand="0" w:val="0020"/>
        <w:jc w:val="start"/>
      </w:tblPr>
      <w:tblGrid>
        <w:gridCol w:w="1506"/>
        <w:gridCol w:w="631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Facilitated UAT session</w:t>
            </w:r>
          </w:p>
        </w:tc>
      </w:tr>
      <w:tr>
        <w:tc>
          <w:tcPr/>
          <w:p>
            <w:pPr>
              <w:pStyle w:val="Compact"/>
              <w:jc w:val="left"/>
            </w:pPr>
            <w:r>
              <w:t xml:space="preserve">Technique Goal</w:t>
            </w:r>
          </w:p>
        </w:tc>
        <w:tc>
          <w:tcPr/>
          <w:p>
            <w:pPr>
              <w:pStyle w:val="Compact"/>
              <w:jc w:val="left"/>
            </w:pPr>
            <w:r>
              <w:t xml:space="preserve">Observe real users completing real tasks in the new system.</w:t>
            </w:r>
          </w:p>
        </w:tc>
      </w:tr>
      <w:tr>
        <w:tc>
          <w:tcPr/>
          <w:p>
            <w:pPr>
              <w:pStyle w:val="Compact"/>
              <w:jc w:val="left"/>
            </w:pPr>
            <w:r>
              <w:t xml:space="preserve">Technique Details</w:t>
            </w:r>
          </w:p>
        </w:tc>
        <w:tc>
          <w:tcPr/>
          <w:p>
            <w:pPr>
              <w:pStyle w:val="Compact"/>
              <w:jc w:val="left"/>
            </w:pPr>
            <w:r>
              <w:t xml:space="preserve">Pair each participant with an observer; run 2-hour sessions against real-world scenarios rather than scripted happy paths only.</w:t>
            </w:r>
          </w:p>
        </w:tc>
      </w:tr>
      <w:tr>
        <w:tc>
          <w:tcPr/>
          <w:p>
            <w:pPr>
              <w:pStyle w:val="Compact"/>
              <w:jc w:val="left"/>
            </w:pPr>
            <w:r>
              <w:t xml:space="preserve">Recommended Open-Source Tool</w:t>
            </w:r>
          </w:p>
        </w:tc>
        <w:tc>
          <w:tcPr/>
          <w:p>
            <w:pPr>
              <w:pStyle w:val="Compact"/>
              <w:jc w:val="left"/>
            </w:pPr>
            <w:r>
              <w:t xml:space="preserve">Kiwi TCMS</w:t>
            </w:r>
          </w:p>
        </w:tc>
      </w:tr>
    </w:tbl>
    <w:p>
      <w:pPr>
        <w:pStyle w:val="BodyText"/>
      </w:pPr>
      <w:r>
        <w:rPr>
          <w:bCs/>
          <w:b/>
          <w:color w:val="5A8F89"/>
          <w:sz w:val="22"/>
        </w:rPr>
        <w:t xml:space="preserve">Step 2 — Classify friction versus defects</w:t>
      </w:r>
    </w:p>
    <w:p>
      <w:pPr>
        <w:pStyle w:val="BodyText"/>
      </w:pPr>
      <w:r>
        <w:t xml:space="preserve">Sending a training gap to the defect queue wastes a developer's time; sending a real defect to the training team wastes everyone's time waiting for a fix that will never come from a course.</w:t>
      </w:r>
    </w:p>
    <w:p>
      <w:pPr>
        <w:pStyle w:val="BodyText"/>
      </w:pPr>
      <w:r>
        <w:rPr>
          <w:iCs/>
          <w:i/>
        </w:rPr>
        <w:t xml:space="preserve">SIPOC for this step.</w:t>
      </w:r>
    </w:p>
    <w:tbl>
      <w:tblPr>
        <w:tblStyle w:val="Table"/>
        <w:tblW w:type="pct" w:w="4948"/>
        <w:tblLook w:firstRow="1" w:lastRow="0" w:firstColumn="0" w:lastColumn="0" w:noHBand="0" w:noVBand="0" w:val="0020"/>
        <w:jc w:val="start"/>
      </w:tblPr>
      <w:tblGrid>
        <w:gridCol w:w="1846"/>
        <w:gridCol w:w="902"/>
        <w:gridCol w:w="1025"/>
        <w:gridCol w:w="1436"/>
        <w:gridCol w:w="2626"/>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(Facilitated UAT session)</w:t>
            </w:r>
          </w:p>
        </w:tc>
        <w:tc>
          <w:tcPr/>
          <w:p>
            <w:pPr>
              <w:pStyle w:val="Compact"/>
              <w:jc w:val="left"/>
            </w:pPr>
            <w:r>
              <w:t xml:space="preserve">UAT session results</w:t>
            </w:r>
          </w:p>
        </w:tc>
        <w:tc>
          <w:tcPr/>
          <w:p>
            <w:pPr>
              <w:pStyle w:val="Compact"/>
              <w:jc w:val="left"/>
            </w:pPr>
            <w:r>
              <w:t xml:space="preserve">Usability friction log</w:t>
            </w:r>
          </w:p>
        </w:tc>
        <w:tc>
          <w:tcPr/>
          <w:p>
            <w:pPr>
              <w:pStyle w:val="Compact"/>
              <w:jc w:val="left"/>
            </w:pPr>
            <w:r>
              <w:t xml:space="preserve">Classified friction / defect log</w:t>
            </w:r>
          </w:p>
        </w:tc>
        <w:tc>
          <w:tcPr/>
          <w:p>
            <w:pPr>
              <w:pStyle w:val="Compact"/>
              <w:jc w:val="left"/>
            </w:pPr>
            <w:r>
              <w:t xml:space="preserve">Training team (next phase); cutover team; Steering Committee.</w:t>
            </w:r>
          </w:p>
        </w:tc>
      </w:tr>
    </w:tbl>
    <w:p>
      <w:pPr>
        <w:pStyle w:val="BodyText"/>
      </w:pPr>
      <w:r>
        <w:rPr>
          <w:iCs/>
          <w:i/>
        </w:rPr>
        <w:t xml:space="preserve">Technique detail for this step.</w:t>
      </w:r>
    </w:p>
    <w:tbl>
      <w:tblPr>
        <w:tblStyle w:val="Table"/>
        <w:tblW w:type="pct" w:w="4933"/>
        <w:tblLook w:firstRow="1" w:lastRow="0" w:firstColumn="0" w:lastColumn="0" w:noHBand="0" w:noVBand="0" w:val="0020"/>
        <w:jc w:val="start"/>
      </w:tblPr>
      <w:tblGrid>
        <w:gridCol w:w="1636"/>
        <w:gridCol w:w="617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Usability friction log</w:t>
            </w:r>
          </w:p>
        </w:tc>
      </w:tr>
      <w:tr>
        <w:tc>
          <w:tcPr/>
          <w:p>
            <w:pPr>
              <w:pStyle w:val="Compact"/>
              <w:jc w:val="left"/>
            </w:pPr>
            <w:r>
              <w:t xml:space="preserve">Technique Goal</w:t>
            </w:r>
          </w:p>
        </w:tc>
        <w:tc>
          <w:tcPr/>
          <w:p>
            <w:pPr>
              <w:pStyle w:val="Compact"/>
              <w:jc w:val="left"/>
            </w:pPr>
            <w:r>
              <w:t xml:space="preserve">Distinguish a genuine defect from a UX or training gap.</w:t>
            </w:r>
          </w:p>
        </w:tc>
      </w:tr>
      <w:tr>
        <w:tc>
          <w:tcPr/>
          <w:p>
            <w:pPr>
              <w:pStyle w:val="Compact"/>
              <w:jc w:val="left"/>
            </w:pPr>
            <w:r>
              <w:t xml:space="preserve">Technique Details</w:t>
            </w:r>
          </w:p>
        </w:tc>
        <w:tc>
          <w:tcPr/>
          <w:p>
            <w:pPr>
              <w:pStyle w:val="Compact"/>
              <w:jc w:val="left"/>
            </w:pPr>
            <w:r>
              <w:t xml:space="preserve">Tag every logged issue as</w:t>
            </w:r>
            <w:r>
              <w:t xml:space="preserve"> </w:t>
            </w:r>
            <w:r>
              <w:t xml:space="preserve">“</w:t>
            </w:r>
            <w:r>
              <w:t xml:space="preserve">defect</w:t>
            </w:r>
            <w:r>
              <w:t xml:space="preserve">”</w:t>
            </w:r>
            <w:r>
              <w:t xml:space="preserve">,</w:t>
            </w:r>
            <w:r>
              <w:t xml:space="preserve"> </w:t>
            </w:r>
            <w:r>
              <w:t xml:space="preserve">“</w:t>
            </w:r>
            <w:r>
              <w:t xml:space="preserve">usability friction</w:t>
            </w:r>
            <w:r>
              <w:t xml:space="preserve">”</w:t>
            </w:r>
            <w:r>
              <w:t xml:space="preserve"> </w:t>
            </w:r>
            <w:r>
              <w:t xml:space="preserve">or</w:t>
            </w:r>
            <w:r>
              <w:t xml:space="preserve"> </w:t>
            </w:r>
            <w:r>
              <w:t xml:space="preserve">“</w:t>
            </w:r>
            <w:r>
              <w:t xml:space="preserve">training gap</w:t>
            </w:r>
            <w:r>
              <w:t xml:space="preserve">”</w:t>
            </w:r>
            <w:r>
              <w:t xml:space="preserve"> </w:t>
            </w:r>
            <w:r>
              <w:t xml:space="preserve">so remediation goes to the right owner.</w:t>
            </w:r>
          </w:p>
        </w:tc>
      </w:tr>
      <w:tr>
        <w:tc>
          <w:tcPr/>
          <w:p>
            <w:pPr>
              <w:pStyle w:val="Compact"/>
              <w:jc w:val="left"/>
            </w:pPr>
            <w:r>
              <w:t xml:space="preserve">Recommended Open-Source Tool</w:t>
            </w:r>
          </w:p>
        </w:tc>
        <w:tc>
          <w:tcPr/>
          <w:p>
            <w:pPr>
              <w:pStyle w:val="Compact"/>
              <w:jc w:val="left"/>
            </w:pPr>
            <w:r>
              <w:t xml:space="preserve">Mantis BT (custom tag)</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FPO, EU, ITL</w:t>
            </w:r>
          </w:p>
        </w:tc>
        <w:tc>
          <w:tcPr/>
          <w:p>
            <w:pPr>
              <w:pStyle w:val="Compact"/>
              <w:jc w:val="left"/>
            </w:pPr>
            <w:r>
              <w:t xml:space="preserve">PM</w:t>
            </w:r>
          </w:p>
        </w:tc>
        <w:tc>
          <w:tcPr/>
          <w:p>
            <w:pPr>
              <w:pStyle w:val="Compact"/>
              <w:jc w:val="left"/>
            </w:pPr>
            <w:r>
              <w:t xml:space="preserve">CM</w:t>
            </w:r>
          </w:p>
        </w:tc>
        <w:tc>
          <w:tcPr/>
          <w:p>
            <w:pPr>
              <w:pStyle w:val="Compact"/>
              <w:jc w:val="left"/>
            </w:pPr>
            <w:r>
              <w:t xml:space="preserve">SUP</w:t>
            </w:r>
          </w:p>
        </w:tc>
        <w:tc>
          <w:tcPr/>
          <w:p>
            <w:pPr>
              <w:pStyle w:val="Compact"/>
              <w:jc w:val="left"/>
            </w:pPr>
            <w:r>
              <w:t xml:space="preserve">ES</w:t>
            </w:r>
          </w:p>
        </w:tc>
      </w:tr>
    </w:tbl>
    <w:p>
      <w:pPr>
        <w:pStyle w:val="BodyText"/>
      </w:pPr>
      <w:r>
        <w:rPr>
          <w:bCs/>
          <w:b/>
          <w:color w:val="3F827B"/>
          <w:sz w:val="24"/>
        </w:rPr>
        <w:t xml:space="preserve">Task 4 — [CHANGE] Cross-check Knowledge / Ability against Bridges (Divergence Pattern check)</w:t>
      </w:r>
    </w:p>
    <w:p>
      <w:pPr>
        <w:pStyle w:val="BodyText"/>
      </w:pPr>
      <w:r>
        <w:rPr>
          <w:bCs/>
          <w:b/>
        </w:rPr>
        <w:t xml:space="preserve">journi:</w:t>
      </w:r>
      <w:r>
        <w:t xml:space="preserve"> </w:t>
      </w:r>
      <w:r>
        <w:rPr>
          <w:iCs/>
          <w:i/>
        </w:rPr>
        <w:t xml:space="preserve">This is entered/updated in journi — M6.</w:t>
      </w:r>
    </w:p>
    <w:p>
      <w:pPr>
        <w:pStyle w:val="BodyText"/>
      </w:pPr>
      <w:r>
        <w:rPr>
          <w:bCs/>
          <w:b/>
          <w:color w:val="5A8F89"/>
          <w:sz w:val="22"/>
        </w:rPr>
        <w:t xml:space="preserve">Step 1 — Run the Divergence Pattern check</w:t>
      </w:r>
    </w:p>
    <w:p>
      <w:pPr>
        <w:pStyle w:val="BodyText"/>
      </w:pPr>
      <w:r>
        <w:t xml:space="preserve">UAT is the first point in the program with real Knowledge/Ability scores to check against Bridges, which is exactly why this is the earliest a genuine Divergence Pattern alert can fire.</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2882"/>
        <w:gridCol w:w="2720"/>
        <w:gridCol w:w="754"/>
        <w:gridCol w:w="862"/>
        <w:gridCol w:w="646"/>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Functional Process Owners; a representative sample of end users (UAT participants).</w:t>
            </w:r>
          </w:p>
        </w:tc>
        <w:tc>
          <w:tcPr/>
          <w:p>
            <w:pPr>
              <w:pStyle w:val="Compact"/>
              <w:jc w:val="left"/>
            </w:pPr>
            <w:r>
              <w:t xml:space="preserve">Test scripts and acceptance criteria; migrated data set; configured build; UAT participant roster.</w:t>
            </w:r>
          </w:p>
        </w:tc>
        <w:tc>
          <w:tcPr/>
          <w:p>
            <w:pPr>
              <w:pStyle w:val="Compact"/>
              <w:jc w:val="left"/>
            </w:pPr>
            <w:r>
              <w:t xml:space="preserve">Divergence Pattern review</w:t>
            </w:r>
          </w:p>
        </w:tc>
        <w:tc>
          <w:tcPr/>
          <w:p>
            <w:pPr>
              <w:pStyle w:val="Compact"/>
              <w:jc w:val="left"/>
            </w:pPr>
            <w:r>
              <w:t xml:space="preserve">Divergence Pattern alert list</w:t>
            </w:r>
          </w:p>
        </w:tc>
        <w:tc>
          <w:tcPr/>
          <w:p>
            <w:pPr>
              <w:pStyle w:val="Compact"/>
              <w:jc w:val="left"/>
            </w:pPr>
            <w:r>
              <w:t xml:space="preserve">Step 2 (Targeted 1:1)</w:t>
            </w:r>
          </w:p>
        </w:tc>
      </w:tr>
    </w:tbl>
    <w:p>
      <w:pPr>
        <w:pStyle w:val="BodyText"/>
      </w:pPr>
      <w:r>
        <w:rPr>
          <w:iCs/>
          <w:i/>
        </w:rPr>
        <w:t xml:space="preserve">Technique detail for this step.</w:t>
      </w:r>
    </w:p>
    <w:tbl>
      <w:tblPr>
        <w:tblStyle w:val="Table"/>
        <w:tblW w:type="pct" w:w="4935"/>
        <w:tblLook w:firstRow="1" w:lastRow="0" w:firstColumn="0" w:lastColumn="0" w:noHBand="0" w:noVBand="0" w:val="0020"/>
        <w:jc w:val="start"/>
      </w:tblPr>
      <w:tblGrid>
        <w:gridCol w:w="1594"/>
        <w:gridCol w:w="622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Divergence Pattern review</w:t>
            </w:r>
          </w:p>
        </w:tc>
      </w:tr>
      <w:tr>
        <w:tc>
          <w:tcPr/>
          <w:p>
            <w:pPr>
              <w:pStyle w:val="Compact"/>
              <w:jc w:val="left"/>
            </w:pPr>
            <w:r>
              <w:t xml:space="preserve">Technique Goal</w:t>
            </w:r>
          </w:p>
        </w:tc>
        <w:tc>
          <w:tcPr/>
          <w:p>
            <w:pPr>
              <w:pStyle w:val="Compact"/>
              <w:jc w:val="left"/>
            </w:pPr>
            <w:r>
              <w:t xml:space="preserve">Flag strong capability paired with a Bridges reading stuck at Ending.</w:t>
            </w:r>
          </w:p>
        </w:tc>
      </w:tr>
      <w:tr>
        <w:tc>
          <w:tcPr/>
          <w:p>
            <w:pPr>
              <w:pStyle w:val="Compact"/>
              <w:jc w:val="left"/>
            </w:pPr>
            <w:r>
              <w:t xml:space="preserve">Technique Details</w:t>
            </w:r>
          </w:p>
        </w:tc>
        <w:tc>
          <w:tcPr/>
          <w:p>
            <w:pPr>
              <w:pStyle w:val="Compact"/>
              <w:jc w:val="left"/>
            </w:pPr>
            <w:r>
              <w:t xml:space="preserve">Run the automated rule (Knowledge ≥ 3 and Ability ≥ 3 with Bridges = Ending) against UAT participants' latest scores.</w:t>
            </w:r>
          </w:p>
        </w:tc>
      </w:tr>
      <w:tr>
        <w:tc>
          <w:tcPr/>
          <w:p>
            <w:pPr>
              <w:pStyle w:val="Compact"/>
              <w:jc w:val="left"/>
            </w:pPr>
            <w:r>
              <w:t xml:space="preserve">Recommended Open-Source Tool</w:t>
            </w:r>
          </w:p>
        </w:tc>
        <w:tc>
          <w:tcPr/>
          <w:p>
            <w:pPr>
              <w:pStyle w:val="Compact"/>
              <w:jc w:val="left"/>
            </w:pPr>
            <w:r>
              <w:t xml:space="preserve">Metabase (rule-based alert)</w:t>
            </w:r>
          </w:p>
        </w:tc>
      </w:tr>
    </w:tbl>
    <w:p>
      <w:pPr>
        <w:pStyle w:val="BodyText"/>
      </w:pPr>
      <w:r>
        <w:rPr>
          <w:bCs/>
          <w:b/>
        </w:rPr>
        <w:t xml:space="preserve">journi:</w:t>
      </w:r>
      <w:r>
        <w:t xml:space="preserve"> </w:t>
      </w:r>
      <w:r>
        <w:rPr>
          <w:iCs/>
          <w:i/>
        </w:rPr>
        <w:t xml:space="preserve">This is entered/updated in journi — M6 — Emotional &amp; Transition Layer. (The Divergence Pattern Detector itself is not a separate sub-page of M6 — it is Notification Center alert ALT-001, computed live from M5 + M6 data.)</w:t>
      </w:r>
    </w:p>
    <w:p>
      <w:pPr>
        <w:pStyle w:val="BodyText"/>
      </w:pPr>
      <w:r>
        <w:rPr>
          <w:bCs/>
          <w:b/>
          <w:color w:val="5A8F89"/>
          <w:sz w:val="22"/>
        </w:rPr>
        <w:t xml:space="preserve">Step 2 — Hold a targeted 1:1</w:t>
      </w:r>
    </w:p>
    <w:p>
      <w:pPr>
        <w:pStyle w:val="BodyText"/>
      </w:pPr>
      <w:r>
        <w:t xml:space="preserve">The instinct when someone scores well but still seems unhappy is to assume they just need more practice; this conversation exists to test that instinct before acting on it.</w:t>
      </w:r>
    </w:p>
    <w:p>
      <w:pPr>
        <w:pStyle w:val="BodyText"/>
      </w:pPr>
      <w:r>
        <w:rPr>
          <w:iCs/>
          <w:i/>
        </w:rPr>
        <w:t xml:space="preserve">SIPOC for this step.</w:t>
      </w:r>
    </w:p>
    <w:tbl>
      <w:tblPr>
        <w:tblStyle w:val="Table"/>
        <w:tblW w:type="pct" w:w="4950"/>
        <w:tblLook w:firstRow="1" w:lastRow="0" w:firstColumn="0" w:lastColumn="0" w:noHBand="0" w:noVBand="0" w:val="0020"/>
        <w:jc w:val="start"/>
      </w:tblPr>
      <w:tblGrid>
        <w:gridCol w:w="1851"/>
        <w:gridCol w:w="1260"/>
        <w:gridCol w:w="591"/>
        <w:gridCol w:w="1615"/>
        <w:gridCol w:w="252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(Divergence Pattern review)</w:t>
            </w:r>
          </w:p>
        </w:tc>
        <w:tc>
          <w:tcPr/>
          <w:p>
            <w:pPr>
              <w:pStyle w:val="Compact"/>
              <w:jc w:val="left"/>
            </w:pPr>
            <w:r>
              <w:t xml:space="preserve">Divergence Pattern alert list</w:t>
            </w:r>
          </w:p>
        </w:tc>
        <w:tc>
          <w:tcPr/>
          <w:p>
            <w:pPr>
              <w:pStyle w:val="Compact"/>
              <w:jc w:val="left"/>
            </w:pPr>
            <w:r>
              <w:t xml:space="preserve">Targeted 1:1</w:t>
            </w:r>
          </w:p>
        </w:tc>
        <w:tc>
          <w:tcPr/>
          <w:p>
            <w:pPr>
              <w:pStyle w:val="Compact"/>
              <w:jc w:val="left"/>
            </w:pPr>
            <w:r>
              <w:t xml:space="preserve">Confirmed or dismissed divergence case</w:t>
            </w:r>
          </w:p>
        </w:tc>
        <w:tc>
          <w:tcPr/>
          <w:p>
            <w:pPr>
              <w:pStyle w:val="Compact"/>
              <w:jc w:val="left"/>
            </w:pPr>
            <w:r>
              <w:t xml:space="preserve">Training team (next phase); cutover team; Steering Committee.</w:t>
            </w:r>
          </w:p>
        </w:tc>
      </w:tr>
    </w:tbl>
    <w:p>
      <w:pPr>
        <w:pStyle w:val="BodyText"/>
      </w:pPr>
      <w:r>
        <w:rPr>
          <w:iCs/>
          <w:i/>
        </w:rPr>
        <w:t xml:space="preserve">Technique detail for this step.</w:t>
      </w:r>
    </w:p>
    <w:tbl>
      <w:tblPr>
        <w:tblStyle w:val="Table"/>
        <w:tblW w:type="pct" w:w="4937"/>
        <w:tblLook w:firstRow="1" w:lastRow="0" w:firstColumn="0" w:lastColumn="0" w:noHBand="0" w:noVBand="0" w:val="0020"/>
        <w:jc w:val="start"/>
      </w:tblPr>
      <w:tblGrid>
        <w:gridCol w:w="1544"/>
        <w:gridCol w:w="627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Targeted 1:1</w:t>
            </w:r>
          </w:p>
        </w:tc>
      </w:tr>
      <w:tr>
        <w:tc>
          <w:tcPr/>
          <w:p>
            <w:pPr>
              <w:pStyle w:val="Compact"/>
              <w:jc w:val="left"/>
            </w:pPr>
            <w:r>
              <w:t xml:space="preserve">Technique Goal</w:t>
            </w:r>
          </w:p>
        </w:tc>
        <w:tc>
          <w:tcPr/>
          <w:p>
            <w:pPr>
              <w:pStyle w:val="Compact"/>
              <w:jc w:val="left"/>
            </w:pPr>
            <w:r>
              <w:t xml:space="preserve">Confirm whether the divergence is a genuine identity or loss concern.</w:t>
            </w:r>
          </w:p>
        </w:tc>
      </w:tr>
      <w:tr>
        <w:tc>
          <w:tcPr/>
          <w:p>
            <w:pPr>
              <w:pStyle w:val="Compact"/>
              <w:jc w:val="left"/>
            </w:pPr>
            <w:r>
              <w:t xml:space="preserve">Technique Details</w:t>
            </w:r>
          </w:p>
        </w:tc>
        <w:tc>
          <w:tcPr/>
          <w:p>
            <w:pPr>
              <w:pStyle w:val="Compact"/>
              <w:jc w:val="left"/>
            </w:pPr>
            <w:r>
              <w:t xml:space="preserve">A supervisor-led 1:1 with each flagged individual, focused on what is being let go of rather than on remaining skills gaps.</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PM</w:t>
            </w:r>
          </w:p>
        </w:tc>
        <w:tc>
          <w:tcPr/>
          <w:p>
            <w:pPr>
              <w:pStyle w:val="Compact"/>
              <w:jc w:val="left"/>
            </w:pPr>
            <w:r>
              <w:t xml:space="preserve">ES, ITL, EU</w:t>
            </w:r>
          </w:p>
        </w:tc>
      </w:tr>
    </w:tbl>
    <w:p>
      <w:pPr>
        <w:pStyle w:val="BodyText"/>
      </w:pPr>
      <w:r>
        <w:rPr>
          <w:bCs/>
          <w:b/>
          <w:color w:val="3F827B"/>
          <w:sz w:val="24"/>
        </w:rPr>
        <w:t xml:space="preserve">Task 5 — [PROJECT] Triage and remediate defects before sign-off</w:t>
      </w:r>
    </w:p>
    <w:p>
      <w:pPr>
        <w:pStyle w:val="BodyText"/>
      </w:pPr>
      <w:r>
        <w:rPr>
          <w:bCs/>
          <w:b/>
          <w:color w:val="5A8F89"/>
          <w:sz w:val="22"/>
        </w:rPr>
        <w:t xml:space="preserve">Step 1 — Run the defect remediation sprint</w:t>
      </w:r>
    </w:p>
    <w:p>
      <w:pPr>
        <w:pStyle w:val="BodyText"/>
      </w:pPr>
      <w:r>
        <w:t xml:space="preserve">Formally accepting a minor defect, in writing, is different from ignoring it — it means the FPO has seen the risk and chosen to proceed anyway, which protects everyone later.</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2806"/>
        <w:gridCol w:w="2648"/>
        <w:gridCol w:w="734"/>
        <w:gridCol w:w="839"/>
        <w:gridCol w:w="83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Functional Process Owners; a representative sample of end users (UAT participants).</w:t>
            </w:r>
          </w:p>
        </w:tc>
        <w:tc>
          <w:tcPr/>
          <w:p>
            <w:pPr>
              <w:pStyle w:val="Compact"/>
              <w:jc w:val="left"/>
            </w:pPr>
            <w:r>
              <w:t xml:space="preserve">Test scripts and acceptance criteria; migrated data set; configured build; UAT participant roster.</w:t>
            </w:r>
          </w:p>
        </w:tc>
        <w:tc>
          <w:tcPr/>
          <w:p>
            <w:pPr>
              <w:pStyle w:val="Compact"/>
              <w:jc w:val="left"/>
            </w:pPr>
            <w:r>
              <w:t xml:space="preserve">Defect remediation sprint</w:t>
            </w:r>
          </w:p>
        </w:tc>
        <w:tc>
          <w:tcPr/>
          <w:p>
            <w:pPr>
              <w:pStyle w:val="Compact"/>
              <w:jc w:val="left"/>
            </w:pPr>
            <w:r>
              <w:t xml:space="preserve">Closed or accepted defect log</w:t>
            </w:r>
          </w:p>
        </w:tc>
        <w:tc>
          <w:tcPr/>
          <w:p>
            <w:pPr>
              <w:pStyle w:val="Compact"/>
              <w:jc w:val="left"/>
            </w:pPr>
            <w:r>
              <w:t xml:space="preserve">Step 2 (Sign-off checklist)</w:t>
            </w:r>
          </w:p>
        </w:tc>
      </w:tr>
    </w:tbl>
    <w:p>
      <w:pPr>
        <w:pStyle w:val="BodyText"/>
      </w:pPr>
      <w:r>
        <w:rPr>
          <w:iCs/>
          <w:i/>
        </w:rPr>
        <w:t xml:space="preserve">Technique detail for this step.</w:t>
      </w:r>
    </w:p>
    <w:tbl>
      <w:tblPr>
        <w:tblStyle w:val="Table"/>
        <w:tblW w:type="pct" w:w="4932"/>
        <w:tblLook w:firstRow="1" w:lastRow="0" w:firstColumn="0" w:lastColumn="0" w:noHBand="0" w:noVBand="0" w:val="0020"/>
        <w:jc w:val="start"/>
      </w:tblPr>
      <w:tblGrid>
        <w:gridCol w:w="1658"/>
        <w:gridCol w:w="615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Defect remediation sprint</w:t>
            </w:r>
          </w:p>
        </w:tc>
      </w:tr>
      <w:tr>
        <w:tc>
          <w:tcPr/>
          <w:p>
            <w:pPr>
              <w:pStyle w:val="Compact"/>
              <w:jc w:val="left"/>
            </w:pPr>
            <w:r>
              <w:t xml:space="preserve">Technique Goal</w:t>
            </w:r>
          </w:p>
        </w:tc>
        <w:tc>
          <w:tcPr/>
          <w:p>
            <w:pPr>
              <w:pStyle w:val="Compact"/>
              <w:jc w:val="left"/>
            </w:pPr>
            <w:r>
              <w:t xml:space="preserve">Close or formally accept every logged defect.</w:t>
            </w:r>
          </w:p>
        </w:tc>
      </w:tr>
      <w:tr>
        <w:tc>
          <w:tcPr/>
          <w:p>
            <w:pPr>
              <w:pStyle w:val="Compact"/>
              <w:jc w:val="left"/>
            </w:pPr>
            <w:r>
              <w:t xml:space="preserve">Technique Details</w:t>
            </w:r>
          </w:p>
        </w:tc>
        <w:tc>
          <w:tcPr/>
          <w:p>
            <w:pPr>
              <w:pStyle w:val="Compact"/>
              <w:jc w:val="left"/>
            </w:pPr>
            <w:r>
              <w:t xml:space="preserve">A focused 1-week sprint to close blocker and major defects; formally accept any minor defects with FPO sign-off.</w:t>
            </w:r>
          </w:p>
        </w:tc>
      </w:tr>
      <w:tr>
        <w:tc>
          <w:tcPr/>
          <w:p>
            <w:pPr>
              <w:pStyle w:val="Compact"/>
              <w:jc w:val="left"/>
            </w:pPr>
            <w:r>
              <w:t xml:space="preserve">Recommended Open-Source Tool</w:t>
            </w:r>
          </w:p>
        </w:tc>
        <w:tc>
          <w:tcPr/>
          <w:p>
            <w:pPr>
              <w:pStyle w:val="Compact"/>
              <w:jc w:val="left"/>
            </w:pPr>
            <w:r>
              <w:t xml:space="preserve">Mantis BT</w:t>
            </w:r>
          </w:p>
        </w:tc>
      </w:tr>
    </w:tbl>
    <w:p>
      <w:pPr>
        <w:pStyle w:val="BodyText"/>
      </w:pPr>
      <w:r>
        <w:rPr>
          <w:bCs/>
          <w:b/>
          <w:color w:val="5A8F89"/>
          <w:sz w:val="22"/>
        </w:rPr>
        <w:t xml:space="preserve">Step 2 — Obtain the sign-off</w:t>
      </w:r>
    </w:p>
    <w:p>
      <w:pPr>
        <w:pStyle w:val="BodyText"/>
      </w:pPr>
      <w:r>
        <w:t xml:space="preserve">This one-page checklist is the formal gate between Testing and Training — nothing in Phase 5 should start before it is signed.</w:t>
      </w:r>
    </w:p>
    <w:p>
      <w:pPr>
        <w:pStyle w:val="BodyText"/>
      </w:pPr>
      <w:r>
        <w:rPr>
          <w:iCs/>
          <w:i/>
        </w:rPr>
        <w:t xml:space="preserve">SIPOC for this step.</w:t>
      </w:r>
    </w:p>
    <w:tbl>
      <w:tblPr>
        <w:tblStyle w:val="Table"/>
        <w:tblW w:type="pct" w:w="4950"/>
        <w:tblLook w:firstRow="1" w:lastRow="0" w:firstColumn="0" w:lastColumn="0" w:noHBand="0" w:noVBand="0" w:val="0020"/>
        <w:jc w:val="start"/>
      </w:tblPr>
      <w:tblGrid>
        <w:gridCol w:w="1842"/>
        <w:gridCol w:w="1254"/>
        <w:gridCol w:w="823"/>
        <w:gridCol w:w="1411"/>
        <w:gridCol w:w="250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(Defect remediation sprint)</w:t>
            </w:r>
          </w:p>
        </w:tc>
        <w:tc>
          <w:tcPr/>
          <w:p>
            <w:pPr>
              <w:pStyle w:val="Compact"/>
              <w:jc w:val="left"/>
            </w:pPr>
            <w:r>
              <w:t xml:space="preserve">Closed or accepted defect log</w:t>
            </w:r>
          </w:p>
        </w:tc>
        <w:tc>
          <w:tcPr/>
          <w:p>
            <w:pPr>
              <w:pStyle w:val="Compact"/>
              <w:jc w:val="left"/>
            </w:pPr>
            <w:r>
              <w:t xml:space="preserve">Sign-off checklist</w:t>
            </w:r>
          </w:p>
        </w:tc>
        <w:tc>
          <w:tcPr/>
          <w:p>
            <w:pPr>
              <w:pStyle w:val="Compact"/>
              <w:jc w:val="left"/>
            </w:pPr>
            <w:r>
              <w:t xml:space="preserve">Signed SIT/UAT sign-off checklist</w:t>
            </w:r>
          </w:p>
        </w:tc>
        <w:tc>
          <w:tcPr/>
          <w:p>
            <w:pPr>
              <w:pStyle w:val="Compact"/>
              <w:jc w:val="left"/>
            </w:pPr>
            <w:r>
              <w:t xml:space="preserve">Training team (next phase); cutover team; Steering Committee.</w:t>
            </w:r>
          </w:p>
        </w:tc>
      </w:tr>
    </w:tbl>
    <w:p>
      <w:pPr>
        <w:pStyle w:val="BodyText"/>
      </w:pPr>
      <w:r>
        <w:rPr>
          <w:iCs/>
          <w:i/>
        </w:rPr>
        <w:t xml:space="preserve">Technique detail for this step.</w:t>
      </w:r>
    </w:p>
    <w:tbl>
      <w:tblPr>
        <w:tblStyle w:val="Table"/>
        <w:tblW w:type="pct" w:w="4933"/>
        <w:tblLook w:firstRow="1" w:lastRow="0" w:firstColumn="0" w:lastColumn="0" w:noHBand="0" w:noVBand="0" w:val="0020"/>
        <w:jc w:val="start"/>
      </w:tblPr>
      <w:tblGrid>
        <w:gridCol w:w="1647"/>
        <w:gridCol w:w="616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Sign-off checklist</w:t>
            </w:r>
          </w:p>
        </w:tc>
      </w:tr>
      <w:tr>
        <w:tc>
          <w:tcPr/>
          <w:p>
            <w:pPr>
              <w:pStyle w:val="Compact"/>
              <w:jc w:val="left"/>
            </w:pPr>
            <w:r>
              <w:t xml:space="preserve">Technique Goal</w:t>
            </w:r>
          </w:p>
        </w:tc>
        <w:tc>
          <w:tcPr/>
          <w:p>
            <w:pPr>
              <w:pStyle w:val="Compact"/>
              <w:jc w:val="left"/>
            </w:pPr>
            <w:r>
              <w:t xml:space="preserve">Gain formal FPO / Sponsor agreement to proceed.</w:t>
            </w:r>
          </w:p>
        </w:tc>
      </w:tr>
      <w:tr>
        <w:tc>
          <w:tcPr/>
          <w:p>
            <w:pPr>
              <w:pStyle w:val="Compact"/>
              <w:jc w:val="left"/>
            </w:pPr>
            <w:r>
              <w:t xml:space="preserve">Technique Details</w:t>
            </w:r>
          </w:p>
        </w:tc>
        <w:tc>
          <w:tcPr/>
          <w:p>
            <w:pPr>
              <w:pStyle w:val="Compact"/>
              <w:jc w:val="left"/>
            </w:pPr>
            <w:r>
              <w:t xml:space="preserve">A one-page checklist confirming test coverage, defect status and outstanding risk, signed by the FPO and Sponsor.</w:t>
            </w:r>
          </w:p>
        </w:tc>
      </w:tr>
      <w:tr>
        <w:tc>
          <w:tcPr/>
          <w:p>
            <w:pPr>
              <w:pStyle w:val="Compact"/>
              <w:jc w:val="left"/>
            </w:pPr>
            <w:r>
              <w:t xml:space="preserve">Recommended Open-Source Tool</w:t>
            </w:r>
          </w:p>
        </w:tc>
        <w:tc>
          <w:tcPr/>
          <w:p>
            <w:pPr>
              <w:pStyle w:val="Compact"/>
              <w:jc w:val="left"/>
            </w:pPr>
            <w:r>
              <w:t xml:space="preserve">OpenProject</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PM</w:t>
            </w:r>
          </w:p>
        </w:tc>
        <w:tc>
          <w:tcPr/>
          <w:p>
            <w:pPr>
              <w:pStyle w:val="Compact"/>
              <w:jc w:val="left"/>
            </w:pPr>
            <w:r>
              <w:t xml:space="preserve">FPO</w:t>
            </w:r>
          </w:p>
        </w:tc>
        <w:tc>
          <w:tcPr/>
          <w:p>
            <w:pPr>
              <w:pStyle w:val="Compact"/>
              <w:jc w:val="left"/>
            </w:pPr>
            <w:r>
              <w:t xml:space="preserve">CM</w:t>
            </w:r>
          </w:p>
        </w:tc>
        <w:tc>
          <w:tcPr/>
          <w:p>
            <w:pPr>
              <w:pStyle w:val="Compact"/>
              <w:jc w:val="left"/>
            </w:pPr>
            <w:r>
              <w:t xml:space="preserve">ES, SUP, EU</w:t>
            </w:r>
          </w:p>
        </w:tc>
      </w:tr>
    </w:tbl>
    <w:p>
      <w:pPr>
        <w:pStyle w:val="BodyText"/>
      </w:pPr>
      <w:r>
        <w:rPr>
          <w:bCs/>
          <w:b/>
          <w:color w:val="275650"/>
          <w:sz w:val="27"/>
        </w:rPr>
        <w:t xml:space="preserve">6.5 Phase 5 — Training &amp; Change Readiness (Weeks 25–36)</w:t>
      </w:r>
    </w:p>
    <w:p>
      <w:pPr>
        <w:pStyle w:val="BodyText"/>
      </w:pPr>
      <w:r>
        <w:t xml:space="preserve">Knowledge becomes Ability under increasingly realistic conditions, while Bridges settles into the Neutral Zone.</w:t>
      </w:r>
    </w:p>
    <w:p>
      <w:pPr>
        <w:pStyle w:val="BodyText"/>
      </w:pPr>
      <w:r>
        <w:rPr>
          <w:bCs/>
          <w:b/>
        </w:rPr>
        <w:t xml:space="preserve">Timeline</w:t>
      </w:r>
    </w:p>
    <w:tbl>
      <w:tblPr>
        <w:tblStyle w:val="Table"/>
        <w:tblW w:type="pct" w:w="4923"/>
        <w:tblLook w:firstRow="1" w:lastRow="0" w:firstColumn="0" w:lastColumn="0" w:noHBand="0" w:noVBand="0" w:val="0020"/>
        <w:jc w:val="start"/>
      </w:tblPr>
      <w:tblGrid>
        <w:gridCol w:w="670"/>
        <w:gridCol w:w="4630"/>
        <w:gridCol w:w="1218"/>
        <w:gridCol w:w="1279"/>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Owner(s)</w:t>
            </w:r>
          </w:p>
        </w:tc>
      </w:tr>
      <w:tr>
        <w:tc>
          <w:tcPr/>
          <w:p>
            <w:pPr>
              <w:pStyle w:val="Compact"/>
              <w:jc w:val="left"/>
            </w:pPr>
            <w:r>
              <w:t xml:space="preserve">W25–W27</w:t>
            </w:r>
          </w:p>
        </w:tc>
        <w:tc>
          <w:tcPr/>
          <w:p>
            <w:pPr>
              <w:pStyle w:val="Compact"/>
              <w:jc w:val="left"/>
            </w:pPr>
            <w:r>
              <w:t xml:space="preserve">Finalize the training curriculum and job aids.</w:t>
            </w:r>
          </w:p>
        </w:tc>
        <w:tc>
          <w:tcPr/>
          <w:p>
            <w:pPr>
              <w:pStyle w:val="Compact"/>
              <w:jc w:val="left"/>
            </w:pPr>
            <w:r>
              <w:t xml:space="preserve">—</w:t>
            </w:r>
          </w:p>
        </w:tc>
        <w:tc>
          <w:tcPr/>
          <w:p>
            <w:pPr>
              <w:pStyle w:val="Compact"/>
              <w:jc w:val="left"/>
            </w:pPr>
            <w:r>
              <w:t xml:space="preserve">CM (training lead)</w:t>
            </w:r>
          </w:p>
        </w:tc>
      </w:tr>
      <w:tr>
        <w:tc>
          <w:tcPr/>
          <w:p>
            <w:pPr>
              <w:pStyle w:val="Compact"/>
              <w:jc w:val="left"/>
            </w:pPr>
            <w:r>
              <w:t xml:space="preserve">W28–W30</w:t>
            </w:r>
          </w:p>
        </w:tc>
        <w:tc>
          <w:tcPr/>
          <w:p>
            <w:pPr>
              <w:pStyle w:val="Compact"/>
              <w:jc w:val="left"/>
            </w:pPr>
            <w:r>
              <w:t xml:space="preserve">Deliver role-based training, wave 1.</w:t>
            </w:r>
          </w:p>
        </w:tc>
        <w:tc>
          <w:tcPr/>
          <w:p>
            <w:pPr>
              <w:pStyle w:val="Compact"/>
              <w:jc w:val="left"/>
            </w:pPr>
            <w:r>
              <w:t xml:space="preserve">—</w:t>
            </w:r>
          </w:p>
        </w:tc>
        <w:tc>
          <w:tcPr/>
          <w:p>
            <w:pPr>
              <w:pStyle w:val="Compact"/>
              <w:jc w:val="left"/>
            </w:pPr>
            <w:r>
              <w:t xml:space="preserve">SUP, EU</w:t>
            </w:r>
          </w:p>
        </w:tc>
      </w:tr>
      <w:tr>
        <w:tc>
          <w:tcPr/>
          <w:p>
            <w:pPr>
              <w:pStyle w:val="Compact"/>
              <w:jc w:val="left"/>
            </w:pPr>
            <w:r>
              <w:t xml:space="preserve">W31–W32</w:t>
            </w:r>
          </w:p>
        </w:tc>
        <w:tc>
          <w:tcPr/>
          <w:p>
            <w:pPr>
              <w:pStyle w:val="Compact"/>
              <w:jc w:val="left"/>
            </w:pPr>
            <w:r>
              <w:t xml:space="preserve">Deploy the sandbox practice environment; deliver training wave 2.</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W33–W34</w:t>
            </w:r>
          </w:p>
        </w:tc>
        <w:tc>
          <w:tcPr/>
          <w:p>
            <w:pPr>
              <w:pStyle w:val="Compact"/>
              <w:jc w:val="left"/>
            </w:pPr>
            <w:r>
              <w:t xml:space="preserve">Run readiness assessments per cohort (Knowledge / Ability scoring).</w:t>
            </w:r>
          </w:p>
        </w:tc>
        <w:tc>
          <w:tcPr/>
          <w:p>
            <w:pPr>
              <w:pStyle w:val="Compact"/>
              <w:jc w:val="left"/>
            </w:pPr>
            <w:r>
              <w:t xml:space="preserve">M5 CM</w:t>
            </w:r>
          </w:p>
        </w:tc>
        <w:tc>
          <w:tcPr/>
          <w:p>
            <w:pPr>
              <w:pStyle w:val="Compact"/>
            </w:pPr>
          </w:p>
        </w:tc>
      </w:tr>
      <w:tr>
        <w:tc>
          <w:tcPr/>
          <w:p>
            <w:pPr>
              <w:pStyle w:val="Compact"/>
              <w:jc w:val="left"/>
            </w:pPr>
            <w:r>
              <w:t xml:space="preserve">W35</w:t>
            </w:r>
          </w:p>
        </w:tc>
        <w:tc>
          <w:tcPr/>
          <w:p>
            <w:pPr>
              <w:pStyle w:val="Compact"/>
              <w:jc w:val="left"/>
            </w:pPr>
            <w:r>
              <w:t xml:space="preserve">Brief supervisors on real-time floor-coaching expectations for go-live.</w:t>
            </w:r>
          </w:p>
        </w:tc>
        <w:tc>
          <w:tcPr/>
          <w:p>
            <w:pPr>
              <w:pStyle w:val="Compact"/>
              <w:jc w:val="left"/>
            </w:pPr>
            <w:r>
              <w:t xml:space="preserve">—</w:t>
            </w:r>
          </w:p>
        </w:tc>
        <w:tc>
          <w:tcPr/>
          <w:p>
            <w:pPr>
              <w:pStyle w:val="Compact"/>
              <w:jc w:val="left"/>
            </w:pPr>
            <w:r>
              <w:t xml:space="preserve">CM, SUP</w:t>
            </w:r>
          </w:p>
        </w:tc>
      </w:tr>
      <w:tr>
        <w:tc>
          <w:tcPr/>
          <w:p>
            <w:pPr>
              <w:pStyle w:val="Compact"/>
              <w:jc w:val="left"/>
            </w:pPr>
            <w:r>
              <w:t xml:space="preserve">W36</w:t>
            </w:r>
          </w:p>
        </w:tc>
        <w:tc>
          <w:tcPr/>
          <w:p>
            <w:pPr>
              <w:pStyle w:val="Compact"/>
              <w:jc w:val="left"/>
            </w:pPr>
            <w:r>
              <w:t xml:space="preserve">Confirm cohort-level go / no-go readiness against the benchmarking bands.</w:t>
            </w:r>
          </w:p>
        </w:tc>
        <w:tc>
          <w:tcPr/>
          <w:p>
            <w:pPr>
              <w:pStyle w:val="Compact"/>
              <w:jc w:val="left"/>
            </w:pPr>
            <w:r>
              <w:t xml:space="preserve">M14 ES, CM</w:t>
            </w:r>
          </w:p>
        </w:tc>
        <w:tc>
          <w:tcPr/>
          <w:p>
            <w:pPr>
              <w:pStyle w:val="Compact"/>
              <w:jc w:val="left"/>
            </w:pPr>
            <w:r>
              <w:t xml:space="preserve">, PM</w:t>
            </w:r>
          </w:p>
        </w:tc>
      </w:tr>
    </w:tbl>
    <w:p>
      <w:pPr>
        <w:pStyle w:val="BodyText"/>
      </w:pPr>
      <w:r>
        <w:rPr>
          <w:iCs/>
          <w:i/>
        </w:rPr>
        <w:t xml:space="preserve">Week-by-week timeline for Phase 5 — Training &amp; Change Readiness.</w:t>
      </w:r>
    </w:p>
    <w:p>
      <w:pPr>
        <w:pStyle w:val="BodyText"/>
      </w:pPr>
      <w:r>
        <w:rPr>
          <w:bCs/>
          <w:b/>
        </w:rPr>
        <w:t xml:space="preserve">SIPOC</w:t>
      </w:r>
    </w:p>
    <w:tbl>
      <w:tblPr>
        <w:tblStyle w:val="Table"/>
        <w:tblW w:type="pct" w:w="4970"/>
        <w:tblLook w:firstRow="1" w:lastRow="0" w:firstColumn="0" w:lastColumn="0" w:noHBand="0" w:noVBand="0" w:val="0020"/>
        <w:jc w:val="start"/>
      </w:tblPr>
      <w:tblGrid>
        <w:gridCol w:w="1402"/>
        <w:gridCol w:w="2023"/>
        <w:gridCol w:w="1227"/>
        <w:gridCol w:w="2151"/>
        <w:gridCol w:w="106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Training Lead; Functional Process Owners (content validation); Frontline Supervisors.</w:t>
            </w:r>
          </w:p>
        </w:tc>
        <w:tc>
          <w:tcPr/>
          <w:p>
            <w:pPr>
              <w:pStyle w:val="Compact"/>
              <w:jc w:val="left"/>
            </w:pPr>
            <w:r>
              <w:t xml:space="preserve">Approved training curriculum; job aids and quick-reference guides; train-the-trainer materials; go-live readiness checklist.</w:t>
            </w:r>
          </w:p>
        </w:tc>
        <w:tc>
          <w:tcPr/>
          <w:p>
            <w:pPr>
              <w:jc w:val="left"/>
            </w:pPr>
            <w:r>
              <w:t xml:space="preserve">1. Deliver role-based training to all impacted cohorts</w:t>
            </w:r>
          </w:p>
          <w:p>
            <w:pPr>
              <w:jc w:val="left"/>
            </w:pPr>
            <w:r>
              <w:t xml:space="preserve">2. Deploy job aids and a sandbox practice environment</w:t>
            </w:r>
          </w:p>
          <w:p>
            <w:pPr>
              <w:jc w:val="left"/>
            </w:pPr>
            <w:r>
              <w:t xml:space="preserve">3. Run readiness assessments per cohort (Knowledge / Ability scoring)</w:t>
            </w:r>
          </w:p>
          <w:p>
            <w:pPr>
              <w:jc w:val="left"/>
            </w:pPr>
            <w:r>
              <w:t xml:space="preserve">4. Brief supervisors on real-time floor-coaching expectations for go-live</w:t>
            </w:r>
          </w:p>
          <w:p>
            <w:pPr>
              <w:jc w:val="left"/>
            </w:pPr>
            <w:r>
              <w:t xml:space="preserve">5. Confirm go/no-go readiness by cohort against benchmarking bands</w:t>
            </w:r>
          </w:p>
        </w:tc>
        <w:tc>
          <w:tcPr/>
          <w:p>
            <w:pPr>
              <w:pStyle w:val="Compact"/>
              <w:jc w:val="left"/>
            </w:pPr>
            <w:r>
              <w:t xml:space="preserve">Trained cohorts with logged Ability scores; job aids in circulation; cohort-level go/no-go readiness call; supervisor coaching plan.</w:t>
            </w:r>
          </w:p>
        </w:tc>
        <w:tc>
          <w:tcPr/>
          <w:p>
            <w:pPr>
              <w:pStyle w:val="Compact"/>
              <w:jc w:val="left"/>
            </w:pPr>
            <w:r>
              <w:t xml:space="preserve">Cutover team; Steering Committee (go/no-go decision); end users.</w:t>
            </w:r>
          </w:p>
        </w:tc>
      </w:tr>
    </w:tbl>
    <w:p>
      <w:pPr>
        <w:pStyle w:val="BodyText"/>
      </w:pPr>
      <w:r>
        <w:rPr>
          <w:iCs/>
          <w:i/>
        </w:rPr>
        <w:t xml:space="preserve">SIPOC for Phase 5 — Training &amp; Change Readiness. The Process column lists this phase's five Tasks in sequence.</w:t>
      </w:r>
    </w:p>
    <w:p>
      <w:pPr>
        <w:pStyle w:val="BodyText"/>
      </w:pPr>
      <w:r>
        <w:rPr>
          <w:bCs/>
          <w:b/>
        </w:rPr>
        <w:t xml:space="preserve">Tasks, Steps, Techniques &amp; RACSI</w:t>
      </w:r>
    </w:p>
    <w:p>
      <w:pPr>
        <w:pStyle w:val="BodyText"/>
      </w:pPr>
      <w:r>
        <w:rPr>
          <w:bCs/>
          <w:b/>
          <w:color w:val="3F827B"/>
          <w:sz w:val="24"/>
        </w:rPr>
        <w:t xml:space="preserve">Task 1 — [JOINT] Deliver role-based training to all impacted cohorts</w:t>
      </w:r>
    </w:p>
    <w:p>
      <w:pPr>
        <w:pStyle w:val="BodyText"/>
      </w:pPr>
      <w:r>
        <w:rPr>
          <w:bCs/>
          <w:b/>
        </w:rPr>
        <w:t xml:space="preserve">journi:</w:t>
      </w:r>
      <w:r>
        <w:t xml:space="preserve"> </w:t>
      </w:r>
      <w:r>
        <w:rPr>
          <w:iCs/>
          <w:i/>
        </w:rPr>
        <w:t xml:space="preserve">This is entered/updated in journi — M5.</w:t>
      </w:r>
    </w:p>
    <w:p>
      <w:pPr>
        <w:pStyle w:val="BodyText"/>
      </w:pPr>
      <w:r>
        <w:rPr>
          <w:bCs/>
          <w:b/>
          <w:color w:val="5A8F89"/>
          <w:sz w:val="22"/>
        </w:rPr>
        <w:t xml:space="preserve">Step 1 — Build the e-learning modules</w:t>
      </w:r>
    </w:p>
    <w:p>
      <w:pPr>
        <w:pStyle w:val="BodyText"/>
      </w:pPr>
      <w:r>
        <w:t xml:space="preserve">Splitting the why-and-what into a short e-learning module, ahead of any live session, means the instructor-led time can be spent on practice instead of lecture.</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2205"/>
        <w:gridCol w:w="3183"/>
        <w:gridCol w:w="827"/>
        <w:gridCol w:w="802"/>
        <w:gridCol w:w="85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Training Lead; Functional Process Owners (content validation); Frontline Supervisors.</w:t>
            </w:r>
          </w:p>
        </w:tc>
        <w:tc>
          <w:tcPr/>
          <w:p>
            <w:pPr>
              <w:pStyle w:val="Compact"/>
              <w:jc w:val="left"/>
            </w:pPr>
            <w:r>
              <w:t xml:space="preserve">Approved training curriculum; job aids and quick-reference guides; train-the-trainer materials; go-live readiness checklist.</w:t>
            </w:r>
          </w:p>
        </w:tc>
        <w:tc>
          <w:tcPr/>
          <w:p>
            <w:pPr>
              <w:pStyle w:val="Compact"/>
              <w:jc w:val="left"/>
            </w:pPr>
            <w:r>
              <w:t xml:space="preserve">Blended-learning course design</w:t>
            </w:r>
          </w:p>
        </w:tc>
        <w:tc>
          <w:tcPr/>
          <w:p>
            <w:pPr>
              <w:pStyle w:val="Compact"/>
              <w:jc w:val="left"/>
            </w:pPr>
            <w:r>
              <w:t xml:space="preserve">Role-based e-learning modules</w:t>
            </w:r>
          </w:p>
        </w:tc>
        <w:tc>
          <w:tcPr/>
          <w:p>
            <w:pPr>
              <w:pStyle w:val="Compact"/>
              <w:jc w:val="left"/>
            </w:pPr>
            <w:r>
              <w:t xml:space="preserve">Step 2 (Instructor-led session)</w:t>
            </w:r>
          </w:p>
        </w:tc>
      </w:tr>
    </w:tbl>
    <w:p>
      <w:pPr>
        <w:pStyle w:val="BodyText"/>
      </w:pPr>
      <w:r>
        <w:rPr>
          <w:iCs/>
          <w:i/>
        </w:rPr>
        <w:t xml:space="preserve">Technique detail for this step.</w:t>
      </w:r>
    </w:p>
    <w:tbl>
      <w:tblPr>
        <w:tblStyle w:val="Table"/>
        <w:tblW w:type="pct" w:w="4933"/>
        <w:tblLook w:firstRow="1" w:lastRow="0" w:firstColumn="0" w:lastColumn="0" w:noHBand="0" w:noVBand="0" w:val="0020"/>
        <w:jc w:val="start"/>
      </w:tblPr>
      <w:tblGrid>
        <w:gridCol w:w="1636"/>
        <w:gridCol w:w="617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Blended-learning course design</w:t>
            </w:r>
          </w:p>
        </w:tc>
      </w:tr>
      <w:tr>
        <w:tc>
          <w:tcPr/>
          <w:p>
            <w:pPr>
              <w:pStyle w:val="Compact"/>
              <w:jc w:val="left"/>
            </w:pPr>
            <w:r>
              <w:t xml:space="preserve">Technique Goal</w:t>
            </w:r>
          </w:p>
        </w:tc>
        <w:tc>
          <w:tcPr/>
          <w:p>
            <w:pPr>
              <w:pStyle w:val="Compact"/>
              <w:jc w:val="left"/>
            </w:pPr>
            <w:r>
              <w:t xml:space="preserve">Sequence e-learning and hands-on practice by role.</w:t>
            </w:r>
          </w:p>
        </w:tc>
      </w:tr>
      <w:tr>
        <w:tc>
          <w:tcPr/>
          <w:p>
            <w:pPr>
              <w:pStyle w:val="Compact"/>
              <w:jc w:val="left"/>
            </w:pPr>
            <w:r>
              <w:t xml:space="preserve">Technique Details</w:t>
            </w:r>
          </w:p>
        </w:tc>
        <w:tc>
          <w:tcPr/>
          <w:p>
            <w:pPr>
              <w:pStyle w:val="Compact"/>
              <w:jc w:val="left"/>
            </w:pPr>
            <w:r>
              <w:t xml:space="preserve">Build a short e-learning module per role covering the why and the what, followed immediately by hands-on practice.</w:t>
            </w:r>
          </w:p>
        </w:tc>
      </w:tr>
      <w:tr>
        <w:tc>
          <w:tcPr/>
          <w:p>
            <w:pPr>
              <w:pStyle w:val="Compact"/>
              <w:jc w:val="left"/>
            </w:pPr>
            <w:r>
              <w:t xml:space="preserve">Recommended Open-Source Tool</w:t>
            </w:r>
          </w:p>
        </w:tc>
        <w:tc>
          <w:tcPr/>
          <w:p>
            <w:pPr>
              <w:pStyle w:val="Compact"/>
              <w:jc w:val="left"/>
            </w:pPr>
            <w:r>
              <w:t xml:space="preserve">H5P (interactive content) on Moodle</w:t>
            </w:r>
          </w:p>
        </w:tc>
      </w:tr>
    </w:tbl>
    <w:p>
      <w:pPr>
        <w:pStyle w:val="BodyText"/>
      </w:pPr>
      <w:r>
        <w:rPr>
          <w:bCs/>
          <w:b/>
        </w:rPr>
        <w:t xml:space="preserve">journi:</w:t>
      </w:r>
      <w:r>
        <w:t xml:space="preserve"> </w:t>
      </w:r>
      <w:r>
        <w:rPr>
          <w:iCs/>
          <w:i/>
        </w:rPr>
        <w:t xml:space="preserve">This is entered/updated in journi — M5 — ADKAR Engine (training completion feeds Reinforcement tracking).</w:t>
      </w:r>
    </w:p>
    <w:p>
      <w:pPr>
        <w:pStyle w:val="BodyText"/>
      </w:pPr>
      <w:r>
        <w:rPr>
          <w:bCs/>
          <w:b/>
          <w:color w:val="5A8F89"/>
          <w:sz w:val="22"/>
        </w:rPr>
        <w:t xml:space="preserve">Step 2 — Deliver the instructor-led session</w:t>
      </w:r>
    </w:p>
    <w:p>
      <w:pPr>
        <w:pStyle w:val="BodyText"/>
      </w:pPr>
      <w:r>
        <w:t xml:space="preserve">Having a trainer physically present to answer an unscripted question is what converts theoretical Knowledge into the beginnings of real Ability.</w:t>
      </w:r>
    </w:p>
    <w:p>
      <w:pPr>
        <w:pStyle w:val="BodyText"/>
      </w:pPr>
      <w:r>
        <w:rPr>
          <w:iCs/>
          <w:i/>
        </w:rPr>
        <w:t xml:space="preserve">SIPOC for this step.</w:t>
      </w:r>
    </w:p>
    <w:tbl>
      <w:tblPr>
        <w:tblStyle w:val="Table"/>
        <w:tblW w:type="pct" w:w="4953"/>
        <w:tblLook w:firstRow="1" w:lastRow="0" w:firstColumn="0" w:lastColumn="0" w:noHBand="0" w:noVBand="0" w:val="0020"/>
        <w:jc w:val="start"/>
      </w:tblPr>
      <w:tblGrid>
        <w:gridCol w:w="1924"/>
        <w:gridCol w:w="1184"/>
        <w:gridCol w:w="925"/>
        <w:gridCol w:w="1332"/>
        <w:gridCol w:w="247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(Blended-learning course design)</w:t>
            </w:r>
          </w:p>
        </w:tc>
        <w:tc>
          <w:tcPr/>
          <w:p>
            <w:pPr>
              <w:pStyle w:val="Compact"/>
              <w:jc w:val="left"/>
            </w:pPr>
            <w:r>
              <w:t xml:space="preserve">Role-based e-learning modules</w:t>
            </w:r>
          </w:p>
        </w:tc>
        <w:tc>
          <w:tcPr/>
          <w:p>
            <w:pPr>
              <w:pStyle w:val="Compact"/>
              <w:jc w:val="left"/>
            </w:pPr>
            <w:r>
              <w:t xml:space="preserve">Instructor-led session</w:t>
            </w:r>
          </w:p>
        </w:tc>
        <w:tc>
          <w:tcPr/>
          <w:p>
            <w:pPr>
              <w:pStyle w:val="Compact"/>
              <w:jc w:val="left"/>
            </w:pPr>
            <w:r>
              <w:t xml:space="preserve">Completed instructor-led sessions</w:t>
            </w:r>
          </w:p>
        </w:tc>
        <w:tc>
          <w:tcPr/>
          <w:p>
            <w:pPr>
              <w:pStyle w:val="Compact"/>
              <w:jc w:val="left"/>
            </w:pPr>
            <w:r>
              <w:t xml:space="preserve">Cutover team; Steering Committee (go/no-go decision); end users.</w:t>
            </w:r>
          </w:p>
        </w:tc>
      </w:tr>
    </w:tbl>
    <w:p>
      <w:pPr>
        <w:pStyle w:val="BodyText"/>
      </w:pPr>
      <w:r>
        <w:rPr>
          <w:iCs/>
          <w:i/>
        </w:rPr>
        <w:t xml:space="preserve">Technique detail for this step.</w:t>
      </w:r>
    </w:p>
    <w:tbl>
      <w:tblPr>
        <w:tblStyle w:val="Table"/>
        <w:tblW w:type="pct" w:w="4922"/>
        <w:tblLook w:firstRow="1" w:lastRow="0" w:firstColumn="0" w:lastColumn="0" w:noHBand="0" w:noVBand="0" w:val="0020"/>
        <w:jc w:val="start"/>
      </w:tblPr>
      <w:tblGrid>
        <w:gridCol w:w="1918"/>
        <w:gridCol w:w="5878"/>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Instructor-led session</w:t>
            </w:r>
          </w:p>
        </w:tc>
      </w:tr>
      <w:tr>
        <w:tc>
          <w:tcPr/>
          <w:p>
            <w:pPr>
              <w:pStyle w:val="Compact"/>
              <w:jc w:val="left"/>
            </w:pPr>
            <w:r>
              <w:t xml:space="preserve">Technique Goal</w:t>
            </w:r>
          </w:p>
        </w:tc>
        <w:tc>
          <w:tcPr/>
          <w:p>
            <w:pPr>
              <w:pStyle w:val="Compact"/>
              <w:jc w:val="left"/>
            </w:pPr>
            <w:r>
              <w:t xml:space="preserve">Build confidence through live practice with a trainer present.</w:t>
            </w:r>
          </w:p>
        </w:tc>
      </w:tr>
      <w:tr>
        <w:tc>
          <w:tcPr/>
          <w:p>
            <w:pPr>
              <w:pStyle w:val="Compact"/>
              <w:jc w:val="left"/>
            </w:pPr>
            <w:r>
              <w:t xml:space="preserve">Technique Details</w:t>
            </w:r>
          </w:p>
        </w:tc>
        <w:tc>
          <w:tcPr/>
          <w:p>
            <w:pPr>
              <w:pStyle w:val="Compact"/>
              <w:jc w:val="left"/>
            </w:pPr>
            <w:r>
              <w:t xml:space="preserve">A 2-hour instructor-led session per cohort combining demonstration, guided practice and Q&amp;A.</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 EU</w:t>
            </w:r>
          </w:p>
        </w:tc>
        <w:tc>
          <w:tcPr/>
          <w:p>
            <w:pPr>
              <w:pStyle w:val="Compact"/>
              <w:jc w:val="left"/>
            </w:pPr>
            <w:r>
              <w:t xml:space="preserve">CM</w:t>
            </w:r>
          </w:p>
        </w:tc>
        <w:tc>
          <w:tcPr/>
          <w:p>
            <w:pPr>
              <w:pStyle w:val="Compact"/>
              <w:jc w:val="left"/>
            </w:pPr>
            <w:r>
              <w:t xml:space="preserve">FPO</w:t>
            </w:r>
          </w:p>
        </w:tc>
        <w:tc>
          <w:tcPr/>
          <w:p>
            <w:pPr>
              <w:pStyle w:val="Compact"/>
              <w:jc w:val="left"/>
            </w:pPr>
            <w:r>
              <w:t xml:space="preserve">ITL</w:t>
            </w:r>
          </w:p>
        </w:tc>
        <w:tc>
          <w:tcPr/>
          <w:p>
            <w:pPr>
              <w:pStyle w:val="Compact"/>
              <w:jc w:val="left"/>
            </w:pPr>
            <w:r>
              <w:t xml:space="preserve">ES, PM</w:t>
            </w:r>
          </w:p>
        </w:tc>
      </w:tr>
    </w:tbl>
    <w:p>
      <w:pPr>
        <w:pStyle w:val="BodyText"/>
      </w:pPr>
      <w:r>
        <w:rPr>
          <w:bCs/>
          <w:b/>
          <w:color w:val="3F827B"/>
          <w:sz w:val="24"/>
        </w:rPr>
        <w:t xml:space="preserve">Task 2 — [JOINT] Deploy job aids and a sandbox practice environment</w:t>
      </w:r>
    </w:p>
    <w:p>
      <w:pPr>
        <w:pStyle w:val="BodyText"/>
      </w:pPr>
      <w:r>
        <w:rPr>
          <w:bCs/>
          <w:b/>
          <w:color w:val="5A8F89"/>
          <w:sz w:val="22"/>
        </w:rPr>
        <w:t xml:space="preserve">Step 1 — Author the job aids</w:t>
      </w:r>
    </w:p>
    <w:p>
      <w:pPr>
        <w:pStyle w:val="BodyText"/>
      </w:pPr>
      <w:r>
        <w:t xml:space="preserve">A job aid that tries to cover every scenario gets abandoned; one that covers the 5–10 transactions someone actually does every day gets kept at their desk.</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2330"/>
        <w:gridCol w:w="3364"/>
        <w:gridCol w:w="529"/>
        <w:gridCol w:w="794"/>
        <w:gridCol w:w="84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Training Lead; Functional Process Owners (content validation); Frontline Supervisors.</w:t>
            </w:r>
          </w:p>
        </w:tc>
        <w:tc>
          <w:tcPr/>
          <w:p>
            <w:pPr>
              <w:pStyle w:val="Compact"/>
              <w:jc w:val="left"/>
            </w:pPr>
            <w:r>
              <w:t xml:space="preserve">Approved training curriculum; job aids and quick-reference guides; train-the-trainer materials; go-live readiness checklist.</w:t>
            </w:r>
          </w:p>
        </w:tc>
        <w:tc>
          <w:tcPr/>
          <w:p>
            <w:pPr>
              <w:pStyle w:val="Compact"/>
              <w:jc w:val="left"/>
            </w:pPr>
            <w:r>
              <w:t xml:space="preserve">Job-aid authoring</w:t>
            </w:r>
          </w:p>
        </w:tc>
        <w:tc>
          <w:tcPr/>
          <w:p>
            <w:pPr>
              <w:pStyle w:val="Compact"/>
              <w:jc w:val="left"/>
            </w:pPr>
            <w:r>
              <w:t xml:space="preserve">Published job aids per role</w:t>
            </w:r>
          </w:p>
        </w:tc>
        <w:tc>
          <w:tcPr/>
          <w:p>
            <w:pPr>
              <w:pStyle w:val="Compact"/>
              <w:jc w:val="left"/>
            </w:pPr>
            <w:r>
              <w:t xml:space="preserve">Step 2 (Sandbox provisioning)</w:t>
            </w:r>
          </w:p>
        </w:tc>
      </w:tr>
    </w:tbl>
    <w:p>
      <w:pPr>
        <w:pStyle w:val="BodyText"/>
      </w:pPr>
      <w:r>
        <w:rPr>
          <w:iCs/>
          <w:i/>
        </w:rPr>
        <w:t xml:space="preserve">Technique detail for this step.</w:t>
      </w:r>
    </w:p>
    <w:tbl>
      <w:tblPr>
        <w:tblStyle w:val="Table"/>
        <w:tblW w:type="pct" w:w="4935"/>
        <w:tblLook w:firstRow="1" w:lastRow="0" w:firstColumn="0" w:lastColumn="0" w:noHBand="0" w:noVBand="0" w:val="0020"/>
        <w:jc w:val="start"/>
      </w:tblPr>
      <w:tblGrid>
        <w:gridCol w:w="1584"/>
        <w:gridCol w:w="6233"/>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Job-aid authoring</w:t>
            </w:r>
          </w:p>
        </w:tc>
      </w:tr>
      <w:tr>
        <w:tc>
          <w:tcPr/>
          <w:p>
            <w:pPr>
              <w:pStyle w:val="Compact"/>
              <w:jc w:val="left"/>
            </w:pPr>
            <w:r>
              <w:t xml:space="preserve">Technique Goal</w:t>
            </w:r>
          </w:p>
        </w:tc>
        <w:tc>
          <w:tcPr/>
          <w:p>
            <w:pPr>
              <w:pStyle w:val="Compact"/>
              <w:jc w:val="left"/>
            </w:pPr>
            <w:r>
              <w:t xml:space="preserve">Produce concise, printable quick-reference guides.</w:t>
            </w:r>
          </w:p>
        </w:tc>
      </w:tr>
      <w:tr>
        <w:tc>
          <w:tcPr/>
          <w:p>
            <w:pPr>
              <w:pStyle w:val="Compact"/>
              <w:jc w:val="left"/>
            </w:pPr>
            <w:r>
              <w:t xml:space="preserve">Technique Details</w:t>
            </w:r>
          </w:p>
        </w:tc>
        <w:tc>
          <w:tcPr/>
          <w:p>
            <w:pPr>
              <w:pStyle w:val="Compact"/>
              <w:jc w:val="left"/>
            </w:pPr>
            <w:r>
              <w:t xml:space="preserve">One-page, task-specific job aids covering the 5–10 most common transactions per role, reviewed by an FPO for accuracy.</w:t>
            </w:r>
          </w:p>
        </w:tc>
      </w:tr>
      <w:tr>
        <w:tc>
          <w:tcPr/>
          <w:p>
            <w:pPr>
              <w:pStyle w:val="Compact"/>
              <w:jc w:val="left"/>
            </w:pPr>
            <w:r>
              <w:t xml:space="preserve">Recommended Open-Source Tool</w:t>
            </w:r>
          </w:p>
        </w:tc>
        <w:tc>
          <w:tcPr/>
          <w:p>
            <w:pPr>
              <w:pStyle w:val="Compact"/>
              <w:jc w:val="left"/>
            </w:pPr>
            <w:r>
              <w:t xml:space="preserve">Scribus</w:t>
            </w:r>
          </w:p>
        </w:tc>
      </w:tr>
    </w:tbl>
    <w:p>
      <w:pPr>
        <w:pStyle w:val="BodyText"/>
      </w:pPr>
      <w:r>
        <w:rPr>
          <w:bCs/>
          <w:b/>
          <w:color w:val="5A8F89"/>
          <w:sz w:val="22"/>
        </w:rPr>
        <w:t xml:space="preserve">Step 2 — Provision the sandbox</w:t>
      </w:r>
    </w:p>
    <w:p>
      <w:pPr>
        <w:pStyle w:val="BodyText"/>
      </w:pPr>
      <w:r>
        <w:t xml:space="preserve">The single biggest driver of Ability is repetition without fear of consequence, which is exactly what a properly loaded sandbox provides and a live-data walkthrough cannot.</w:t>
      </w:r>
    </w:p>
    <w:p>
      <w:pPr>
        <w:pStyle w:val="BodyText"/>
      </w:pPr>
      <w:r>
        <w:rPr>
          <w:iCs/>
          <w:i/>
        </w:rPr>
        <w:t xml:space="preserve">SIPOC for this step.</w:t>
      </w:r>
    </w:p>
    <w:tbl>
      <w:tblPr>
        <w:tblStyle w:val="Table"/>
        <w:tblW w:type="pct" w:w="4949"/>
        <w:tblLook w:firstRow="1" w:lastRow="0" w:firstColumn="0" w:lastColumn="0" w:noHBand="0" w:noVBand="0" w:val="0020"/>
        <w:jc w:val="start"/>
      </w:tblPr>
      <w:tblGrid>
        <w:gridCol w:w="1567"/>
        <w:gridCol w:w="1206"/>
        <w:gridCol w:w="924"/>
        <w:gridCol w:w="1447"/>
        <w:gridCol w:w="269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(Job-aid authoring)</w:t>
            </w:r>
          </w:p>
        </w:tc>
        <w:tc>
          <w:tcPr/>
          <w:p>
            <w:pPr>
              <w:pStyle w:val="Compact"/>
              <w:jc w:val="left"/>
            </w:pPr>
            <w:r>
              <w:t xml:space="preserve">Published job aids per role</w:t>
            </w:r>
          </w:p>
        </w:tc>
        <w:tc>
          <w:tcPr/>
          <w:p>
            <w:pPr>
              <w:pStyle w:val="Compact"/>
              <w:jc w:val="left"/>
            </w:pPr>
            <w:r>
              <w:t xml:space="preserve">Sandbox provisioning</w:t>
            </w:r>
          </w:p>
        </w:tc>
        <w:tc>
          <w:tcPr/>
          <w:p>
            <w:pPr>
              <w:pStyle w:val="Compact"/>
              <w:jc w:val="left"/>
            </w:pPr>
            <w:r>
              <w:t xml:space="preserve">Live sandbox practice environment</w:t>
            </w:r>
          </w:p>
        </w:tc>
        <w:tc>
          <w:tcPr/>
          <w:p>
            <w:pPr>
              <w:pStyle w:val="Compact"/>
              <w:jc w:val="left"/>
            </w:pPr>
            <w:r>
              <w:t xml:space="preserve">Cutover team; Steering Committee (go/no-go decision); end users.</w:t>
            </w:r>
          </w:p>
        </w:tc>
      </w:tr>
    </w:tbl>
    <w:p>
      <w:pPr>
        <w:pStyle w:val="BodyText"/>
      </w:pPr>
      <w:r>
        <w:rPr>
          <w:iCs/>
          <w:i/>
        </w:rPr>
        <w:t xml:space="preserve">Technique detail for this step.</w:t>
      </w:r>
    </w:p>
    <w:tbl>
      <w:tblPr>
        <w:tblStyle w:val="Table"/>
        <w:tblW w:type="pct" w:w="4934"/>
        <w:tblLook w:firstRow="1" w:lastRow="0" w:firstColumn="0" w:lastColumn="0" w:noHBand="0" w:noVBand="0" w:val="0020"/>
        <w:jc w:val="start"/>
      </w:tblPr>
      <w:tblGrid>
        <w:gridCol w:w="1625"/>
        <w:gridCol w:w="618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Sandbox provisioning</w:t>
            </w:r>
          </w:p>
        </w:tc>
      </w:tr>
      <w:tr>
        <w:tc>
          <w:tcPr/>
          <w:p>
            <w:pPr>
              <w:pStyle w:val="Compact"/>
              <w:jc w:val="left"/>
            </w:pPr>
            <w:r>
              <w:t xml:space="preserve">Technique Goal</w:t>
            </w:r>
          </w:p>
        </w:tc>
        <w:tc>
          <w:tcPr/>
          <w:p>
            <w:pPr>
              <w:pStyle w:val="Compact"/>
              <w:jc w:val="left"/>
            </w:pPr>
            <w:r>
              <w:t xml:space="preserve">Give a safe, non-production space to practice.</w:t>
            </w:r>
          </w:p>
        </w:tc>
      </w:tr>
      <w:tr>
        <w:tc>
          <w:tcPr/>
          <w:p>
            <w:pPr>
              <w:pStyle w:val="Compact"/>
              <w:jc w:val="left"/>
            </w:pPr>
            <w:r>
              <w:t xml:space="preserve">Technique Details</w:t>
            </w:r>
          </w:p>
        </w:tc>
        <w:tc>
          <w:tcPr/>
          <w:p>
            <w:pPr>
              <w:pStyle w:val="Compact"/>
              <w:jc w:val="left"/>
            </w:pPr>
            <w:r>
              <w:t xml:space="preserve">Stand up a sandbox instance loaded with representative (non-production) data so mistakes carry no real consequence.</w:t>
            </w:r>
          </w:p>
        </w:tc>
      </w:tr>
      <w:tr>
        <w:tc>
          <w:tcPr/>
          <w:p>
            <w:pPr>
              <w:pStyle w:val="Compact"/>
              <w:jc w:val="left"/>
            </w:pPr>
            <w:r>
              <w:t xml:space="preserve">Recommended Open-Source Tool</w:t>
            </w:r>
          </w:p>
        </w:tc>
        <w:tc>
          <w:tcPr/>
          <w:p>
            <w:pPr>
              <w:pStyle w:val="Compact"/>
              <w:jc w:val="left"/>
            </w:pPr>
            <w:r>
              <w:t xml:space="preserve">ERPNext (open-source ERP sandbox instance)</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ITL</w:t>
            </w:r>
          </w:p>
        </w:tc>
        <w:tc>
          <w:tcPr/>
          <w:p>
            <w:pPr>
              <w:pStyle w:val="Compact"/>
              <w:jc w:val="left"/>
            </w:pPr>
            <w:r>
              <w:t xml:space="preserve">CM</w:t>
            </w:r>
          </w:p>
        </w:tc>
        <w:tc>
          <w:tcPr/>
          <w:p>
            <w:pPr>
              <w:pStyle w:val="Compact"/>
              <w:jc w:val="left"/>
            </w:pPr>
            <w:r>
              <w:t xml:space="preserve">FPO</w:t>
            </w:r>
          </w:p>
        </w:tc>
        <w:tc>
          <w:tcPr/>
          <w:p>
            <w:pPr>
              <w:pStyle w:val="Compact"/>
              <w:jc w:val="left"/>
            </w:pPr>
            <w:r>
              <w:t xml:space="preserve">PM</w:t>
            </w:r>
          </w:p>
        </w:tc>
        <w:tc>
          <w:tcPr/>
          <w:p>
            <w:pPr>
              <w:pStyle w:val="Compact"/>
              <w:jc w:val="left"/>
            </w:pPr>
            <w:r>
              <w:t xml:space="preserve">ES, SUP, EU</w:t>
            </w:r>
          </w:p>
        </w:tc>
      </w:tr>
    </w:tbl>
    <w:p>
      <w:pPr>
        <w:pStyle w:val="BodyText"/>
      </w:pPr>
      <w:r>
        <w:rPr>
          <w:bCs/>
          <w:b/>
          <w:color w:val="3F827B"/>
          <w:sz w:val="24"/>
        </w:rPr>
        <w:t xml:space="preserve">Task 3 — [CHANGE] Run readiness assessments per cohort (Knowledge / Ability scoring)</w:t>
      </w:r>
    </w:p>
    <w:p>
      <w:pPr>
        <w:pStyle w:val="BodyText"/>
      </w:pPr>
      <w:r>
        <w:rPr>
          <w:bCs/>
          <w:b/>
        </w:rPr>
        <w:t xml:space="preserve">journi:</w:t>
      </w:r>
      <w:r>
        <w:t xml:space="preserve"> </w:t>
      </w:r>
      <w:r>
        <w:rPr>
          <w:iCs/>
          <w:i/>
        </w:rPr>
        <w:t xml:space="preserve">This is entered/updated in journi — M5.</w:t>
      </w:r>
    </w:p>
    <w:p>
      <w:pPr>
        <w:pStyle w:val="BodyText"/>
      </w:pPr>
      <w:r>
        <w:rPr>
          <w:bCs/>
          <w:b/>
          <w:color w:val="5A8F89"/>
          <w:sz w:val="22"/>
        </w:rPr>
        <w:t xml:space="preserve">Step 1 — Assess skills hands-on</w:t>
      </w:r>
    </w:p>
    <w:p>
      <w:pPr>
        <w:pStyle w:val="BodyText"/>
      </w:pPr>
      <w:r>
        <w:t xml:space="preserve">A multiple-choice quiz can confirm Knowledge, but only a hands-on assessment in the sandbox can confirm the person can actually perform the transaction under time pressure.</w:t>
      </w:r>
    </w:p>
    <w:p>
      <w:pPr>
        <w:pStyle w:val="BodyText"/>
      </w:pPr>
      <w:r>
        <w:rPr>
          <w:iCs/>
          <w:i/>
        </w:rPr>
        <w:t xml:space="preserve">SIPOC for this step.</w:t>
      </w:r>
    </w:p>
    <w:tbl>
      <w:tblPr>
        <w:tblStyle w:val="Table"/>
        <w:tblW w:type="pct" w:w="4970"/>
        <w:tblLook w:firstRow="1" w:lastRow="0" w:firstColumn="0" w:lastColumn="0" w:noHBand="0" w:noVBand="0" w:val="0020"/>
        <w:jc w:val="start"/>
      </w:tblPr>
      <w:tblGrid>
        <w:gridCol w:w="2105"/>
        <w:gridCol w:w="3038"/>
        <w:gridCol w:w="1004"/>
        <w:gridCol w:w="861"/>
        <w:gridCol w:w="86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Training Lead; Functional Process Owners (content validation); Frontline Supervisors.</w:t>
            </w:r>
          </w:p>
        </w:tc>
        <w:tc>
          <w:tcPr/>
          <w:p>
            <w:pPr>
              <w:pStyle w:val="Compact"/>
              <w:jc w:val="left"/>
            </w:pPr>
            <w:r>
              <w:t xml:space="preserve">Approved training curriculum; job aids and quick-reference guides; train-the-trainer materials; go-live readiness checklist.</w:t>
            </w:r>
          </w:p>
        </w:tc>
        <w:tc>
          <w:tcPr/>
          <w:p>
            <w:pPr>
              <w:pStyle w:val="Compact"/>
              <w:jc w:val="left"/>
            </w:pPr>
            <w:r>
              <w:t xml:space="preserve">Skills checklist / practical assessment</w:t>
            </w:r>
          </w:p>
        </w:tc>
        <w:tc>
          <w:tcPr/>
          <w:p>
            <w:pPr>
              <w:pStyle w:val="Compact"/>
              <w:jc w:val="left"/>
            </w:pPr>
            <w:r>
              <w:t xml:space="preserve">Cohort Knowledge / Ability scores</w:t>
            </w:r>
          </w:p>
        </w:tc>
        <w:tc>
          <w:tcPr/>
          <w:p>
            <w:pPr>
              <w:pStyle w:val="Compact"/>
              <w:jc w:val="left"/>
            </w:pPr>
            <w:r>
              <w:t xml:space="preserve">Step 2 (LMS completion tracking)</w:t>
            </w:r>
          </w:p>
        </w:tc>
      </w:tr>
    </w:tbl>
    <w:p>
      <w:pPr>
        <w:pStyle w:val="BodyText"/>
      </w:pPr>
      <w:r>
        <w:rPr>
          <w:iCs/>
          <w:i/>
        </w:rPr>
        <w:t xml:space="preserve">Technique detail for this step.</w:t>
      </w:r>
    </w:p>
    <w:tbl>
      <w:tblPr>
        <w:tblStyle w:val="Table"/>
        <w:tblW w:type="pct" w:w="4933"/>
        <w:tblLook w:firstRow="1" w:lastRow="0" w:firstColumn="0" w:lastColumn="0" w:noHBand="0" w:noVBand="0" w:val="0020"/>
        <w:jc w:val="start"/>
      </w:tblPr>
      <w:tblGrid>
        <w:gridCol w:w="1647"/>
        <w:gridCol w:w="616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Skills checklist / practical assessment</w:t>
            </w:r>
          </w:p>
        </w:tc>
      </w:tr>
      <w:tr>
        <w:tc>
          <w:tcPr/>
          <w:p>
            <w:pPr>
              <w:pStyle w:val="Compact"/>
              <w:jc w:val="left"/>
            </w:pPr>
            <w:r>
              <w:t xml:space="preserve">Technique Goal</w:t>
            </w:r>
          </w:p>
        </w:tc>
        <w:tc>
          <w:tcPr/>
          <w:p>
            <w:pPr>
              <w:pStyle w:val="Compact"/>
              <w:jc w:val="left"/>
            </w:pPr>
            <w:r>
              <w:t xml:space="preserve">Verify Knowledge and Ability under near-real conditions.</w:t>
            </w:r>
          </w:p>
        </w:tc>
      </w:tr>
      <w:tr>
        <w:tc>
          <w:tcPr/>
          <w:p>
            <w:pPr>
              <w:pStyle w:val="Compact"/>
              <w:jc w:val="left"/>
            </w:pPr>
            <w:r>
              <w:t xml:space="preserve">Technique Details</w:t>
            </w:r>
          </w:p>
        </w:tc>
        <w:tc>
          <w:tcPr/>
          <w:p>
            <w:pPr>
              <w:pStyle w:val="Compact"/>
              <w:jc w:val="left"/>
            </w:pPr>
            <w:r>
              <w:t xml:space="preserve">A hands-on assessment in the sandbox covering the core transactions for that role, scored against a fixed rubric.</w:t>
            </w:r>
          </w:p>
        </w:tc>
      </w:tr>
      <w:tr>
        <w:tc>
          <w:tcPr/>
          <w:p>
            <w:pPr>
              <w:pStyle w:val="Compact"/>
              <w:jc w:val="left"/>
            </w:pPr>
            <w:r>
              <w:t xml:space="preserve">Recommended Open-Source Tool</w:t>
            </w:r>
          </w:p>
        </w:tc>
        <w:tc>
          <w:tcPr/>
          <w:p>
            <w:pPr>
              <w:pStyle w:val="Compact"/>
              <w:jc w:val="left"/>
            </w:pPr>
            <w:r>
              <w:t xml:space="preserve">Kiwi TCMS (adapted as a checklist tracker)</w:t>
            </w:r>
          </w:p>
        </w:tc>
      </w:tr>
    </w:tbl>
    <w:p>
      <w:pPr>
        <w:pStyle w:val="BodyText"/>
      </w:pPr>
      <w:r>
        <w:rPr>
          <w:bCs/>
          <w:b/>
        </w:rPr>
        <w:t xml:space="preserve">journi:</w:t>
      </w:r>
      <w:r>
        <w:t xml:space="preserve"> </w:t>
      </w:r>
      <w:r>
        <w:rPr>
          <w:iCs/>
          <w:i/>
        </w:rPr>
        <w:t xml:space="preserve">This is entered/updated in journi — M5 — ADKAR Engine.</w:t>
      </w:r>
    </w:p>
    <w:p>
      <w:pPr>
        <w:pStyle w:val="BodyText"/>
      </w:pPr>
      <w:r>
        <w:rPr>
          <w:bCs/>
          <w:b/>
          <w:color w:val="5A8F89"/>
          <w:sz w:val="22"/>
        </w:rPr>
        <w:t xml:space="preserve">Step 2 — Track training completion</w:t>
      </w:r>
    </w:p>
    <w:p>
      <w:pPr>
        <w:pStyle w:val="BodyText"/>
      </w:pPr>
      <w:r>
        <w:t xml:space="preserve">Completion percentage is a leading indicator for the go/no-go call, cheap to track continuously, and it feeds directly into the Composite Readiness Index's training component.</w:t>
      </w:r>
    </w:p>
    <w:p>
      <w:pPr>
        <w:pStyle w:val="BodyText"/>
      </w:pPr>
      <w:r>
        <w:rPr>
          <w:iCs/>
          <w:i/>
        </w:rPr>
        <w:t xml:space="preserve">SIPOC for this step.</w:t>
      </w:r>
    </w:p>
    <w:tbl>
      <w:tblPr>
        <w:tblStyle w:val="Table"/>
        <w:tblW w:type="pct" w:w="4957"/>
        <w:tblLook w:firstRow="1" w:lastRow="0" w:firstColumn="0" w:lastColumn="0" w:noHBand="0" w:noVBand="0" w:val="0020"/>
        <w:jc w:val="start"/>
      </w:tblPr>
      <w:tblGrid>
        <w:gridCol w:w="2055"/>
        <w:gridCol w:w="1213"/>
        <w:gridCol w:w="876"/>
        <w:gridCol w:w="1449"/>
        <w:gridCol w:w="225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(Skills checklist / practical assessment)</w:t>
            </w:r>
          </w:p>
        </w:tc>
        <w:tc>
          <w:tcPr/>
          <w:p>
            <w:pPr>
              <w:pStyle w:val="Compact"/>
              <w:jc w:val="left"/>
            </w:pPr>
            <w:r>
              <w:t xml:space="preserve">Cohort Knowledge / Ability scores</w:t>
            </w:r>
          </w:p>
        </w:tc>
        <w:tc>
          <w:tcPr/>
          <w:p>
            <w:pPr>
              <w:pStyle w:val="Compact"/>
              <w:jc w:val="left"/>
            </w:pPr>
            <w:r>
              <w:t xml:space="preserve">LMS completion tracking</w:t>
            </w:r>
          </w:p>
        </w:tc>
        <w:tc>
          <w:tcPr/>
          <w:p>
            <w:pPr>
              <w:pStyle w:val="Compact"/>
              <w:jc w:val="left"/>
            </w:pPr>
            <w:r>
              <w:t xml:space="preserve">Training completion percentage by cohort</w:t>
            </w:r>
          </w:p>
        </w:tc>
        <w:tc>
          <w:tcPr/>
          <w:p>
            <w:pPr>
              <w:pStyle w:val="Compact"/>
              <w:jc w:val="left"/>
            </w:pPr>
            <w:r>
              <w:t xml:space="preserve">Cutover team; Steering Committee (go/no-go decision); end users.</w:t>
            </w:r>
          </w:p>
        </w:tc>
      </w:tr>
    </w:tbl>
    <w:p>
      <w:pPr>
        <w:pStyle w:val="BodyText"/>
      </w:pPr>
      <w:r>
        <w:rPr>
          <w:iCs/>
          <w:i/>
        </w:rPr>
        <w:t xml:space="preserve">Technique detail for this step.</w:t>
      </w:r>
    </w:p>
    <w:tbl>
      <w:tblPr>
        <w:tblStyle w:val="Table"/>
        <w:tblW w:type="pct" w:w="4927"/>
        <w:tblLook w:firstRow="1" w:lastRow="0" w:firstColumn="0" w:lastColumn="0" w:noHBand="0" w:noVBand="0" w:val="0020"/>
        <w:jc w:val="start"/>
      </w:tblPr>
      <w:tblGrid>
        <w:gridCol w:w="1792"/>
        <w:gridCol w:w="601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LMS completion tracking</w:t>
            </w:r>
          </w:p>
        </w:tc>
      </w:tr>
      <w:tr>
        <w:tc>
          <w:tcPr/>
          <w:p>
            <w:pPr>
              <w:pStyle w:val="Compact"/>
              <w:jc w:val="left"/>
            </w:pPr>
            <w:r>
              <w:t xml:space="preserve">Technique Goal</w:t>
            </w:r>
          </w:p>
        </w:tc>
        <w:tc>
          <w:tcPr/>
          <w:p>
            <w:pPr>
              <w:pStyle w:val="Compact"/>
              <w:jc w:val="left"/>
            </w:pPr>
            <w:r>
              <w:t xml:space="preserve">Monitor training completion percentage by cohort.</w:t>
            </w:r>
          </w:p>
        </w:tc>
      </w:tr>
      <w:tr>
        <w:tc>
          <w:tcPr/>
          <w:p>
            <w:pPr>
              <w:pStyle w:val="Compact"/>
              <w:jc w:val="left"/>
            </w:pPr>
            <w:r>
              <w:t xml:space="preserve">Technique Details</w:t>
            </w:r>
          </w:p>
        </w:tc>
        <w:tc>
          <w:tcPr/>
          <w:p>
            <w:pPr>
              <w:pStyle w:val="Compact"/>
              <w:jc w:val="left"/>
            </w:pPr>
            <w:r>
              <w:t xml:space="preserve">Track completion of every assigned e-learning module and instructor-led session by cohort in the LMS.</w:t>
            </w:r>
          </w:p>
        </w:tc>
      </w:tr>
      <w:tr>
        <w:tc>
          <w:tcPr/>
          <w:p>
            <w:pPr>
              <w:pStyle w:val="Compact"/>
              <w:jc w:val="left"/>
            </w:pPr>
            <w:r>
              <w:t xml:space="preserve">Recommended Open-Source Tool</w:t>
            </w:r>
          </w:p>
        </w:tc>
        <w:tc>
          <w:tcPr/>
          <w:p>
            <w:pPr>
              <w:pStyle w:val="Compact"/>
              <w:jc w:val="left"/>
            </w:pPr>
            <w:r>
              <w:t xml:space="preserve">Moodle</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PM</w:t>
            </w:r>
          </w:p>
        </w:tc>
        <w:tc>
          <w:tcPr/>
          <w:p>
            <w:pPr>
              <w:pStyle w:val="Compact"/>
              <w:jc w:val="left"/>
            </w:pPr>
            <w:r>
              <w:t xml:space="preserve">ES, ITL, EU</w:t>
            </w:r>
          </w:p>
        </w:tc>
      </w:tr>
    </w:tbl>
    <w:p>
      <w:pPr>
        <w:pStyle w:val="BodyText"/>
      </w:pPr>
      <w:r>
        <w:rPr>
          <w:bCs/>
          <w:b/>
          <w:color w:val="3F827B"/>
          <w:sz w:val="24"/>
        </w:rPr>
        <w:t xml:space="preserve">Task 4 — [CHANGE] Brief supervisors on real-time floor-coaching expectations for go-live</w:t>
      </w:r>
    </w:p>
    <w:p>
      <w:pPr>
        <w:pStyle w:val="BodyText"/>
      </w:pPr>
      <w:r>
        <w:rPr>
          <w:bCs/>
          <w:b/>
          <w:color w:val="5A8F89"/>
          <w:sz w:val="22"/>
        </w:rPr>
        <w:t xml:space="preserve">Step 1 — Workshop supervisors on coaching</w:t>
      </w:r>
    </w:p>
    <w:p>
      <w:pPr>
        <w:pStyle w:val="BodyText"/>
      </w:pPr>
      <w:r>
        <w:t xml:space="preserve">Supervisors are the first line of defense against a bad first week; how well they can spot and coach a struggling employee in the moment matters more than any single training session.</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2315"/>
        <w:gridCol w:w="3341"/>
        <w:gridCol w:w="578"/>
        <w:gridCol w:w="736"/>
        <w:gridCol w:w="89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Training Lead; Functional Process Owners (content validation); Frontline Supervisors.</w:t>
            </w:r>
          </w:p>
        </w:tc>
        <w:tc>
          <w:tcPr/>
          <w:p>
            <w:pPr>
              <w:pStyle w:val="Compact"/>
              <w:jc w:val="left"/>
            </w:pPr>
            <w:r>
              <w:t xml:space="preserve">Approved training curriculum; job aids and quick-reference guides; train-the-trainer materials; go-live readiness checklist.</w:t>
            </w:r>
          </w:p>
        </w:tc>
        <w:tc>
          <w:tcPr/>
          <w:p>
            <w:pPr>
              <w:pStyle w:val="Compact"/>
              <w:jc w:val="left"/>
            </w:pPr>
            <w:r>
              <w:t xml:space="preserve">Supervisor workshop</w:t>
            </w:r>
          </w:p>
        </w:tc>
        <w:tc>
          <w:tcPr/>
          <w:p>
            <w:pPr>
              <w:pStyle w:val="Compact"/>
              <w:jc w:val="left"/>
            </w:pPr>
            <w:r>
              <w:t xml:space="preserve">Briefed supervisor cohort</w:t>
            </w:r>
          </w:p>
        </w:tc>
        <w:tc>
          <w:tcPr/>
          <w:p>
            <w:pPr>
              <w:pStyle w:val="Compact"/>
              <w:jc w:val="left"/>
            </w:pPr>
            <w:r>
              <w:t xml:space="preserve">Step 2 (Coaching-plan template)</w:t>
            </w:r>
          </w:p>
        </w:tc>
      </w:tr>
    </w:tbl>
    <w:p>
      <w:pPr>
        <w:pStyle w:val="BodyText"/>
      </w:pPr>
      <w:r>
        <w:rPr>
          <w:iCs/>
          <w:i/>
        </w:rPr>
        <w:t xml:space="preserve">Technique detail for this step.</w:t>
      </w:r>
    </w:p>
    <w:tbl>
      <w:tblPr>
        <w:tblStyle w:val="Table"/>
        <w:tblW w:type="pct" w:w="4933"/>
        <w:tblLook w:firstRow="1" w:lastRow="0" w:firstColumn="0" w:lastColumn="0" w:noHBand="0" w:noVBand="0" w:val="0020"/>
        <w:jc w:val="start"/>
      </w:tblPr>
      <w:tblGrid>
        <w:gridCol w:w="1647"/>
        <w:gridCol w:w="616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Supervisor workshop</w:t>
            </w:r>
          </w:p>
        </w:tc>
      </w:tr>
      <w:tr>
        <w:tc>
          <w:tcPr/>
          <w:p>
            <w:pPr>
              <w:pStyle w:val="Compact"/>
              <w:jc w:val="left"/>
            </w:pPr>
            <w:r>
              <w:t xml:space="preserve">Technique Goal</w:t>
            </w:r>
          </w:p>
        </w:tc>
        <w:tc>
          <w:tcPr/>
          <w:p>
            <w:pPr>
              <w:pStyle w:val="Compact"/>
              <w:jc w:val="left"/>
            </w:pPr>
            <w:r>
              <w:t xml:space="preserve">Align supervisors on real-time coaching behaviors for go-live.</w:t>
            </w:r>
          </w:p>
        </w:tc>
      </w:tr>
      <w:tr>
        <w:tc>
          <w:tcPr/>
          <w:p>
            <w:pPr>
              <w:pStyle w:val="Compact"/>
              <w:jc w:val="left"/>
            </w:pPr>
            <w:r>
              <w:t xml:space="preserve">Technique Details</w:t>
            </w:r>
          </w:p>
        </w:tc>
        <w:tc>
          <w:tcPr/>
          <w:p>
            <w:pPr>
              <w:pStyle w:val="Compact"/>
              <w:jc w:val="left"/>
            </w:pPr>
            <w:r>
              <w:t xml:space="preserve">A half-day workshop covering how to spot a struggling employee, how to coach in the moment, and when to escalate.</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bCs/>
          <w:b/>
          <w:color w:val="5A8F89"/>
          <w:sz w:val="22"/>
        </w:rPr>
        <w:t xml:space="preserve">Step 2 — Complete a coaching plan per supervisor</w:t>
      </w:r>
    </w:p>
    <w:p>
      <w:pPr>
        <w:pStyle w:val="BodyText"/>
      </w:pPr>
      <w:r>
        <w:t xml:space="preserve">A generic</w:t>
      </w:r>
      <w:r>
        <w:t xml:space="preserve"> </w:t>
      </w:r>
      <w:r>
        <w:t xml:space="preserve">“</w:t>
      </w:r>
      <w:r>
        <w:t xml:space="preserve">be supportive</w:t>
      </w:r>
      <w:r>
        <w:t xml:space="preserve">”</w:t>
      </w:r>
      <w:r>
        <w:t xml:space="preserve"> </w:t>
      </w:r>
      <w:r>
        <w:t xml:space="preserve">instruction is forgettable; a named list of at-risk individuals and the specific process steps to watch is something a supervisor can actually act on during a busy week.</w:t>
      </w:r>
    </w:p>
    <w:p>
      <w:pPr>
        <w:pStyle w:val="BodyText"/>
      </w:pPr>
      <w:r>
        <w:rPr>
          <w:iCs/>
          <w:i/>
        </w:rPr>
        <w:t xml:space="preserve">SIPOC for this step.</w:t>
      </w:r>
    </w:p>
    <w:tbl>
      <w:tblPr>
        <w:tblStyle w:val="Table"/>
        <w:tblW w:type="pct" w:w="4951"/>
        <w:tblLook w:firstRow="1" w:lastRow="0" w:firstColumn="0" w:lastColumn="0" w:noHBand="0" w:noVBand="0" w:val="0020"/>
        <w:jc w:val="start"/>
      </w:tblPr>
      <w:tblGrid>
        <w:gridCol w:w="1584"/>
        <w:gridCol w:w="1081"/>
        <w:gridCol w:w="965"/>
        <w:gridCol w:w="1622"/>
        <w:gridCol w:w="258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(Supervisor workshop)</w:t>
            </w:r>
          </w:p>
        </w:tc>
        <w:tc>
          <w:tcPr/>
          <w:p>
            <w:pPr>
              <w:pStyle w:val="Compact"/>
              <w:jc w:val="left"/>
            </w:pPr>
            <w:r>
              <w:t xml:space="preserve">Briefed supervisor cohort</w:t>
            </w:r>
          </w:p>
        </w:tc>
        <w:tc>
          <w:tcPr/>
          <w:p>
            <w:pPr>
              <w:pStyle w:val="Compact"/>
              <w:jc w:val="left"/>
            </w:pPr>
            <w:r>
              <w:t xml:space="preserve">Coaching-plan template</w:t>
            </w:r>
          </w:p>
        </w:tc>
        <w:tc>
          <w:tcPr/>
          <w:p>
            <w:pPr>
              <w:pStyle w:val="Compact"/>
              <w:jc w:val="left"/>
            </w:pPr>
            <w:r>
              <w:t xml:space="preserve">Completed per-supervisor coaching plans</w:t>
            </w:r>
          </w:p>
        </w:tc>
        <w:tc>
          <w:tcPr/>
          <w:p>
            <w:pPr>
              <w:pStyle w:val="Compact"/>
              <w:jc w:val="left"/>
            </w:pPr>
            <w:r>
              <w:t xml:space="preserve">Cutover team; Steering Committee (go/no-go decision); end users.</w:t>
            </w:r>
          </w:p>
        </w:tc>
      </w:tr>
    </w:tbl>
    <w:p>
      <w:pPr>
        <w:pStyle w:val="BodyText"/>
      </w:pPr>
      <w:r>
        <w:rPr>
          <w:iCs/>
          <w:i/>
        </w:rPr>
        <w:t xml:space="preserve">Technique detail for this step.</w:t>
      </w:r>
    </w:p>
    <w:tbl>
      <w:tblPr>
        <w:tblStyle w:val="Table"/>
        <w:tblW w:type="pct" w:w="4937"/>
        <w:tblLook w:firstRow="1" w:lastRow="0" w:firstColumn="0" w:lastColumn="0" w:noHBand="0" w:noVBand="0" w:val="0020"/>
        <w:jc w:val="start"/>
      </w:tblPr>
      <w:tblGrid>
        <w:gridCol w:w="1553"/>
        <w:gridCol w:w="626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Coaching-plan template</w:t>
            </w:r>
          </w:p>
        </w:tc>
      </w:tr>
      <w:tr>
        <w:tc>
          <w:tcPr/>
          <w:p>
            <w:pPr>
              <w:pStyle w:val="Compact"/>
              <w:jc w:val="left"/>
            </w:pPr>
            <w:r>
              <w:t xml:space="preserve">Technique Goal</w:t>
            </w:r>
          </w:p>
        </w:tc>
        <w:tc>
          <w:tcPr/>
          <w:p>
            <w:pPr>
              <w:pStyle w:val="Compact"/>
              <w:jc w:val="left"/>
            </w:pPr>
            <w:r>
              <w:t xml:space="preserve">Give each supervisor a concrete, per-cohort coaching plan.</w:t>
            </w:r>
          </w:p>
        </w:tc>
      </w:tr>
      <w:tr>
        <w:tc>
          <w:tcPr/>
          <w:p>
            <w:pPr>
              <w:pStyle w:val="Compact"/>
              <w:jc w:val="left"/>
            </w:pPr>
            <w:r>
              <w:t xml:space="preserve">Technique Details</w:t>
            </w:r>
          </w:p>
        </w:tc>
        <w:tc>
          <w:tcPr/>
          <w:p>
            <w:pPr>
              <w:pStyle w:val="Compact"/>
              <w:jc w:val="left"/>
            </w:pPr>
            <w:r>
              <w:t xml:space="preserve">A fill-in template listing each supervisor's team, known risk individuals, and the specific process steps to watch first.</w:t>
            </w:r>
          </w:p>
        </w:tc>
      </w:tr>
      <w:tr>
        <w:tc>
          <w:tcPr/>
          <w:p>
            <w:pPr>
              <w:pStyle w:val="Compact"/>
              <w:jc w:val="left"/>
            </w:pPr>
            <w:r>
              <w:t xml:space="preserve">Recommended Open-Source Tool</w:t>
            </w:r>
          </w:p>
        </w:tc>
        <w:tc>
          <w:tcPr/>
          <w:p>
            <w:pPr>
              <w:pStyle w:val="Compact"/>
              <w:jc w:val="left"/>
            </w:pPr>
            <w:r>
              <w:t xml:space="preserve">LibreOffice Writer template</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SUP</w:t>
            </w:r>
          </w:p>
        </w:tc>
        <w:tc>
          <w:tcPr/>
          <w:p>
            <w:pPr>
              <w:pStyle w:val="Compact"/>
              <w:jc w:val="left"/>
            </w:pPr>
            <w:r>
              <w:t xml:space="preserve">PM</w:t>
            </w:r>
          </w:p>
        </w:tc>
        <w:tc>
          <w:tcPr/>
          <w:p>
            <w:pPr>
              <w:pStyle w:val="Compact"/>
              <w:jc w:val="left"/>
            </w:pPr>
            <w:r>
              <w:t xml:space="preserve">ES, FPO, ITL, EU</w:t>
            </w:r>
          </w:p>
        </w:tc>
      </w:tr>
    </w:tbl>
    <w:p>
      <w:pPr>
        <w:pStyle w:val="BodyText"/>
      </w:pPr>
      <w:r>
        <w:rPr>
          <w:bCs/>
          <w:b/>
          <w:color w:val="3F827B"/>
          <w:sz w:val="24"/>
        </w:rPr>
        <w:t xml:space="preserve">Task 5 — [JOINT] Confirm go/no-go readiness by cohort against benchmarking bands</w:t>
      </w:r>
    </w:p>
    <w:p>
      <w:pPr>
        <w:pStyle w:val="BodyText"/>
      </w:pPr>
      <w:r>
        <w:rPr>
          <w:bCs/>
          <w:b/>
        </w:rPr>
        <w:t xml:space="preserve">journi:</w:t>
      </w:r>
      <w:r>
        <w:t xml:space="preserve"> </w:t>
      </w:r>
      <w:r>
        <w:rPr>
          <w:iCs/>
          <w:i/>
        </w:rPr>
        <w:t xml:space="preserve">This is entered/updated in journi — M14.</w:t>
      </w:r>
    </w:p>
    <w:p>
      <w:pPr>
        <w:pStyle w:val="BodyText"/>
      </w:pPr>
      <w:r>
        <w:rPr>
          <w:bCs/>
          <w:b/>
          <w:color w:val="5A8F89"/>
          <w:sz w:val="22"/>
        </w:rPr>
        <w:t xml:space="preserve">Step 1 — Review the readiness scorecards</w:t>
      </w:r>
    </w:p>
    <w:p>
      <w:pPr>
        <w:pStyle w:val="BodyText"/>
      </w:pPr>
      <w:r>
        <w:t xml:space="preserve">Comparing every cohort against the same benchmarking band, rather than eyeballing each score in isolation, is what keeps the go/no-go decision consistent across the program.</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2233"/>
        <w:gridCol w:w="3223"/>
        <w:gridCol w:w="736"/>
        <w:gridCol w:w="761"/>
        <w:gridCol w:w="91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Training Lead; Functional Process Owners (content validation); Frontline Supervisors.</w:t>
            </w:r>
          </w:p>
        </w:tc>
        <w:tc>
          <w:tcPr/>
          <w:p>
            <w:pPr>
              <w:pStyle w:val="Compact"/>
              <w:jc w:val="left"/>
            </w:pPr>
            <w:r>
              <w:t xml:space="preserve">Approved training curriculum; job aids and quick-reference guides; train-the-trainer materials; go-live readiness checklist.</w:t>
            </w:r>
          </w:p>
        </w:tc>
        <w:tc>
          <w:tcPr/>
          <w:p>
            <w:pPr>
              <w:pStyle w:val="Compact"/>
              <w:jc w:val="left"/>
            </w:pPr>
            <w:r>
              <w:t xml:space="preserve">Readiness scorecard review</w:t>
            </w:r>
          </w:p>
        </w:tc>
        <w:tc>
          <w:tcPr/>
          <w:p>
            <w:pPr>
              <w:pStyle w:val="Compact"/>
              <w:jc w:val="left"/>
            </w:pPr>
            <w:r>
              <w:t xml:space="preserve">Cohort readiness scorecards</w:t>
            </w:r>
          </w:p>
        </w:tc>
        <w:tc>
          <w:tcPr/>
          <w:p>
            <w:pPr>
              <w:pStyle w:val="Compact"/>
              <w:jc w:val="left"/>
            </w:pPr>
            <w:r>
              <w:t xml:space="preserve">Step 2 (Formal go/no-go workshop)</w:t>
            </w:r>
          </w:p>
        </w:tc>
      </w:tr>
    </w:tbl>
    <w:p>
      <w:pPr>
        <w:pStyle w:val="BodyText"/>
      </w:pPr>
      <w:r>
        <w:rPr>
          <w:iCs/>
          <w:i/>
        </w:rPr>
        <w:t xml:space="preserve">Technique detail for this step.</w:t>
      </w:r>
    </w:p>
    <w:tbl>
      <w:tblPr>
        <w:tblStyle w:val="Table"/>
        <w:tblW w:type="pct" w:w="4937"/>
        <w:tblLook w:firstRow="1" w:lastRow="0" w:firstColumn="0" w:lastColumn="0" w:noHBand="0" w:noVBand="0" w:val="0020"/>
        <w:jc w:val="start"/>
      </w:tblPr>
      <w:tblGrid>
        <w:gridCol w:w="1544"/>
        <w:gridCol w:w="627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Readiness scorecard review</w:t>
            </w:r>
          </w:p>
        </w:tc>
      </w:tr>
      <w:tr>
        <w:tc>
          <w:tcPr/>
          <w:p>
            <w:pPr>
              <w:pStyle w:val="Compact"/>
              <w:jc w:val="left"/>
            </w:pPr>
            <w:r>
              <w:t xml:space="preserve">Technique Goal</w:t>
            </w:r>
          </w:p>
        </w:tc>
        <w:tc>
          <w:tcPr/>
          <w:p>
            <w:pPr>
              <w:pStyle w:val="Compact"/>
              <w:jc w:val="left"/>
            </w:pPr>
            <w:r>
              <w:t xml:space="preserve">Compare cohort scores against the M14 benchmarking bands.</w:t>
            </w:r>
          </w:p>
        </w:tc>
      </w:tr>
      <w:tr>
        <w:tc>
          <w:tcPr/>
          <w:p>
            <w:pPr>
              <w:pStyle w:val="Compact"/>
              <w:jc w:val="left"/>
            </w:pPr>
            <w:r>
              <w:t xml:space="preserve">Technique Details</w:t>
            </w:r>
          </w:p>
        </w:tc>
        <w:tc>
          <w:tcPr/>
          <w:p>
            <w:pPr>
              <w:pStyle w:val="Compact"/>
              <w:jc w:val="left"/>
            </w:pPr>
            <w:r>
              <w:t xml:space="preserve">Compile each cohort's Knowledge, Ability, and Composite Readiness Index against the benchmarking bands into one scorecard.</w:t>
            </w:r>
          </w:p>
        </w:tc>
      </w:tr>
      <w:tr>
        <w:tc>
          <w:tcPr/>
          <w:p>
            <w:pPr>
              <w:pStyle w:val="Compact"/>
              <w:jc w:val="left"/>
            </w:pPr>
            <w:r>
              <w:t xml:space="preserve">Recommended Open-Source Tool</w:t>
            </w:r>
          </w:p>
        </w:tc>
        <w:tc>
          <w:tcPr/>
          <w:p>
            <w:pPr>
              <w:pStyle w:val="Compact"/>
              <w:jc w:val="left"/>
            </w:pPr>
            <w:r>
              <w:t xml:space="preserve">Metabase</w:t>
            </w:r>
          </w:p>
        </w:tc>
      </w:tr>
    </w:tbl>
    <w:p>
      <w:pPr>
        <w:pStyle w:val="BodyText"/>
      </w:pPr>
      <w:r>
        <w:rPr>
          <w:bCs/>
          <w:b/>
        </w:rPr>
        <w:t xml:space="preserve">journi:</w:t>
      </w:r>
      <w:r>
        <w:t xml:space="preserve"> </w:t>
      </w:r>
      <w:r>
        <w:rPr>
          <w:iCs/>
          <w:i/>
        </w:rPr>
        <w:t xml:space="preserve">This is entered/updated in journi — M14 — Metrics &amp; Analytics Dashboard (Benchmarking tab).</w:t>
      </w:r>
    </w:p>
    <w:p>
      <w:pPr>
        <w:pStyle w:val="BodyText"/>
      </w:pPr>
      <w:r>
        <w:rPr>
          <w:bCs/>
          <w:b/>
          <w:color w:val="5A8F89"/>
          <w:sz w:val="22"/>
        </w:rPr>
        <w:t xml:space="preserve">Step 2 — Hold the go/no-go workshop</w:t>
      </w:r>
    </w:p>
    <w:p>
      <w:pPr>
        <w:pStyle w:val="BodyText"/>
      </w:pPr>
      <w:r>
        <w:t xml:space="preserve">Deciding cohort by cohort, rather than as a single blended call, is what lets a strong cohort proceed on schedule while a weaker one gets a short, targeted extension instead of dragging the whole program.</w:t>
      </w:r>
    </w:p>
    <w:p>
      <w:pPr>
        <w:pStyle w:val="BodyText"/>
      </w:pPr>
      <w:r>
        <w:rPr>
          <w:iCs/>
          <w:i/>
        </w:rPr>
        <w:t xml:space="preserve">SIPOC for this step.</w:t>
      </w:r>
    </w:p>
    <w:tbl>
      <w:tblPr>
        <w:tblStyle w:val="Table"/>
        <w:tblW w:type="pct" w:w="4953"/>
        <w:tblLook w:firstRow="1" w:lastRow="0" w:firstColumn="0" w:lastColumn="0" w:noHBand="0" w:noVBand="0" w:val="0020"/>
        <w:jc w:val="start"/>
      </w:tblPr>
      <w:tblGrid>
        <w:gridCol w:w="1784"/>
        <w:gridCol w:w="1115"/>
        <w:gridCol w:w="1003"/>
        <w:gridCol w:w="1450"/>
        <w:gridCol w:w="249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(Readiness scorecard review)</w:t>
            </w:r>
          </w:p>
        </w:tc>
        <w:tc>
          <w:tcPr/>
          <w:p>
            <w:pPr>
              <w:pStyle w:val="Compact"/>
              <w:jc w:val="left"/>
            </w:pPr>
            <w:r>
              <w:t xml:space="preserve">Cohort readiness scorecards</w:t>
            </w:r>
          </w:p>
        </w:tc>
        <w:tc>
          <w:tcPr/>
          <w:p>
            <w:pPr>
              <w:pStyle w:val="Compact"/>
              <w:jc w:val="left"/>
            </w:pPr>
            <w:r>
              <w:t xml:space="preserve">Formal go/no-go workshop</w:t>
            </w:r>
          </w:p>
        </w:tc>
        <w:tc>
          <w:tcPr/>
          <w:p>
            <w:pPr>
              <w:pStyle w:val="Compact"/>
              <w:jc w:val="left"/>
            </w:pPr>
            <w:r>
              <w:t xml:space="preserve">Documented cohort go/no-go decisions</w:t>
            </w:r>
          </w:p>
        </w:tc>
        <w:tc>
          <w:tcPr/>
          <w:p>
            <w:pPr>
              <w:pStyle w:val="Compact"/>
              <w:jc w:val="left"/>
            </w:pPr>
            <w:r>
              <w:t xml:space="preserve">Cutover team; Steering Committee (go/no-go decision); end users.</w:t>
            </w:r>
          </w:p>
        </w:tc>
      </w:tr>
    </w:tbl>
    <w:p>
      <w:pPr>
        <w:pStyle w:val="BodyText"/>
      </w:pPr>
      <w:r>
        <w:rPr>
          <w:iCs/>
          <w:i/>
        </w:rPr>
        <w:t xml:space="preserve">Technique detail for this step.</w:t>
      </w:r>
    </w:p>
    <w:tbl>
      <w:tblPr>
        <w:tblStyle w:val="Table"/>
        <w:tblW w:type="pct" w:w="4938"/>
        <w:tblLook w:firstRow="1" w:lastRow="0" w:firstColumn="0" w:lastColumn="0" w:noHBand="0" w:noVBand="0" w:val="0020"/>
        <w:jc w:val="start"/>
      </w:tblPr>
      <w:tblGrid>
        <w:gridCol w:w="1524"/>
        <w:gridCol w:w="629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Formal go/no-go workshop</w:t>
            </w:r>
          </w:p>
        </w:tc>
      </w:tr>
      <w:tr>
        <w:tc>
          <w:tcPr/>
          <w:p>
            <w:pPr>
              <w:pStyle w:val="Compact"/>
              <w:jc w:val="left"/>
            </w:pPr>
            <w:r>
              <w:t xml:space="preserve">Technique Goal</w:t>
            </w:r>
          </w:p>
        </w:tc>
        <w:tc>
          <w:tcPr/>
          <w:p>
            <w:pPr>
              <w:pStyle w:val="Compact"/>
              <w:jc w:val="left"/>
            </w:pPr>
            <w:r>
              <w:t xml:space="preserve">Gain explicit Sponsor sign-off, cohort by cohort.</w:t>
            </w:r>
          </w:p>
        </w:tc>
      </w:tr>
      <w:tr>
        <w:tc>
          <w:tcPr/>
          <w:p>
            <w:pPr>
              <w:pStyle w:val="Compact"/>
              <w:jc w:val="left"/>
            </w:pPr>
            <w:r>
              <w:t xml:space="preserve">Technique Details</w:t>
            </w:r>
          </w:p>
        </w:tc>
        <w:tc>
          <w:tcPr/>
          <w:p>
            <w:pPr>
              <w:pStyle w:val="Compact"/>
              <w:jc w:val="left"/>
            </w:pPr>
            <w:r>
              <w:t xml:space="preserve">Present each cohort's scorecard to the Sponsor and FPOs; record an explicit go / no-go / conditional-go decision per cohort.</w:t>
            </w:r>
          </w:p>
        </w:tc>
      </w:tr>
      <w:tr>
        <w:tc>
          <w:tcPr/>
          <w:p>
            <w:pPr>
              <w:pStyle w:val="Compact"/>
              <w:jc w:val="left"/>
            </w:pPr>
            <w:r>
              <w:t xml:space="preserve">Recommended Open-Source Tool</w:t>
            </w:r>
          </w:p>
        </w:tc>
        <w:tc>
          <w:tcPr/>
          <w:p>
            <w:pPr>
              <w:pStyle w:val="Compact"/>
              <w:jc w:val="left"/>
            </w:pPr>
            <w:r>
              <w:t xml:space="preserve">OpenProject (decision log)</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PM</w:t>
            </w:r>
          </w:p>
        </w:tc>
        <w:tc>
          <w:tcPr/>
          <w:p>
            <w:pPr>
              <w:pStyle w:val="Compact"/>
              <w:jc w:val="left"/>
            </w:pPr>
            <w:r>
              <w:t xml:space="preserve">ES</w:t>
            </w:r>
          </w:p>
        </w:tc>
        <w:tc>
          <w:tcPr/>
          <w:p>
            <w:pPr>
              <w:pStyle w:val="Compact"/>
              <w:jc w:val="left"/>
            </w:pPr>
            <w:r>
              <w:t xml:space="preserve">FPO, SUP</w:t>
            </w:r>
          </w:p>
        </w:tc>
        <w:tc>
          <w:tcPr/>
          <w:p>
            <w:pPr>
              <w:pStyle w:val="Compact"/>
              <w:jc w:val="left"/>
            </w:pPr>
            <w:r>
              <w:t xml:space="preserve">ITL</w:t>
            </w:r>
          </w:p>
        </w:tc>
        <w:tc>
          <w:tcPr/>
          <w:p>
            <w:pPr>
              <w:pStyle w:val="Compact"/>
              <w:jc w:val="left"/>
            </w:pPr>
            <w:r>
              <w:t xml:space="preserve">EU</w:t>
            </w:r>
          </w:p>
        </w:tc>
      </w:tr>
    </w:tbl>
    <w:p>
      <w:pPr>
        <w:pStyle w:val="BodyText"/>
      </w:pPr>
      <w:r>
        <w:rPr>
          <w:bCs/>
          <w:b/>
          <w:color w:val="275650"/>
          <w:sz w:val="27"/>
        </w:rPr>
        <w:t xml:space="preserve">6.6 Phase 6 — Cutover &amp; Go-Live (Week 37)</w:t>
      </w:r>
    </w:p>
    <w:p>
      <w:pPr>
        <w:pStyle w:val="BodyText"/>
      </w:pPr>
      <w:r>
        <w:t xml:space="preserve">The sharpest instance of the two-clock problem: a single-day organizational milestone layered on an emotional clock that does not move that fast (Exception E3).</w:t>
      </w:r>
    </w:p>
    <w:p>
      <w:pPr>
        <w:pStyle w:val="BodyText"/>
      </w:pPr>
      <w:r>
        <w:rPr>
          <w:bCs/>
          <w:b/>
        </w:rPr>
        <w:t xml:space="preserve">Timeline</w:t>
      </w:r>
    </w:p>
    <w:tbl>
      <w:tblPr>
        <w:tblStyle w:val="Table"/>
        <w:tblW w:type="pct" w:w="4928"/>
        <w:tblLook w:firstRow="1" w:lastRow="0" w:firstColumn="0" w:lastColumn="0" w:noHBand="0" w:noVBand="0" w:val="0020"/>
        <w:jc w:val="start"/>
      </w:tblPr>
      <w:tblGrid>
        <w:gridCol w:w="740"/>
        <w:gridCol w:w="5071"/>
        <w:gridCol w:w="1139"/>
        <w:gridCol w:w="854"/>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Owner(s)</w:t>
            </w:r>
          </w:p>
        </w:tc>
      </w:tr>
      <w:tr>
        <w:tc>
          <w:tcPr/>
          <w:p>
            <w:pPr>
              <w:pStyle w:val="Compact"/>
              <w:jc w:val="left"/>
            </w:pPr>
            <w:r>
              <w:t xml:space="preserve">W37 — D1</w:t>
            </w:r>
          </w:p>
        </w:tc>
        <w:tc>
          <w:tcPr/>
          <w:p>
            <w:pPr>
              <w:pStyle w:val="Compact"/>
              <w:jc w:val="left"/>
            </w:pPr>
            <w:r>
              <w:t xml:space="preserve">Execute the data freeze and final migration; run the cutover runbook.</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W37 — D1</w:t>
            </w:r>
          </w:p>
        </w:tc>
        <w:tc>
          <w:tcPr/>
          <w:p>
            <w:pPr>
              <w:pStyle w:val="Compact"/>
              <w:jc w:val="left"/>
            </w:pPr>
            <w:r>
              <w:t xml:space="preserve">Decommission or lock legacy system access per plan.</w:t>
            </w:r>
          </w:p>
        </w:tc>
        <w:tc>
          <w:tcPr/>
          <w:p>
            <w:pPr>
              <w:pStyle w:val="Compact"/>
              <w:jc w:val="left"/>
            </w:pPr>
            <w:r>
              <w:t xml:space="preserve">—</w:t>
            </w:r>
          </w:p>
        </w:tc>
        <w:tc>
          <w:tcPr/>
          <w:p>
            <w:pPr>
              <w:pStyle w:val="Compact"/>
              <w:jc w:val="left"/>
            </w:pPr>
            <w:r>
              <w:t xml:space="preserve">ITL</w:t>
            </w:r>
          </w:p>
        </w:tc>
      </w:tr>
      <w:tr>
        <w:tc>
          <w:tcPr/>
          <w:p>
            <w:pPr>
              <w:pStyle w:val="Compact"/>
              <w:jc w:val="left"/>
            </w:pPr>
            <w:r>
              <w:t xml:space="preserve">W37 — D1</w:t>
            </w:r>
          </w:p>
        </w:tc>
        <w:tc>
          <w:tcPr/>
          <w:p>
            <w:pPr>
              <w:pStyle w:val="Compact"/>
              <w:jc w:val="left"/>
            </w:pPr>
            <w:r>
              <w:t xml:space="preserve">Communicate go-live confirmation to all cohorts.</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W37 — D1</w:t>
            </w:r>
          </w:p>
        </w:tc>
        <w:tc>
          <w:tcPr/>
          <w:p>
            <w:pPr>
              <w:pStyle w:val="Compact"/>
              <w:jc w:val="left"/>
            </w:pPr>
            <w:r>
              <w:t xml:space="preserve">Activate the hypercare support model; mark Lewin as</w:t>
            </w:r>
            <w:r>
              <w:t xml:space="preserve"> </w:t>
            </w:r>
            <w:r>
              <w:t xml:space="preserve">“</w:t>
            </w:r>
            <w:r>
              <w:t xml:space="preserve">Change → Refreeze (provisional)</w:t>
            </w:r>
            <w:r>
              <w:t xml:space="preserve">”</w:t>
            </w:r>
            <w:r>
              <w:t xml:space="preserve">.</w:t>
            </w:r>
          </w:p>
        </w:tc>
        <w:tc>
          <w:tcPr/>
          <w:p>
            <w:pPr>
              <w:pStyle w:val="Compact"/>
              <w:jc w:val="left"/>
            </w:pPr>
            <w:r>
              <w:t xml:space="preserve">M3 CM, SU</w:t>
            </w:r>
          </w:p>
        </w:tc>
        <w:tc>
          <w:tcPr/>
          <w:p>
            <w:pPr>
              <w:pStyle w:val="Compact"/>
              <w:jc w:val="left"/>
            </w:pPr>
            <w:r>
              <w:t xml:space="preserve">P</w:t>
            </w:r>
          </w:p>
        </w:tc>
      </w:tr>
    </w:tbl>
    <w:p>
      <w:pPr>
        <w:pStyle w:val="BodyText"/>
      </w:pPr>
      <w:r>
        <w:rPr>
          <w:iCs/>
          <w:i/>
        </w:rPr>
        <w:t xml:space="preserve">Week-by-week timeline for Phase 6 — Cutover &amp; Go-Live.</w:t>
      </w:r>
    </w:p>
    <w:p>
      <w:pPr>
        <w:pStyle w:val="BodyText"/>
      </w:pPr>
      <w:r>
        <w:rPr>
          <w:bCs/>
          <w:b/>
        </w:rPr>
        <w:t xml:space="preserve">SIPOC</w:t>
      </w:r>
    </w:p>
    <w:tbl>
      <w:tblPr>
        <w:tblStyle w:val="Table"/>
        <w:tblW w:type="pct" w:w="4966"/>
        <w:tblLook w:firstRow="1" w:lastRow="0" w:firstColumn="0" w:lastColumn="0" w:noHBand="0" w:noVBand="0" w:val="0020"/>
        <w:jc w:val="start"/>
      </w:tblPr>
      <w:tblGrid>
        <w:gridCol w:w="1436"/>
        <w:gridCol w:w="1903"/>
        <w:gridCol w:w="1149"/>
        <w:gridCol w:w="2244"/>
        <w:gridCol w:w="113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Program Manager; Executive Sponsor (go/no-go authority).</w:t>
            </w:r>
          </w:p>
        </w:tc>
        <w:tc>
          <w:tcPr/>
          <w:p>
            <w:pPr>
              <w:pStyle w:val="Compact"/>
              <w:jc w:val="left"/>
            </w:pPr>
            <w:r>
              <w:t xml:space="preserve">Final go/no-go readiness call; data-freeze confirmation; cutover runbook; hypercare support-model plan.</w:t>
            </w:r>
          </w:p>
        </w:tc>
        <w:tc>
          <w:tcPr/>
          <w:p>
            <w:pPr>
              <w:jc w:val="left"/>
            </w:pPr>
            <w:r>
              <w:t xml:space="preserve">1. Execute the data freeze and final migration</w:t>
            </w:r>
          </w:p>
          <w:p>
            <w:pPr>
              <w:jc w:val="left"/>
            </w:pPr>
            <w:r>
              <w:t xml:space="preserve">2. Run the cutover runbook and technical validation checks</w:t>
            </w:r>
          </w:p>
          <w:p>
            <w:pPr>
              <w:jc w:val="left"/>
            </w:pPr>
            <w:r>
              <w:t xml:space="preserve">3. Decommission or lock access to the legacy system per plan</w:t>
            </w:r>
          </w:p>
          <w:p>
            <w:pPr>
              <w:jc w:val="left"/>
            </w:pPr>
            <w:r>
              <w:t xml:space="preserve">4. Communicate go-live confirmation to all cohorts</w:t>
            </w:r>
          </w:p>
          <w:p>
            <w:pPr>
              <w:jc w:val="left"/>
            </w:pPr>
            <w:r>
              <w:t xml:space="preserve">5. Activate the hypercare support model on Day 1</w:t>
            </w:r>
          </w:p>
        </w:tc>
        <w:tc>
          <w:tcPr/>
          <w:p>
            <w:pPr>
              <w:pStyle w:val="Compact"/>
              <w:jc w:val="left"/>
            </w:pPr>
            <w:r>
              <w:t xml:space="preserve">Live production system; legacy system locked / decommissioned; go-live communication sent; active hypercare support model.</w:t>
            </w:r>
          </w:p>
        </w:tc>
        <w:tc>
          <w:tcPr/>
          <w:p>
            <w:pPr>
              <w:pStyle w:val="Compact"/>
              <w:jc w:val="left"/>
            </w:pPr>
            <w:r>
              <w:t xml:space="preserve">All end users; hypercare / support team; Steering Committee.</w:t>
            </w:r>
          </w:p>
        </w:tc>
      </w:tr>
    </w:tbl>
    <w:p>
      <w:pPr>
        <w:pStyle w:val="BodyText"/>
      </w:pPr>
      <w:r>
        <w:rPr>
          <w:iCs/>
          <w:i/>
        </w:rPr>
        <w:t xml:space="preserve">SIPOC for Phase 6 — Cutover &amp; Go-Live. The Process column lists this phase's five Tasks in sequence.</w:t>
      </w:r>
    </w:p>
    <w:p>
      <w:pPr>
        <w:pStyle w:val="BodyText"/>
      </w:pPr>
      <w:r>
        <w:rPr>
          <w:bCs/>
          <w:b/>
        </w:rPr>
        <w:t xml:space="preserve">Tasks, Steps, Techniques &amp; RACSI</w:t>
      </w:r>
    </w:p>
    <w:p>
      <w:pPr>
        <w:pStyle w:val="BodyText"/>
      </w:pPr>
      <w:r>
        <w:rPr>
          <w:bCs/>
          <w:b/>
          <w:color w:val="3F827B"/>
          <w:sz w:val="24"/>
        </w:rPr>
        <w:t xml:space="preserve">Task 1 — [PROJECT] Execute the data freeze and final migration</w:t>
      </w:r>
    </w:p>
    <w:p>
      <w:pPr>
        <w:pStyle w:val="BodyText"/>
      </w:pPr>
      <w:r>
        <w:rPr>
          <w:bCs/>
          <w:b/>
          <w:color w:val="5A8F89"/>
          <w:sz w:val="22"/>
        </w:rPr>
        <w:t xml:space="preserve">Step 1 — Lock the data freeze</w:t>
      </w:r>
    </w:p>
    <w:p>
      <w:pPr>
        <w:pStyle w:val="BodyText"/>
      </w:pPr>
      <w:r>
        <w:t xml:space="preserve">A migration run against a source system that is still being edited produces a mismatch that reconciliation cannot fix after the fact, which is why the freeze has to be confirmed in writing.</w:t>
      </w:r>
    </w:p>
    <w:p>
      <w:pPr>
        <w:pStyle w:val="BodyText"/>
      </w:pPr>
      <w:r>
        <w:rPr>
          <w:iCs/>
          <w:i/>
        </w:rPr>
        <w:t xml:space="preserve">SIPOC for this step.</w:t>
      </w:r>
    </w:p>
    <w:tbl>
      <w:tblPr>
        <w:tblStyle w:val="Table"/>
        <w:tblW w:type="pct" w:w="4963"/>
        <w:tblLook w:firstRow="1" w:lastRow="0" w:firstColumn="0" w:lastColumn="0" w:noHBand="0" w:noVBand="0" w:val="0020"/>
        <w:jc w:val="start"/>
      </w:tblPr>
      <w:tblGrid>
        <w:gridCol w:w="2373"/>
        <w:gridCol w:w="3144"/>
        <w:gridCol w:w="711"/>
        <w:gridCol w:w="711"/>
        <w:gridCol w:w="91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Program Manager; Executive Sponsor (go/no-go authority).</w:t>
            </w:r>
          </w:p>
        </w:tc>
        <w:tc>
          <w:tcPr/>
          <w:p>
            <w:pPr>
              <w:pStyle w:val="Compact"/>
              <w:jc w:val="left"/>
            </w:pPr>
            <w:r>
              <w:t xml:space="preserve">Final go/no-go readiness call; data-freeze confirmation; cutover runbook; hypercare support-model plan.</w:t>
            </w:r>
          </w:p>
        </w:tc>
        <w:tc>
          <w:tcPr/>
          <w:p>
            <w:pPr>
              <w:pStyle w:val="Compact"/>
              <w:jc w:val="left"/>
            </w:pPr>
            <w:r>
              <w:t xml:space="preserve">Data-freeze checklist</w:t>
            </w:r>
          </w:p>
        </w:tc>
        <w:tc>
          <w:tcPr/>
          <w:p>
            <w:pPr>
              <w:pStyle w:val="Compact"/>
              <w:jc w:val="left"/>
            </w:pPr>
            <w:r>
              <w:t xml:space="preserve">Confirmed data freeze</w:t>
            </w:r>
          </w:p>
        </w:tc>
        <w:tc>
          <w:tcPr/>
          <w:p>
            <w:pPr>
              <w:pStyle w:val="Compact"/>
              <w:jc w:val="left"/>
            </w:pPr>
            <w:r>
              <w:t xml:space="preserve">Step 2 (Final migration run)</w:t>
            </w:r>
          </w:p>
        </w:tc>
      </w:tr>
    </w:tbl>
    <w:p>
      <w:pPr>
        <w:pStyle w:val="BodyText"/>
      </w:pPr>
      <w:r>
        <w:rPr>
          <w:iCs/>
          <w:i/>
        </w:rPr>
        <w:t xml:space="preserve">Technique detail for this step.</w:t>
      </w:r>
    </w:p>
    <w:tbl>
      <w:tblPr>
        <w:tblStyle w:val="Table"/>
        <w:tblW w:type="pct" w:w="4934"/>
        <w:tblLook w:firstRow="1" w:lastRow="0" w:firstColumn="0" w:lastColumn="0" w:noHBand="0" w:noVBand="0" w:val="0020"/>
        <w:jc w:val="start"/>
      </w:tblPr>
      <w:tblGrid>
        <w:gridCol w:w="1615"/>
        <w:gridCol w:w="6200"/>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Data-freeze checklist</w:t>
            </w:r>
          </w:p>
        </w:tc>
      </w:tr>
      <w:tr>
        <w:tc>
          <w:tcPr/>
          <w:p>
            <w:pPr>
              <w:pStyle w:val="Compact"/>
              <w:jc w:val="left"/>
            </w:pPr>
            <w:r>
              <w:t xml:space="preserve">Technique Goal</w:t>
            </w:r>
          </w:p>
        </w:tc>
        <w:tc>
          <w:tcPr/>
          <w:p>
            <w:pPr>
              <w:pStyle w:val="Compact"/>
              <w:jc w:val="left"/>
            </w:pPr>
            <w:r>
              <w:t xml:space="preserve">Lock source-system changes at the agreed cut-off.</w:t>
            </w:r>
          </w:p>
        </w:tc>
      </w:tr>
      <w:tr>
        <w:tc>
          <w:tcPr/>
          <w:p>
            <w:pPr>
              <w:pStyle w:val="Compact"/>
              <w:jc w:val="left"/>
            </w:pPr>
            <w:r>
              <w:t xml:space="preserve">Technique Details</w:t>
            </w:r>
          </w:p>
        </w:tc>
        <w:tc>
          <w:tcPr/>
          <w:p>
            <w:pPr>
              <w:pStyle w:val="Compact"/>
              <w:jc w:val="left"/>
            </w:pPr>
            <w:r>
              <w:t xml:space="preserve">Notify all source-system owners of the freeze window and lock write access at the agreed time, confirmed in writing.</w:t>
            </w:r>
          </w:p>
        </w:tc>
      </w:tr>
      <w:tr>
        <w:tc>
          <w:tcPr/>
          <w:p>
            <w:pPr>
              <w:pStyle w:val="Compact"/>
              <w:jc w:val="left"/>
            </w:pPr>
            <w:r>
              <w:t xml:space="preserve">Recommended Open-Source Tool</w:t>
            </w:r>
          </w:p>
        </w:tc>
        <w:tc>
          <w:tcPr/>
          <w:p>
            <w:pPr>
              <w:pStyle w:val="Compact"/>
              <w:jc w:val="left"/>
            </w:pPr>
            <w:r>
              <w:t xml:space="preserve">Rundeck</w:t>
            </w:r>
          </w:p>
        </w:tc>
      </w:tr>
    </w:tbl>
    <w:p>
      <w:pPr>
        <w:pStyle w:val="BodyText"/>
      </w:pPr>
      <w:r>
        <w:rPr>
          <w:bCs/>
          <w:b/>
          <w:color w:val="5A8F89"/>
          <w:sz w:val="22"/>
        </w:rPr>
        <w:t xml:space="preserve">Step 2 — Run the final migration</w:t>
      </w:r>
    </w:p>
    <w:p>
      <w:pPr>
        <w:pStyle w:val="BodyText"/>
      </w:pPr>
      <w:r>
        <w:t xml:space="preserve">Everything rehearsed in the Phase 3 mock runs is executed for real here, against the live production environment, with no second chance if a step is skipped.</w:t>
      </w:r>
    </w:p>
    <w:p>
      <w:pPr>
        <w:pStyle w:val="BodyText"/>
      </w:pPr>
      <w:r>
        <w:rPr>
          <w:iCs/>
          <w:i/>
        </w:rPr>
        <w:t xml:space="preserve">SIPOC for this step.</w:t>
      </w:r>
    </w:p>
    <w:tbl>
      <w:tblPr>
        <w:tblStyle w:val="Table"/>
        <w:tblW w:type="pct" w:w="4947"/>
        <w:tblLook w:firstRow="1" w:lastRow="0" w:firstColumn="0" w:lastColumn="0" w:noHBand="0" w:noVBand="0" w:val="0020"/>
        <w:jc w:val="start"/>
      </w:tblPr>
      <w:tblGrid>
        <w:gridCol w:w="1821"/>
        <w:gridCol w:w="1016"/>
        <w:gridCol w:w="931"/>
        <w:gridCol w:w="1397"/>
        <w:gridCol w:w="266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(Data-freeze checklist)</w:t>
            </w:r>
          </w:p>
        </w:tc>
        <w:tc>
          <w:tcPr/>
          <w:p>
            <w:pPr>
              <w:pStyle w:val="Compact"/>
              <w:jc w:val="left"/>
            </w:pPr>
            <w:r>
              <w:t xml:space="preserve">Confirmed data freeze</w:t>
            </w:r>
          </w:p>
        </w:tc>
        <w:tc>
          <w:tcPr/>
          <w:p>
            <w:pPr>
              <w:pStyle w:val="Compact"/>
              <w:jc w:val="left"/>
            </w:pPr>
            <w:r>
              <w:t xml:space="preserve">Final migration run</w:t>
            </w:r>
          </w:p>
        </w:tc>
        <w:tc>
          <w:tcPr/>
          <w:p>
            <w:pPr>
              <w:pStyle w:val="Compact"/>
              <w:jc w:val="left"/>
            </w:pPr>
            <w:r>
              <w:t xml:space="preserve">Completed production data load</w:t>
            </w:r>
          </w:p>
        </w:tc>
        <w:tc>
          <w:tcPr/>
          <w:p>
            <w:pPr>
              <w:pStyle w:val="Compact"/>
              <w:jc w:val="left"/>
            </w:pPr>
            <w:r>
              <w:t xml:space="preserve">All end users; hypercare / support team; Steering Committee.</w:t>
            </w:r>
          </w:p>
        </w:tc>
      </w:tr>
    </w:tbl>
    <w:p>
      <w:pPr>
        <w:pStyle w:val="BodyText"/>
      </w:pPr>
      <w:r>
        <w:rPr>
          <w:iCs/>
          <w:i/>
        </w:rPr>
        <w:t xml:space="preserve">Technique detail for this step.</w:t>
      </w:r>
    </w:p>
    <w:tbl>
      <w:tblPr>
        <w:tblStyle w:val="Table"/>
        <w:tblW w:type="pct" w:w="4935"/>
        <w:tblLook w:firstRow="1" w:lastRow="0" w:firstColumn="0" w:lastColumn="0" w:noHBand="0" w:noVBand="0" w:val="0020"/>
        <w:jc w:val="start"/>
      </w:tblPr>
      <w:tblGrid>
        <w:gridCol w:w="1604"/>
        <w:gridCol w:w="6211"/>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Final migration run</w:t>
            </w:r>
          </w:p>
        </w:tc>
      </w:tr>
      <w:tr>
        <w:tc>
          <w:tcPr/>
          <w:p>
            <w:pPr>
              <w:pStyle w:val="Compact"/>
              <w:jc w:val="left"/>
            </w:pPr>
            <w:r>
              <w:t xml:space="preserve">Technique Goal</w:t>
            </w:r>
          </w:p>
        </w:tc>
        <w:tc>
          <w:tcPr/>
          <w:p>
            <w:pPr>
              <w:pStyle w:val="Compact"/>
              <w:jc w:val="left"/>
            </w:pPr>
            <w:r>
              <w:t xml:space="preserve">Execute the production data load.</w:t>
            </w:r>
          </w:p>
        </w:tc>
      </w:tr>
      <w:tr>
        <w:tc>
          <w:tcPr/>
          <w:p>
            <w:pPr>
              <w:pStyle w:val="Compact"/>
              <w:jc w:val="left"/>
            </w:pPr>
            <w:r>
              <w:t xml:space="preserve">Technique Details</w:t>
            </w:r>
          </w:p>
        </w:tc>
        <w:tc>
          <w:tcPr/>
          <w:p>
            <w:pPr>
              <w:pStyle w:val="Compact"/>
              <w:jc w:val="left"/>
            </w:pPr>
            <w:r>
              <w:t xml:space="preserve">Run the rehearsed migration flows against production, with a technical lead monitoring each domain load in real time.</w:t>
            </w:r>
          </w:p>
        </w:tc>
      </w:tr>
      <w:tr>
        <w:tc>
          <w:tcPr/>
          <w:p>
            <w:pPr>
              <w:pStyle w:val="Compact"/>
              <w:jc w:val="left"/>
            </w:pPr>
            <w:r>
              <w:t xml:space="preserve">Recommended Open-Source Tool</w:t>
            </w:r>
          </w:p>
        </w:tc>
        <w:tc>
          <w:tcPr/>
          <w:p>
            <w:pPr>
              <w:pStyle w:val="Compact"/>
              <w:jc w:val="left"/>
            </w:pPr>
            <w:r>
              <w:t xml:space="preserve">Apache NiFi</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ITL</w:t>
            </w:r>
          </w:p>
        </w:tc>
        <w:tc>
          <w:tcPr/>
          <w:p>
            <w:pPr>
              <w:pStyle w:val="Compact"/>
              <w:jc w:val="left"/>
            </w:pPr>
            <w:r>
              <w:t xml:space="preserve">PM</w:t>
            </w:r>
          </w:p>
        </w:tc>
        <w:tc>
          <w:tcPr/>
          <w:p>
            <w:pPr>
              <w:pStyle w:val="Compact"/>
              <w:jc w:val="left"/>
            </w:pPr>
            <w:r>
              <w:t xml:space="preserve">FPO</w:t>
            </w:r>
          </w:p>
        </w:tc>
        <w:tc>
          <w:tcPr/>
          <w:p>
            <w:pPr>
              <w:pStyle w:val="Compact"/>
              <w:jc w:val="left"/>
            </w:pPr>
            <w:r>
              <w:t xml:space="preserve">ES, CM, SUP, EU</w:t>
            </w:r>
          </w:p>
        </w:tc>
      </w:tr>
    </w:tbl>
    <w:p>
      <w:pPr>
        <w:pStyle w:val="BodyText"/>
      </w:pPr>
      <w:r>
        <w:rPr>
          <w:bCs/>
          <w:b/>
          <w:color w:val="3F827B"/>
          <w:sz w:val="24"/>
        </w:rPr>
        <w:t xml:space="preserve">Task 2 — [PROJECT] Run the cutover runbook and technical validation checks</w:t>
      </w:r>
    </w:p>
    <w:p>
      <w:pPr>
        <w:pStyle w:val="BodyText"/>
      </w:pPr>
      <w:r>
        <w:rPr>
          <w:bCs/>
          <w:b/>
          <w:color w:val="5A8F89"/>
          <w:sz w:val="22"/>
        </w:rPr>
        <w:t xml:space="preserve">Step 1 — Execute the cutover runbook</w:t>
      </w:r>
    </w:p>
    <w:p>
      <w:pPr>
        <w:pStyle w:val="BodyText"/>
      </w:pPr>
      <w:r>
        <w:t xml:space="preserve">A second person confirming each step before the next begins is a small discipline that prevents the single most common cutover failure: two people assuming the other already did something.</w:t>
      </w:r>
    </w:p>
    <w:p>
      <w:pPr>
        <w:pStyle w:val="BodyText"/>
      </w:pPr>
      <w:r>
        <w:rPr>
          <w:iCs/>
          <w:i/>
        </w:rPr>
        <w:t xml:space="preserve">SIPOC for this step.</w:t>
      </w:r>
    </w:p>
    <w:tbl>
      <w:tblPr>
        <w:tblStyle w:val="Table"/>
        <w:tblW w:type="pct" w:w="4962"/>
        <w:tblLook w:firstRow="1" w:lastRow="0" w:firstColumn="0" w:lastColumn="0" w:noHBand="0" w:noVBand="0" w:val="0020"/>
        <w:jc w:val="start"/>
      </w:tblPr>
      <w:tblGrid>
        <w:gridCol w:w="2381"/>
        <w:gridCol w:w="3156"/>
        <w:gridCol w:w="595"/>
        <w:gridCol w:w="982"/>
        <w:gridCol w:w="74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Program Manager; Executive Sponsor (go/no-go authority).</w:t>
            </w:r>
          </w:p>
        </w:tc>
        <w:tc>
          <w:tcPr/>
          <w:p>
            <w:pPr>
              <w:pStyle w:val="Compact"/>
              <w:jc w:val="left"/>
            </w:pPr>
            <w:r>
              <w:t xml:space="preserve">Final go/no-go readiness call; data-freeze confirmation; cutover runbook; hypercare support-model plan.</w:t>
            </w:r>
          </w:p>
        </w:tc>
        <w:tc>
          <w:tcPr/>
          <w:p>
            <w:pPr>
              <w:pStyle w:val="Compact"/>
              <w:jc w:val="left"/>
            </w:pPr>
            <w:r>
              <w:t xml:space="preserve">Runbook execution</w:t>
            </w:r>
          </w:p>
        </w:tc>
        <w:tc>
          <w:tcPr/>
          <w:p>
            <w:pPr>
              <w:pStyle w:val="Compact"/>
              <w:jc w:val="left"/>
            </w:pPr>
            <w:r>
              <w:t xml:space="preserve">Completed, timestamped runbook</w:t>
            </w:r>
          </w:p>
        </w:tc>
        <w:tc>
          <w:tcPr/>
          <w:p>
            <w:pPr>
              <w:pStyle w:val="Compact"/>
              <w:jc w:val="left"/>
            </w:pPr>
            <w:r>
              <w:t xml:space="preserve">Step 2 (Smoke testing)</w:t>
            </w:r>
          </w:p>
        </w:tc>
      </w:tr>
    </w:tbl>
    <w:p>
      <w:pPr>
        <w:pStyle w:val="BodyText"/>
      </w:pPr>
      <w:r>
        <w:rPr>
          <w:iCs/>
          <w:i/>
        </w:rPr>
        <w:t xml:space="preserve">Technique detail for this step.</w:t>
      </w:r>
    </w:p>
    <w:tbl>
      <w:tblPr>
        <w:tblStyle w:val="Table"/>
        <w:tblW w:type="pct" w:w="4932"/>
        <w:tblLook w:firstRow="1" w:lastRow="0" w:firstColumn="0" w:lastColumn="0" w:noHBand="0" w:noVBand="0" w:val="0020"/>
        <w:jc w:val="start"/>
      </w:tblPr>
      <w:tblGrid>
        <w:gridCol w:w="1658"/>
        <w:gridCol w:w="615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Runbook execution</w:t>
            </w:r>
          </w:p>
        </w:tc>
      </w:tr>
      <w:tr>
        <w:tc>
          <w:tcPr/>
          <w:p>
            <w:pPr>
              <w:pStyle w:val="Compact"/>
              <w:jc w:val="left"/>
            </w:pPr>
            <w:r>
              <w:t xml:space="preserve">Technique Goal</w:t>
            </w:r>
          </w:p>
        </w:tc>
        <w:tc>
          <w:tcPr/>
          <w:p>
            <w:pPr>
              <w:pStyle w:val="Compact"/>
              <w:jc w:val="left"/>
            </w:pPr>
            <w:r>
              <w:t xml:space="preserve">Sequence every technical cutover task precisely and traceably.</w:t>
            </w:r>
          </w:p>
        </w:tc>
      </w:tr>
      <w:tr>
        <w:tc>
          <w:tcPr/>
          <w:p>
            <w:pPr>
              <w:pStyle w:val="Compact"/>
              <w:jc w:val="left"/>
            </w:pPr>
            <w:r>
              <w:t xml:space="preserve">Technique Details</w:t>
            </w:r>
          </w:p>
        </w:tc>
        <w:tc>
          <w:tcPr/>
          <w:p>
            <w:pPr>
              <w:pStyle w:val="Compact"/>
              <w:jc w:val="left"/>
            </w:pPr>
            <w:r>
              <w:t xml:space="preserve">Execute the runbook task by task with a second person confirming completion of each step before the next begins.</w:t>
            </w:r>
          </w:p>
        </w:tc>
      </w:tr>
      <w:tr>
        <w:tc>
          <w:tcPr/>
          <w:p>
            <w:pPr>
              <w:pStyle w:val="Compact"/>
              <w:jc w:val="left"/>
            </w:pPr>
            <w:r>
              <w:t xml:space="preserve">Recommended Open-Source Tool</w:t>
            </w:r>
          </w:p>
        </w:tc>
        <w:tc>
          <w:tcPr/>
          <w:p>
            <w:pPr>
              <w:pStyle w:val="Compact"/>
              <w:jc w:val="left"/>
            </w:pPr>
            <w:r>
              <w:t xml:space="preserve">Rundeck</w:t>
            </w:r>
          </w:p>
        </w:tc>
      </w:tr>
    </w:tbl>
    <w:p>
      <w:pPr>
        <w:pStyle w:val="BodyText"/>
      </w:pPr>
      <w:r>
        <w:rPr>
          <w:bCs/>
          <w:b/>
          <w:color w:val="5A8F89"/>
          <w:sz w:val="22"/>
        </w:rPr>
        <w:t xml:space="preserve">Step 2 — Run the smoke tests</w:t>
      </w:r>
    </w:p>
    <w:p>
      <w:pPr>
        <w:pStyle w:val="BodyText"/>
      </w:pPr>
      <w:r>
        <w:t xml:space="preserve">This is the last chance to catch a production-only issue before the wider population starts using the system, so it should never be skipped under time pressure.</w:t>
      </w:r>
    </w:p>
    <w:p>
      <w:pPr>
        <w:pStyle w:val="BodyText"/>
      </w:pPr>
      <w:r>
        <w:rPr>
          <w:iCs/>
          <w:i/>
        </w:rPr>
        <w:t xml:space="preserve">SIPOC for this step.</w:t>
      </w:r>
    </w:p>
    <w:tbl>
      <w:tblPr>
        <w:tblStyle w:val="Table"/>
        <w:tblW w:type="pct" w:w="4946"/>
        <w:tblLook w:firstRow="1" w:lastRow="0" w:firstColumn="0" w:lastColumn="0" w:noHBand="0" w:noVBand="0" w:val="0020"/>
        <w:jc w:val="start"/>
      </w:tblPr>
      <w:tblGrid>
        <w:gridCol w:w="1669"/>
        <w:gridCol w:w="1412"/>
        <w:gridCol w:w="684"/>
        <w:gridCol w:w="1369"/>
        <w:gridCol w:w="269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(Runbook execution)</w:t>
            </w:r>
          </w:p>
        </w:tc>
        <w:tc>
          <w:tcPr/>
          <w:p>
            <w:pPr>
              <w:pStyle w:val="Compact"/>
              <w:jc w:val="left"/>
            </w:pPr>
            <w:r>
              <w:t xml:space="preserve">Completed, timestamped runbook</w:t>
            </w:r>
          </w:p>
        </w:tc>
        <w:tc>
          <w:tcPr/>
          <w:p>
            <w:pPr>
              <w:pStyle w:val="Compact"/>
              <w:jc w:val="left"/>
            </w:pPr>
            <w:r>
              <w:t xml:space="preserve">Smoke testing</w:t>
            </w:r>
          </w:p>
        </w:tc>
        <w:tc>
          <w:tcPr/>
          <w:p>
            <w:pPr>
              <w:pStyle w:val="Compact"/>
              <w:jc w:val="left"/>
            </w:pPr>
            <w:r>
              <w:t xml:space="preserve">Passed production smoke tests</w:t>
            </w:r>
          </w:p>
        </w:tc>
        <w:tc>
          <w:tcPr/>
          <w:p>
            <w:pPr>
              <w:pStyle w:val="Compact"/>
              <w:jc w:val="left"/>
            </w:pPr>
            <w:r>
              <w:t xml:space="preserve">All end users; hypercare / support team; Steering Committee.</w:t>
            </w:r>
          </w:p>
        </w:tc>
      </w:tr>
    </w:tbl>
    <w:p>
      <w:pPr>
        <w:pStyle w:val="BodyText"/>
      </w:pPr>
      <w:r>
        <w:rPr>
          <w:iCs/>
          <w:i/>
        </w:rPr>
        <w:t xml:space="preserve">Technique detail for this step.</w:t>
      </w:r>
    </w:p>
    <w:tbl>
      <w:tblPr>
        <w:tblStyle w:val="Table"/>
        <w:tblW w:type="pct" w:w="4928"/>
        <w:tblLook w:firstRow="1" w:lastRow="0" w:firstColumn="0" w:lastColumn="0" w:noHBand="0" w:noVBand="0" w:val="0020"/>
        <w:jc w:val="start"/>
      </w:tblPr>
      <w:tblGrid>
        <w:gridCol w:w="1766"/>
        <w:gridCol w:w="603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Smoke testing</w:t>
            </w:r>
          </w:p>
        </w:tc>
      </w:tr>
      <w:tr>
        <w:tc>
          <w:tcPr/>
          <w:p>
            <w:pPr>
              <w:pStyle w:val="Compact"/>
              <w:jc w:val="left"/>
            </w:pPr>
            <w:r>
              <w:t xml:space="preserve">Technique Goal</w:t>
            </w:r>
          </w:p>
        </w:tc>
        <w:tc>
          <w:tcPr/>
          <w:p>
            <w:pPr>
              <w:pStyle w:val="Compact"/>
              <w:jc w:val="left"/>
            </w:pPr>
            <w:r>
              <w:t xml:space="preserve">Confirm core transactions work in production before go-live is declared.</w:t>
            </w:r>
          </w:p>
        </w:tc>
      </w:tr>
      <w:tr>
        <w:tc>
          <w:tcPr/>
          <w:p>
            <w:pPr>
              <w:pStyle w:val="Compact"/>
              <w:jc w:val="left"/>
            </w:pPr>
            <w:r>
              <w:t xml:space="preserve">Technique Details</w:t>
            </w:r>
          </w:p>
        </w:tc>
        <w:tc>
          <w:tcPr/>
          <w:p>
            <w:pPr>
              <w:pStyle w:val="Compact"/>
              <w:jc w:val="left"/>
            </w:pPr>
            <w:r>
              <w:t xml:space="preserve">Run a short list of the highest-volume transactions end to end in production immediately after cutover.</w:t>
            </w:r>
          </w:p>
        </w:tc>
      </w:tr>
      <w:tr>
        <w:tc>
          <w:tcPr/>
          <w:p>
            <w:pPr>
              <w:pStyle w:val="Compact"/>
              <w:jc w:val="left"/>
            </w:pPr>
            <w:r>
              <w:t xml:space="preserve">Recommended Open-Source Tool</w:t>
            </w:r>
          </w:p>
        </w:tc>
        <w:tc>
          <w:tcPr/>
          <w:p>
            <w:pPr>
              <w:pStyle w:val="Compact"/>
              <w:jc w:val="left"/>
            </w:pPr>
            <w:r>
              <w:t xml:space="preserve">Kiwi TCMS</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PM</w:t>
            </w:r>
          </w:p>
        </w:tc>
        <w:tc>
          <w:tcPr/>
          <w:p>
            <w:pPr>
              <w:pStyle w:val="Compact"/>
              <w:jc w:val="left"/>
            </w:pPr>
            <w:r>
              <w:t xml:space="preserve">FPO</w:t>
            </w:r>
          </w:p>
        </w:tc>
        <w:tc>
          <w:tcPr/>
          <w:p>
            <w:pPr>
              <w:pStyle w:val="Compact"/>
              <w:jc w:val="left"/>
            </w:pPr>
            <w:r>
              <w:t xml:space="preserve">CM</w:t>
            </w:r>
          </w:p>
        </w:tc>
        <w:tc>
          <w:tcPr/>
          <w:p>
            <w:pPr>
              <w:pStyle w:val="Compact"/>
              <w:jc w:val="left"/>
            </w:pPr>
            <w:r>
              <w:t xml:space="preserve">ES, SUP, EU</w:t>
            </w:r>
          </w:p>
        </w:tc>
      </w:tr>
    </w:tbl>
    <w:p>
      <w:pPr>
        <w:pStyle w:val="BodyText"/>
      </w:pPr>
      <w:r>
        <w:rPr>
          <w:bCs/>
          <w:b/>
          <w:color w:val="3F827B"/>
          <w:sz w:val="24"/>
        </w:rPr>
        <w:t xml:space="preserve">Task 3 — [PROJECT] Decommission or lock access to the legacy system per plan</w:t>
      </w:r>
    </w:p>
    <w:p>
      <w:pPr>
        <w:pStyle w:val="BodyText"/>
      </w:pPr>
      <w:r>
        <w:rPr>
          <w:bCs/>
          <w:b/>
          <w:color w:val="5A8F89"/>
          <w:sz w:val="22"/>
        </w:rPr>
        <w:t xml:space="preserve">Step 1 — Revoke legacy access</w:t>
      </w:r>
    </w:p>
    <w:p>
      <w:pPr>
        <w:pStyle w:val="BodyText"/>
      </w:pPr>
      <w:r>
        <w:t xml:space="preserve">Leaving legacy access open past go-live is one of the most common ways a hard-won cutover quietly slides back into partial old-system usage.</w:t>
      </w:r>
    </w:p>
    <w:p>
      <w:pPr>
        <w:pStyle w:val="BodyText"/>
      </w:pPr>
      <w:r>
        <w:rPr>
          <w:iCs/>
          <w:i/>
        </w:rPr>
        <w:t xml:space="preserve">SIPOC for this step.</w:t>
      </w:r>
    </w:p>
    <w:tbl>
      <w:tblPr>
        <w:tblStyle w:val="Table"/>
        <w:tblW w:type="pct" w:w="4964"/>
        <w:tblLook w:firstRow="1" w:lastRow="0" w:firstColumn="0" w:lastColumn="0" w:noHBand="0" w:noVBand="0" w:val="0020"/>
        <w:jc w:val="start"/>
      </w:tblPr>
      <w:tblGrid>
        <w:gridCol w:w="2304"/>
        <w:gridCol w:w="3052"/>
        <w:gridCol w:w="864"/>
        <w:gridCol w:w="864"/>
        <w:gridCol w:w="77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Program Manager; Executive Sponsor (go/no-go authority).</w:t>
            </w:r>
          </w:p>
        </w:tc>
        <w:tc>
          <w:tcPr/>
          <w:p>
            <w:pPr>
              <w:pStyle w:val="Compact"/>
              <w:jc w:val="left"/>
            </w:pPr>
            <w:r>
              <w:t xml:space="preserve">Final go/no-go readiness call; data-freeze confirmation; cutover runbook; hypercare support-model plan.</w:t>
            </w:r>
          </w:p>
        </w:tc>
        <w:tc>
          <w:tcPr/>
          <w:p>
            <w:pPr>
              <w:pStyle w:val="Compact"/>
              <w:jc w:val="left"/>
            </w:pPr>
            <w:r>
              <w:t xml:space="preserve">Access-revocation checklist</w:t>
            </w:r>
          </w:p>
        </w:tc>
        <w:tc>
          <w:tcPr/>
          <w:p>
            <w:pPr>
              <w:pStyle w:val="Compact"/>
              <w:jc w:val="left"/>
            </w:pPr>
            <w:r>
              <w:t xml:space="preserve">Confirmed access revocation</w:t>
            </w:r>
          </w:p>
        </w:tc>
        <w:tc>
          <w:tcPr/>
          <w:p>
            <w:pPr>
              <w:pStyle w:val="Compact"/>
              <w:jc w:val="left"/>
            </w:pPr>
            <w:r>
              <w:t xml:space="preserve">Step 2 (Legacy archival)</w:t>
            </w:r>
          </w:p>
        </w:tc>
      </w:tr>
    </w:tbl>
    <w:p>
      <w:pPr>
        <w:pStyle w:val="BodyText"/>
      </w:pPr>
      <w:r>
        <w:rPr>
          <w:iCs/>
          <w:i/>
        </w:rPr>
        <w:t xml:space="preserve">Technique detail for this step.</w:t>
      </w:r>
    </w:p>
    <w:tbl>
      <w:tblPr>
        <w:tblStyle w:val="Table"/>
        <w:tblW w:type="pct" w:w="4934"/>
        <w:tblLook w:firstRow="1" w:lastRow="0" w:firstColumn="0" w:lastColumn="0" w:noHBand="0" w:noVBand="0" w:val="0020"/>
        <w:jc w:val="start"/>
      </w:tblPr>
      <w:tblGrid>
        <w:gridCol w:w="1625"/>
        <w:gridCol w:w="618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Access-revocation checklist</w:t>
            </w:r>
          </w:p>
        </w:tc>
      </w:tr>
      <w:tr>
        <w:tc>
          <w:tcPr/>
          <w:p>
            <w:pPr>
              <w:pStyle w:val="Compact"/>
              <w:jc w:val="left"/>
            </w:pPr>
            <w:r>
              <w:t xml:space="preserve">Technique Goal</w:t>
            </w:r>
          </w:p>
        </w:tc>
        <w:tc>
          <w:tcPr/>
          <w:p>
            <w:pPr>
              <w:pStyle w:val="Compact"/>
              <w:jc w:val="left"/>
            </w:pPr>
            <w:r>
              <w:t xml:space="preserve">Remove legacy access per the agreed plan.</w:t>
            </w:r>
          </w:p>
        </w:tc>
      </w:tr>
      <w:tr>
        <w:tc>
          <w:tcPr/>
          <w:p>
            <w:pPr>
              <w:pStyle w:val="Compact"/>
              <w:jc w:val="left"/>
            </w:pPr>
            <w:r>
              <w:t xml:space="preserve">Technique Details</w:t>
            </w:r>
          </w:p>
        </w:tc>
        <w:tc>
          <w:tcPr/>
          <w:p>
            <w:pPr>
              <w:pStyle w:val="Compact"/>
              <w:jc w:val="left"/>
            </w:pPr>
            <w:r>
              <w:t xml:space="preserve">Revoke or downgrade legacy-system access for all end users except a small audit/support group, per the agreed plan.</w:t>
            </w:r>
          </w:p>
        </w:tc>
      </w:tr>
      <w:tr>
        <w:tc>
          <w:tcPr/>
          <w:p>
            <w:pPr>
              <w:pStyle w:val="Compact"/>
              <w:jc w:val="left"/>
            </w:pPr>
            <w:r>
              <w:t xml:space="preserve">Recommended Open-Source Tool</w:t>
            </w:r>
          </w:p>
        </w:tc>
        <w:tc>
          <w:tcPr/>
          <w:p>
            <w:pPr>
              <w:pStyle w:val="Compact"/>
              <w:jc w:val="left"/>
            </w:pPr>
            <w:r>
              <w:t xml:space="preserve">FreeIPA (identity / access management)</w:t>
            </w:r>
          </w:p>
        </w:tc>
      </w:tr>
    </w:tbl>
    <w:p>
      <w:pPr>
        <w:pStyle w:val="BodyText"/>
      </w:pPr>
      <w:r>
        <w:rPr>
          <w:bCs/>
          <w:b/>
          <w:color w:val="5A8F89"/>
          <w:sz w:val="22"/>
        </w:rPr>
        <w:t xml:space="preserve">Step 2 — Archive the legacy system</w:t>
      </w:r>
    </w:p>
    <w:p>
      <w:pPr>
        <w:pStyle w:val="BodyText"/>
      </w:pPr>
      <w:r>
        <w:t xml:space="preserve">This archive is the organization's only remaining source of pre-migration history once the legacy system is decommissioned, so it is worth verifying before access is locked down.</w:t>
      </w:r>
    </w:p>
    <w:p>
      <w:pPr>
        <w:pStyle w:val="BodyText"/>
      </w:pPr>
      <w:r>
        <w:rPr>
          <w:iCs/>
          <w:i/>
        </w:rPr>
        <w:t xml:space="preserve">SIPOC for this step.</w:t>
      </w:r>
    </w:p>
    <w:tbl>
      <w:tblPr>
        <w:tblStyle w:val="Table"/>
        <w:tblW w:type="pct" w:w="4948"/>
        <w:tblLook w:firstRow="1" w:lastRow="0" w:firstColumn="0" w:lastColumn="0" w:noHBand="0" w:noVBand="0" w:val="0020"/>
        <w:jc w:val="start"/>
      </w:tblPr>
      <w:tblGrid>
        <w:gridCol w:w="2010"/>
        <w:gridCol w:w="1231"/>
        <w:gridCol w:w="738"/>
        <w:gridCol w:w="1272"/>
        <w:gridCol w:w="258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(Access-revocation checklist)</w:t>
            </w:r>
          </w:p>
        </w:tc>
        <w:tc>
          <w:tcPr/>
          <w:p>
            <w:pPr>
              <w:pStyle w:val="Compact"/>
              <w:jc w:val="left"/>
            </w:pPr>
            <w:r>
              <w:t xml:space="preserve">Confirmed access revocation</w:t>
            </w:r>
          </w:p>
        </w:tc>
        <w:tc>
          <w:tcPr/>
          <w:p>
            <w:pPr>
              <w:pStyle w:val="Compact"/>
              <w:jc w:val="left"/>
            </w:pPr>
            <w:r>
              <w:t xml:space="preserve">Legacy archival</w:t>
            </w:r>
          </w:p>
        </w:tc>
        <w:tc>
          <w:tcPr/>
          <w:p>
            <w:pPr>
              <w:pStyle w:val="Compact"/>
              <w:jc w:val="left"/>
            </w:pPr>
            <w:r>
              <w:t xml:space="preserve">Verified legacy data archive</w:t>
            </w:r>
          </w:p>
        </w:tc>
        <w:tc>
          <w:tcPr/>
          <w:p>
            <w:pPr>
              <w:pStyle w:val="Compact"/>
              <w:jc w:val="left"/>
            </w:pPr>
            <w:r>
              <w:t xml:space="preserve">All end users; hypercare / support team; Steering Committee.</w:t>
            </w:r>
          </w:p>
        </w:tc>
      </w:tr>
    </w:tbl>
    <w:p>
      <w:pPr>
        <w:pStyle w:val="BodyText"/>
      </w:pPr>
      <w:r>
        <w:rPr>
          <w:iCs/>
          <w:i/>
        </w:rPr>
        <w:t xml:space="preserve">Technique detail for this step.</w:t>
      </w:r>
    </w:p>
    <w:tbl>
      <w:tblPr>
        <w:tblStyle w:val="Table"/>
        <w:tblW w:type="pct" w:w="4929"/>
        <w:tblLook w:firstRow="1" w:lastRow="0" w:firstColumn="0" w:lastColumn="0" w:noHBand="0" w:noVBand="0" w:val="0020"/>
        <w:jc w:val="start"/>
      </w:tblPr>
      <w:tblGrid>
        <w:gridCol w:w="1741"/>
        <w:gridCol w:w="606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Legacy archival</w:t>
            </w:r>
          </w:p>
        </w:tc>
      </w:tr>
      <w:tr>
        <w:tc>
          <w:tcPr/>
          <w:p>
            <w:pPr>
              <w:pStyle w:val="Compact"/>
              <w:jc w:val="left"/>
            </w:pPr>
            <w:r>
              <w:t xml:space="preserve">Technique Goal</w:t>
            </w:r>
          </w:p>
        </w:tc>
        <w:tc>
          <w:tcPr/>
          <w:p>
            <w:pPr>
              <w:pStyle w:val="Compact"/>
              <w:jc w:val="left"/>
            </w:pPr>
            <w:r>
              <w:t xml:space="preserve">Preserve legacy data for audit purposes before lock-down.</w:t>
            </w:r>
          </w:p>
        </w:tc>
      </w:tr>
      <w:tr>
        <w:tc>
          <w:tcPr/>
          <w:p>
            <w:pPr>
              <w:pStyle w:val="Compact"/>
              <w:jc w:val="left"/>
            </w:pPr>
            <w:r>
              <w:t xml:space="preserve">Technique Details</w:t>
            </w:r>
          </w:p>
        </w:tc>
        <w:tc>
          <w:tcPr/>
          <w:p>
            <w:pPr>
              <w:pStyle w:val="Compact"/>
              <w:jc w:val="left"/>
            </w:pPr>
            <w:r>
              <w:t xml:space="preserve">Take a final, verified archive snapshot of the legacy system for audit and historical-reporting purposes.</w:t>
            </w:r>
          </w:p>
        </w:tc>
      </w:tr>
      <w:tr>
        <w:tc>
          <w:tcPr/>
          <w:p>
            <w:pPr>
              <w:pStyle w:val="Compact"/>
              <w:jc w:val="left"/>
            </w:pPr>
            <w:r>
              <w:t xml:space="preserve">Recommended Open-Source Tool</w:t>
            </w:r>
          </w:p>
        </w:tc>
        <w:tc>
          <w:tcPr/>
          <w:p>
            <w:pPr>
              <w:pStyle w:val="Compact"/>
              <w:jc w:val="left"/>
            </w:pPr>
            <w:r>
              <w:t xml:space="preserve">Apache NiFi (archive flow)</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ES</w:t>
            </w:r>
          </w:p>
        </w:tc>
        <w:tc>
          <w:tcPr/>
          <w:p>
            <w:pPr>
              <w:pStyle w:val="Compact"/>
              <w:jc w:val="left"/>
            </w:pPr>
            <w:r>
              <w:t xml:space="preserve">PM</w:t>
            </w:r>
          </w:p>
        </w:tc>
        <w:tc>
          <w:tcPr/>
          <w:p>
            <w:pPr>
              <w:pStyle w:val="Compact"/>
              <w:jc w:val="left"/>
            </w:pPr>
            <w:r>
              <w:t xml:space="preserve">FPO</w:t>
            </w:r>
          </w:p>
        </w:tc>
        <w:tc>
          <w:tcPr/>
          <w:p>
            <w:pPr>
              <w:pStyle w:val="Compact"/>
              <w:jc w:val="left"/>
            </w:pPr>
            <w:r>
              <w:t xml:space="preserve">CM, SUP, EU</w:t>
            </w:r>
          </w:p>
        </w:tc>
      </w:tr>
    </w:tbl>
    <w:p>
      <w:pPr>
        <w:pStyle w:val="BodyText"/>
      </w:pPr>
      <w:r>
        <w:rPr>
          <w:bCs/>
          <w:b/>
          <w:color w:val="3F827B"/>
          <w:sz w:val="24"/>
        </w:rPr>
        <w:t xml:space="preserve">Task 4 — [CHANGE] Communicate go-live confirmation to all cohorts</w:t>
      </w:r>
    </w:p>
    <w:p>
      <w:pPr>
        <w:pStyle w:val="BodyText"/>
      </w:pPr>
      <w:r>
        <w:rPr>
          <w:bCs/>
          <w:b/>
          <w:color w:val="5A8F89"/>
          <w:sz w:val="22"/>
        </w:rPr>
        <w:t xml:space="preserve">Step 1 — Announce go-live</w:t>
      </w:r>
    </w:p>
    <w:p>
      <w:pPr>
        <w:pStyle w:val="BodyText"/>
      </w:pPr>
      <w:r>
        <w:t xml:space="preserve">Speed matters more than polish here: a short, clear message within the hour beats a beautifully designed one sent the next morning after people have already started guessing.</w:t>
      </w:r>
    </w:p>
    <w:p>
      <w:pPr>
        <w:pStyle w:val="BodyText"/>
      </w:pPr>
      <w:r>
        <w:rPr>
          <w:iCs/>
          <w:i/>
        </w:rPr>
        <w:t xml:space="preserve">SIPOC for this step.</w:t>
      </w:r>
    </w:p>
    <w:tbl>
      <w:tblPr>
        <w:tblStyle w:val="Table"/>
        <w:tblW w:type="pct" w:w="4962"/>
        <w:tblLook w:firstRow="1" w:lastRow="0" w:firstColumn="0" w:lastColumn="0" w:noHBand="0" w:noVBand="0" w:val="0020"/>
        <w:jc w:val="start"/>
      </w:tblPr>
      <w:tblGrid>
        <w:gridCol w:w="2427"/>
        <w:gridCol w:w="3216"/>
        <w:gridCol w:w="697"/>
        <w:gridCol w:w="849"/>
        <w:gridCol w:w="66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Program Manager; Executive Sponsor (go/no-go authority).</w:t>
            </w:r>
          </w:p>
        </w:tc>
        <w:tc>
          <w:tcPr/>
          <w:p>
            <w:pPr>
              <w:pStyle w:val="Compact"/>
              <w:jc w:val="left"/>
            </w:pPr>
            <w:r>
              <w:t xml:space="preserve">Final go/no-go readiness call; data-freeze confirmation; cutover runbook; hypercare support-model plan.</w:t>
            </w:r>
          </w:p>
        </w:tc>
        <w:tc>
          <w:tcPr/>
          <w:p>
            <w:pPr>
              <w:pStyle w:val="Compact"/>
              <w:jc w:val="left"/>
            </w:pPr>
            <w:r>
              <w:t xml:space="preserve">Go-live announcement</w:t>
            </w:r>
          </w:p>
        </w:tc>
        <w:tc>
          <w:tcPr/>
          <w:p>
            <w:pPr>
              <w:pStyle w:val="Compact"/>
              <w:jc w:val="left"/>
            </w:pPr>
            <w:r>
              <w:t xml:space="preserve">Sent go-live announcement</w:t>
            </w:r>
          </w:p>
        </w:tc>
        <w:tc>
          <w:tcPr/>
          <w:p>
            <w:pPr>
              <w:pStyle w:val="Compact"/>
              <w:jc w:val="left"/>
            </w:pPr>
            <w:r>
              <w:t xml:space="preserve">Step 2 (FAQ update)</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63"/>
        <w:gridCol w:w="625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Go-live announcement</w:t>
            </w:r>
          </w:p>
        </w:tc>
      </w:tr>
      <w:tr>
        <w:tc>
          <w:tcPr/>
          <w:p>
            <w:pPr>
              <w:pStyle w:val="Compact"/>
              <w:jc w:val="left"/>
            </w:pPr>
            <w:r>
              <w:t xml:space="preserve">Technique Goal</w:t>
            </w:r>
          </w:p>
        </w:tc>
        <w:tc>
          <w:tcPr/>
          <w:p>
            <w:pPr>
              <w:pStyle w:val="Compact"/>
              <w:jc w:val="left"/>
            </w:pPr>
            <w:r>
              <w:t xml:space="preserve">Confirm the system is live and where to get help.</w:t>
            </w:r>
          </w:p>
        </w:tc>
      </w:tr>
      <w:tr>
        <w:tc>
          <w:tcPr/>
          <w:p>
            <w:pPr>
              <w:pStyle w:val="Compact"/>
              <w:jc w:val="left"/>
            </w:pPr>
            <w:r>
              <w:t xml:space="preserve">Technique Details</w:t>
            </w:r>
          </w:p>
        </w:tc>
        <w:tc>
          <w:tcPr/>
          <w:p>
            <w:pPr>
              <w:pStyle w:val="Compact"/>
              <w:jc w:val="left"/>
            </w:pPr>
            <w:r>
              <w:t xml:space="preserve">Send a short, clear go-live confirmation naming the support channel and hours to every cohort within the hour of cutover.</w:t>
            </w:r>
          </w:p>
        </w:tc>
      </w:tr>
      <w:tr>
        <w:tc>
          <w:tcPr/>
          <w:p>
            <w:pPr>
              <w:pStyle w:val="Compact"/>
              <w:jc w:val="left"/>
            </w:pPr>
            <w:r>
              <w:t xml:space="preserve">Recommended Open-Source Tool</w:t>
            </w:r>
          </w:p>
        </w:tc>
        <w:tc>
          <w:tcPr/>
          <w:p>
            <w:pPr>
              <w:pStyle w:val="Compact"/>
              <w:jc w:val="left"/>
            </w:pPr>
            <w:r>
              <w:t xml:space="preserve">Listmonk</w:t>
            </w:r>
          </w:p>
        </w:tc>
      </w:tr>
    </w:tbl>
    <w:p>
      <w:pPr>
        <w:pStyle w:val="BodyText"/>
      </w:pPr>
      <w:r>
        <w:rPr>
          <w:bCs/>
          <w:b/>
          <w:color w:val="5A8F89"/>
          <w:sz w:val="22"/>
        </w:rPr>
        <w:t xml:space="preserve">Step 2 — Refresh the go-live FAQ</w:t>
      </w:r>
    </w:p>
    <w:p>
      <w:pPr>
        <w:pStyle w:val="BodyText"/>
      </w:pPr>
      <w:r>
        <w:t xml:space="preserve">The questions people ask in the first 48 hours of go-live are different from the questions they asked during Training, so the FAQ needs a dedicated refresh, not just the old content.</w:t>
      </w:r>
    </w:p>
    <w:p>
      <w:pPr>
        <w:pStyle w:val="BodyText"/>
      </w:pPr>
      <w:r>
        <w:rPr>
          <w:iCs/>
          <w:i/>
        </w:rPr>
        <w:t xml:space="preserve">SIPOC for this step.</w:t>
      </w:r>
    </w:p>
    <w:tbl>
      <w:tblPr>
        <w:tblStyle w:val="Table"/>
        <w:tblW w:type="pct" w:w="4942"/>
        <w:tblLook w:firstRow="1" w:lastRow="0" w:firstColumn="0" w:lastColumn="0" w:noHBand="0" w:noVBand="0" w:val="0020"/>
        <w:jc w:val="start"/>
      </w:tblPr>
      <w:tblGrid>
        <w:gridCol w:w="1933"/>
        <w:gridCol w:w="1289"/>
        <w:gridCol w:w="690"/>
        <w:gridCol w:w="1013"/>
        <w:gridCol w:w="290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(Go-live announcement)</w:t>
            </w:r>
          </w:p>
        </w:tc>
        <w:tc>
          <w:tcPr/>
          <w:p>
            <w:pPr>
              <w:pStyle w:val="Compact"/>
              <w:jc w:val="left"/>
            </w:pPr>
            <w:r>
              <w:t xml:space="preserve">Sent go-live announcement</w:t>
            </w:r>
          </w:p>
        </w:tc>
        <w:tc>
          <w:tcPr/>
          <w:p>
            <w:pPr>
              <w:pStyle w:val="Compact"/>
              <w:jc w:val="left"/>
            </w:pPr>
            <w:r>
              <w:t xml:space="preserve">FAQ update</w:t>
            </w:r>
          </w:p>
        </w:tc>
        <w:tc>
          <w:tcPr/>
          <w:p>
            <w:pPr>
              <w:pStyle w:val="Compact"/>
              <w:jc w:val="left"/>
            </w:pPr>
            <w:r>
              <w:t xml:space="preserve">Updated go-live FAQ</w:t>
            </w:r>
          </w:p>
        </w:tc>
        <w:tc>
          <w:tcPr/>
          <w:p>
            <w:pPr>
              <w:pStyle w:val="Compact"/>
              <w:jc w:val="left"/>
            </w:pPr>
            <w:r>
              <w:t xml:space="preserve">All end users; hypercare / support team; Steering Committee.</w:t>
            </w:r>
          </w:p>
        </w:tc>
      </w:tr>
    </w:tbl>
    <w:p>
      <w:pPr>
        <w:pStyle w:val="BodyText"/>
      </w:pPr>
      <w:r>
        <w:rPr>
          <w:iCs/>
          <w:i/>
        </w:rPr>
        <w:t xml:space="preserve">Technique detail for this step.</w:t>
      </w:r>
    </w:p>
    <w:tbl>
      <w:tblPr>
        <w:tblStyle w:val="Table"/>
        <w:tblW w:type="pct" w:w="4917"/>
        <w:tblLook w:firstRow="1" w:lastRow="0" w:firstColumn="0" w:lastColumn="0" w:noHBand="0" w:noVBand="0" w:val="0020"/>
        <w:jc w:val="start"/>
      </w:tblPr>
      <w:tblGrid>
        <w:gridCol w:w="2029"/>
        <w:gridCol w:w="5760"/>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FAQ update</w:t>
            </w:r>
          </w:p>
        </w:tc>
      </w:tr>
      <w:tr>
        <w:tc>
          <w:tcPr/>
          <w:p>
            <w:pPr>
              <w:pStyle w:val="Compact"/>
              <w:jc w:val="left"/>
            </w:pPr>
            <w:r>
              <w:t xml:space="preserve">Technique Goal</w:t>
            </w:r>
          </w:p>
        </w:tc>
        <w:tc>
          <w:tcPr/>
          <w:p>
            <w:pPr>
              <w:pStyle w:val="Compact"/>
              <w:jc w:val="left"/>
            </w:pPr>
            <w:r>
              <w:t xml:space="preserve">Refresh the knowledge base with go-live-specific answers.</w:t>
            </w:r>
          </w:p>
        </w:tc>
      </w:tr>
      <w:tr>
        <w:tc>
          <w:tcPr/>
          <w:p>
            <w:pPr>
              <w:pStyle w:val="Compact"/>
              <w:jc w:val="left"/>
            </w:pPr>
            <w:r>
              <w:t xml:space="preserve">Technique Details</w:t>
            </w:r>
          </w:p>
        </w:tc>
        <w:tc>
          <w:tcPr/>
          <w:p>
            <w:pPr>
              <w:pStyle w:val="Compact"/>
              <w:jc w:val="left"/>
            </w:pPr>
            <w:r>
              <w:t xml:space="preserve">Add a</w:t>
            </w:r>
            <w:r>
              <w:t xml:space="preserve"> </w:t>
            </w:r>
            <w:r>
              <w:t xml:space="preserve">“</w:t>
            </w:r>
            <w:r>
              <w:t xml:space="preserve">go-live week</w:t>
            </w:r>
            <w:r>
              <w:t xml:space="preserve">”</w:t>
            </w:r>
            <w:r>
              <w:t xml:space="preserve"> </w:t>
            </w:r>
            <w:r>
              <w:t xml:space="preserve">section to the FAQ covering the most likely first-day questions.</w:t>
            </w:r>
          </w:p>
        </w:tc>
      </w:tr>
      <w:tr>
        <w:tc>
          <w:tcPr/>
          <w:p>
            <w:pPr>
              <w:pStyle w:val="Compact"/>
              <w:jc w:val="left"/>
            </w:pPr>
            <w:r>
              <w:t xml:space="preserve">Recommended Open-Source Tool</w:t>
            </w:r>
          </w:p>
        </w:tc>
        <w:tc>
          <w:tcPr/>
          <w:p>
            <w:pPr>
              <w:pStyle w:val="Compact"/>
              <w:jc w:val="left"/>
            </w:pPr>
            <w:r>
              <w:t xml:space="preserve">BookStack</w:t>
            </w:r>
          </w:p>
        </w:tc>
      </w:tr>
    </w:tbl>
    <w:p>
      <w:pPr>
        <w:pStyle w:val="BodyText"/>
      </w:pPr>
      <w:r>
        <w:rPr>
          <w:iCs/>
          <w:i/>
        </w:rPr>
        <w:t xml:space="preserve">RACSI for Task 4 — multiple roles may share Responsible; exactly one role is Accountable.</w:t>
      </w:r>
    </w:p>
    <w:tbl>
      <w:tblPr>
        <w:tblStyle w:val="Table"/>
        <w:tblW w:type="pct" w:w="4929"/>
        <w:tblLook w:firstRow="1" w:lastRow="0" w:firstColumn="0" w:lastColumn="0" w:noHBand="0" w:noVBand="0" w:val="0020"/>
        <w:jc w:val="start"/>
      </w:tblPr>
      <w:tblGrid>
        <w:gridCol w:w="2376"/>
        <w:gridCol w:w="2149"/>
        <w:gridCol w:w="1131"/>
        <w:gridCol w:w="1018"/>
        <w:gridCol w:w="1131"/>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ES</w:t>
            </w:r>
          </w:p>
        </w:tc>
        <w:tc>
          <w:tcPr/>
          <w:p>
            <w:pPr>
              <w:pStyle w:val="Compact"/>
              <w:jc w:val="left"/>
            </w:pPr>
            <w:r>
              <w:t xml:space="preserve">PM</w:t>
            </w:r>
          </w:p>
        </w:tc>
        <w:tc>
          <w:tcPr/>
          <w:p>
            <w:pPr>
              <w:pStyle w:val="Compact"/>
              <w:jc w:val="left"/>
            </w:pPr>
            <w:r>
              <w:t xml:space="preserve">FPO, ITL, SUP, EU</w:t>
            </w:r>
          </w:p>
        </w:tc>
      </w:tr>
    </w:tbl>
    <w:p>
      <w:pPr>
        <w:pStyle w:val="BodyText"/>
      </w:pPr>
      <w:r>
        <w:rPr>
          <w:bCs/>
          <w:b/>
          <w:color w:val="3F827B"/>
          <w:sz w:val="24"/>
        </w:rPr>
        <w:t xml:space="preserve">Task 5 — [JOINT] Activate the hypercare support model on Day 1</w:t>
      </w:r>
    </w:p>
    <w:p>
      <w:pPr>
        <w:pStyle w:val="BodyText"/>
      </w:pPr>
      <w:r>
        <w:rPr>
          <w:bCs/>
          <w:b/>
          <w:color w:val="5A8F89"/>
          <w:sz w:val="22"/>
        </w:rPr>
        <w:t xml:space="preserve">Step 1 — Staff the elevated help desk</w:t>
      </w:r>
    </w:p>
    <w:p>
      <w:pPr>
        <w:pStyle w:val="BodyText"/>
      </w:pPr>
      <w:r>
        <w:t xml:space="preserve">The learning-curve bump in ticket volume is predictable and temporary, but only if enough staff are in place to absorb it without a growing backlog that itself becomes a source of frustration.</w:t>
      </w:r>
    </w:p>
    <w:p>
      <w:pPr>
        <w:pStyle w:val="BodyText"/>
      </w:pPr>
      <w:r>
        <w:rPr>
          <w:iCs/>
          <w:i/>
        </w:rPr>
        <w:t xml:space="preserve">SIPOC for this step.</w:t>
      </w:r>
    </w:p>
    <w:tbl>
      <w:tblPr>
        <w:tblStyle w:val="Table"/>
        <w:tblW w:type="pct" w:w="4965"/>
        <w:tblLook w:firstRow="1" w:lastRow="0" w:firstColumn="0" w:lastColumn="0" w:noHBand="0" w:noVBand="0" w:val="0020"/>
        <w:jc w:val="start"/>
      </w:tblPr>
      <w:tblGrid>
        <w:gridCol w:w="2238"/>
        <w:gridCol w:w="2966"/>
        <w:gridCol w:w="839"/>
        <w:gridCol w:w="895"/>
        <w:gridCol w:w="92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Program Manager; Executive Sponsor (go/no-go authority).</w:t>
            </w:r>
          </w:p>
        </w:tc>
        <w:tc>
          <w:tcPr/>
          <w:p>
            <w:pPr>
              <w:pStyle w:val="Compact"/>
              <w:jc w:val="left"/>
            </w:pPr>
            <w:r>
              <w:t xml:space="preserve">Final go/no-go readiness call; data-freeze confirmation; cutover runbook; hypercare support-model plan.</w:t>
            </w:r>
          </w:p>
        </w:tc>
        <w:tc>
          <w:tcPr/>
          <w:p>
            <w:pPr>
              <w:pStyle w:val="Compact"/>
              <w:jc w:val="left"/>
            </w:pPr>
            <w:r>
              <w:t xml:space="preserve">Elevated help-desk staffing</w:t>
            </w:r>
          </w:p>
        </w:tc>
        <w:tc>
          <w:tcPr/>
          <w:p>
            <w:pPr>
              <w:pStyle w:val="Compact"/>
              <w:jc w:val="left"/>
            </w:pPr>
            <w:r>
              <w:t xml:space="preserve">Staffed elevated support desk</w:t>
            </w:r>
          </w:p>
        </w:tc>
        <w:tc>
          <w:tcPr/>
          <w:p>
            <w:pPr>
              <w:pStyle w:val="Compact"/>
              <w:jc w:val="left"/>
            </w:pPr>
            <w:r>
              <w:t xml:space="preserve">Step 2 (Daily stand-up triage)</w:t>
            </w:r>
          </w:p>
        </w:tc>
      </w:tr>
    </w:tbl>
    <w:p>
      <w:pPr>
        <w:pStyle w:val="BodyText"/>
      </w:pPr>
      <w:r>
        <w:rPr>
          <w:iCs/>
          <w:i/>
        </w:rPr>
        <w:t xml:space="preserve">Technique detail for this step.</w:t>
      </w:r>
    </w:p>
    <w:tbl>
      <w:tblPr>
        <w:tblStyle w:val="Table"/>
        <w:tblW w:type="pct" w:w="4932"/>
        <w:tblLook w:firstRow="1" w:lastRow="0" w:firstColumn="0" w:lastColumn="0" w:noHBand="0" w:noVBand="0" w:val="0020"/>
        <w:jc w:val="start"/>
      </w:tblPr>
      <w:tblGrid>
        <w:gridCol w:w="1681"/>
        <w:gridCol w:w="612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Elevated help-desk staffing</w:t>
            </w:r>
          </w:p>
        </w:tc>
      </w:tr>
      <w:tr>
        <w:tc>
          <w:tcPr/>
          <w:p>
            <w:pPr>
              <w:pStyle w:val="Compact"/>
              <w:jc w:val="left"/>
            </w:pPr>
            <w:r>
              <w:t xml:space="preserve">Technique Goal</w:t>
            </w:r>
          </w:p>
        </w:tc>
        <w:tc>
          <w:tcPr/>
          <w:p>
            <w:pPr>
              <w:pStyle w:val="Compact"/>
              <w:jc w:val="left"/>
            </w:pPr>
            <w:r>
              <w:t xml:space="preserve">Absorb the go-live question spike quickly.</w:t>
            </w:r>
          </w:p>
        </w:tc>
      </w:tr>
      <w:tr>
        <w:tc>
          <w:tcPr/>
          <w:p>
            <w:pPr>
              <w:pStyle w:val="Compact"/>
              <w:jc w:val="left"/>
            </w:pPr>
            <w:r>
              <w:t xml:space="preserve">Technique Details</w:t>
            </w:r>
          </w:p>
        </w:tc>
        <w:tc>
          <w:tcPr/>
          <w:p>
            <w:pPr>
              <w:pStyle w:val="Compact"/>
              <w:jc w:val="left"/>
            </w:pPr>
            <w:r>
              <w:t xml:space="preserve">Double or triple standard help-desk staffing for the first five business days, with a visible escalation path.</w:t>
            </w:r>
          </w:p>
        </w:tc>
      </w:tr>
      <w:tr>
        <w:tc>
          <w:tcPr/>
          <w:p>
            <w:pPr>
              <w:pStyle w:val="Compact"/>
              <w:jc w:val="left"/>
            </w:pPr>
            <w:r>
              <w:t xml:space="preserve">Recommended Open-Source Tool</w:t>
            </w:r>
          </w:p>
        </w:tc>
        <w:tc>
          <w:tcPr/>
          <w:p>
            <w:pPr>
              <w:pStyle w:val="Compact"/>
              <w:jc w:val="left"/>
            </w:pPr>
            <w:r>
              <w:t xml:space="preserve">osTicket</w:t>
            </w:r>
          </w:p>
        </w:tc>
      </w:tr>
    </w:tbl>
    <w:p>
      <w:pPr>
        <w:pStyle w:val="BodyText"/>
      </w:pPr>
      <w:r>
        <w:rPr>
          <w:bCs/>
          <w:b/>
          <w:color w:val="5A8F89"/>
          <w:sz w:val="22"/>
        </w:rPr>
        <w:t xml:space="preserve">Step 2 — Run the daily triage stand-up</w:t>
      </w:r>
    </w:p>
    <w:p>
      <w:pPr>
        <w:pStyle w:val="BodyText"/>
      </w:pPr>
      <w:r>
        <w:t xml:space="preserve">Fifteen minutes a day across ITL, CM and SUP is what catches an emerging pattern — a specific step generating disproportionate tickets — while it is still a small problem.</w:t>
      </w:r>
    </w:p>
    <w:p>
      <w:pPr>
        <w:pStyle w:val="BodyText"/>
      </w:pPr>
      <w:r>
        <w:rPr>
          <w:iCs/>
          <w:i/>
        </w:rPr>
        <w:t xml:space="preserve">SIPOC for this step.</w:t>
      </w:r>
    </w:p>
    <w:tbl>
      <w:tblPr>
        <w:tblStyle w:val="Table"/>
        <w:tblW w:type="pct" w:w="4947"/>
        <w:tblLook w:firstRow="1" w:lastRow="0" w:firstColumn="0" w:lastColumn="0" w:noHBand="0" w:noVBand="0" w:val="0020"/>
        <w:jc w:val="start"/>
      </w:tblPr>
      <w:tblGrid>
        <w:gridCol w:w="2053"/>
        <w:gridCol w:w="1340"/>
        <w:gridCol w:w="1005"/>
        <w:gridCol w:w="796"/>
        <w:gridCol w:w="264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(Elevated help-desk staffing)</w:t>
            </w:r>
          </w:p>
        </w:tc>
        <w:tc>
          <w:tcPr/>
          <w:p>
            <w:pPr>
              <w:pStyle w:val="Compact"/>
              <w:jc w:val="left"/>
            </w:pPr>
            <w:r>
              <w:t xml:space="preserve">Staffed elevated support desk</w:t>
            </w:r>
          </w:p>
        </w:tc>
        <w:tc>
          <w:tcPr/>
          <w:p>
            <w:pPr>
              <w:pStyle w:val="Compact"/>
              <w:jc w:val="left"/>
            </w:pPr>
            <w:r>
              <w:t xml:space="preserve">Daily stand-up triage</w:t>
            </w:r>
          </w:p>
        </w:tc>
        <w:tc>
          <w:tcPr/>
          <w:p>
            <w:pPr>
              <w:pStyle w:val="Compact"/>
              <w:jc w:val="left"/>
            </w:pPr>
            <w:r>
              <w:t xml:space="preserve">Daily triage log</w:t>
            </w:r>
          </w:p>
        </w:tc>
        <w:tc>
          <w:tcPr/>
          <w:p>
            <w:pPr>
              <w:pStyle w:val="Compact"/>
              <w:jc w:val="left"/>
            </w:pPr>
            <w:r>
              <w:t xml:space="preserve">All end users; hypercare / support team; Steering Committee.</w:t>
            </w:r>
          </w:p>
        </w:tc>
      </w:tr>
    </w:tbl>
    <w:p>
      <w:pPr>
        <w:pStyle w:val="BodyText"/>
      </w:pPr>
      <w:r>
        <w:rPr>
          <w:iCs/>
          <w:i/>
        </w:rPr>
        <w:t xml:space="preserve">Technique detail for this step.</w:t>
      </w:r>
    </w:p>
    <w:tbl>
      <w:tblPr>
        <w:tblStyle w:val="Table"/>
        <w:tblW w:type="pct" w:w="4934"/>
        <w:tblLook w:firstRow="1" w:lastRow="0" w:firstColumn="0" w:lastColumn="0" w:noHBand="0" w:noVBand="0" w:val="0020"/>
        <w:jc w:val="start"/>
      </w:tblPr>
      <w:tblGrid>
        <w:gridCol w:w="1625"/>
        <w:gridCol w:w="618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Daily stand-up triage</w:t>
            </w:r>
          </w:p>
        </w:tc>
      </w:tr>
      <w:tr>
        <w:tc>
          <w:tcPr/>
          <w:p>
            <w:pPr>
              <w:pStyle w:val="Compact"/>
              <w:jc w:val="left"/>
            </w:pPr>
            <w:r>
              <w:t xml:space="preserve">Technique Goal</w:t>
            </w:r>
          </w:p>
        </w:tc>
        <w:tc>
          <w:tcPr/>
          <w:p>
            <w:pPr>
              <w:pStyle w:val="Compact"/>
              <w:jc w:val="left"/>
            </w:pPr>
            <w:r>
              <w:t xml:space="preserve">Keep defect and adoption risk visible in real time.</w:t>
            </w:r>
          </w:p>
        </w:tc>
      </w:tr>
      <w:tr>
        <w:tc>
          <w:tcPr/>
          <w:p>
            <w:pPr>
              <w:pStyle w:val="Compact"/>
              <w:jc w:val="left"/>
            </w:pPr>
            <w:r>
              <w:t xml:space="preserve">Technique Details</w:t>
            </w:r>
          </w:p>
        </w:tc>
        <w:tc>
          <w:tcPr/>
          <w:p>
            <w:pPr>
              <w:pStyle w:val="Compact"/>
              <w:jc w:val="left"/>
            </w:pPr>
            <w:r>
              <w:t xml:space="preserve">A 15-minute daily stand-up across ITL, CM and SUP reviewing new tickets, adoption metrics and any emerging pattern.</w:t>
            </w:r>
          </w:p>
        </w:tc>
      </w:tr>
      <w:tr>
        <w:tc>
          <w:tcPr/>
          <w:p>
            <w:pPr>
              <w:pStyle w:val="Compact"/>
              <w:jc w:val="left"/>
            </w:pPr>
            <w:r>
              <w:t xml:space="preserve">Recommended Open-Source Tool</w:t>
            </w:r>
          </w:p>
        </w:tc>
        <w:tc>
          <w:tcPr/>
          <w:p>
            <w:pPr>
              <w:pStyle w:val="Compact"/>
              <w:jc w:val="left"/>
            </w:pPr>
            <w:r>
              <w:t xml:space="preserve">Mattermost</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SUP, ITL</w:t>
            </w:r>
          </w:p>
        </w:tc>
        <w:tc>
          <w:tcPr/>
          <w:p>
            <w:pPr>
              <w:pStyle w:val="Compact"/>
              <w:jc w:val="left"/>
            </w:pPr>
            <w:r>
              <w:t xml:space="preserve">CM</w:t>
            </w:r>
          </w:p>
        </w:tc>
        <w:tc>
          <w:tcPr/>
          <w:p>
            <w:pPr>
              <w:pStyle w:val="Compact"/>
              <w:jc w:val="left"/>
            </w:pPr>
            <w:r>
              <w:t xml:space="preserve">FPO</w:t>
            </w:r>
          </w:p>
        </w:tc>
        <w:tc>
          <w:tcPr/>
          <w:p>
            <w:pPr>
              <w:pStyle w:val="Compact"/>
              <w:jc w:val="left"/>
            </w:pPr>
            <w:r>
              <w:t xml:space="preserve">PM</w:t>
            </w:r>
          </w:p>
        </w:tc>
        <w:tc>
          <w:tcPr/>
          <w:p>
            <w:pPr>
              <w:pStyle w:val="Compact"/>
              <w:jc w:val="left"/>
            </w:pPr>
            <w:r>
              <w:t xml:space="preserve">ES, EU</w:t>
            </w:r>
          </w:p>
        </w:tc>
      </w:tr>
    </w:tbl>
    <w:p>
      <w:pPr>
        <w:pStyle w:val="BodyText"/>
      </w:pPr>
      <w:r>
        <w:rPr>
          <w:bCs/>
          <w:b/>
          <w:color w:val="275650"/>
          <w:sz w:val="27"/>
        </w:rPr>
        <w:t xml:space="preserve">6.7 Phase 7 — Hypercare &amp; Stabilization (Weeks 37–48)</w:t>
      </w:r>
    </w:p>
    <w:p>
      <w:pPr>
        <w:pStyle w:val="BodyText"/>
      </w:pPr>
      <w:r>
        <w:t xml:space="preserve">The last mile of adoption is won or lost here — and regression is normal, expected behavior, not a data error (Exception E4).</w:t>
      </w:r>
    </w:p>
    <w:p>
      <w:pPr>
        <w:pStyle w:val="BodyText"/>
      </w:pPr>
      <w:r>
        <w:rPr>
          <w:bCs/>
          <w:b/>
        </w:rPr>
        <w:t xml:space="preserve">Timeline</w:t>
      </w:r>
    </w:p>
    <w:tbl>
      <w:tblPr>
        <w:tblStyle w:val="Table"/>
        <w:tblW w:type="pct" w:w="4926"/>
        <w:tblLook w:firstRow="1" w:lastRow="0" w:firstColumn="0" w:lastColumn="0" w:noHBand="0" w:noVBand="0" w:val="0020"/>
        <w:jc w:val="start"/>
      </w:tblPr>
      <w:tblGrid>
        <w:gridCol w:w="645"/>
        <w:gridCol w:w="5104"/>
        <w:gridCol w:w="1173"/>
        <w:gridCol w:w="880"/>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Owner(s)</w:t>
            </w:r>
          </w:p>
        </w:tc>
      </w:tr>
      <w:tr>
        <w:tc>
          <w:tcPr/>
          <w:p>
            <w:pPr>
              <w:pStyle w:val="Compact"/>
              <w:jc w:val="left"/>
            </w:pPr>
            <w:r>
              <w:t xml:space="preserve">W38</w:t>
            </w:r>
          </w:p>
        </w:tc>
        <w:tc>
          <w:tcPr/>
          <w:p>
            <w:pPr>
              <w:pStyle w:val="Compact"/>
              <w:jc w:val="left"/>
            </w:pPr>
            <w:r>
              <w:t xml:space="preserve">Staff the elevated support desk; begin daily adoption-metric tracking.</w:t>
            </w:r>
          </w:p>
        </w:tc>
        <w:tc>
          <w:tcPr/>
          <w:p>
            <w:pPr>
              <w:pStyle w:val="Compact"/>
              <w:jc w:val="left"/>
            </w:pPr>
            <w:r>
              <w:t xml:space="preserve">—</w:t>
            </w:r>
          </w:p>
        </w:tc>
        <w:tc>
          <w:tcPr/>
          <w:p>
            <w:pPr>
              <w:pStyle w:val="Compact"/>
              <w:jc w:val="left"/>
            </w:pPr>
            <w:r>
              <w:t xml:space="preserve">ITL, CM</w:t>
            </w:r>
          </w:p>
        </w:tc>
      </w:tr>
      <w:tr>
        <w:tc>
          <w:tcPr/>
          <w:p>
            <w:pPr>
              <w:pStyle w:val="Compact"/>
              <w:jc w:val="left"/>
            </w:pPr>
            <w:r>
              <w:t xml:space="preserve">W39–W40</w:t>
            </w:r>
          </w:p>
        </w:tc>
        <w:tc>
          <w:tcPr/>
          <w:p>
            <w:pPr>
              <w:pStyle w:val="Compact"/>
              <w:jc w:val="left"/>
            </w:pPr>
            <w:r>
              <w:t xml:space="preserve">First Kübler-Ross / Bridges re-pulse (2-week mark).</w:t>
            </w:r>
          </w:p>
        </w:tc>
        <w:tc>
          <w:tcPr/>
          <w:p>
            <w:pPr>
              <w:pStyle w:val="Compact"/>
              <w:jc w:val="left"/>
            </w:pPr>
            <w:r>
              <w:t xml:space="preserve">M6 CM</w:t>
            </w:r>
          </w:p>
        </w:tc>
        <w:tc>
          <w:tcPr/>
          <w:p>
            <w:pPr>
              <w:pStyle w:val="Compact"/>
            </w:pPr>
          </w:p>
        </w:tc>
      </w:tr>
      <w:tr>
        <w:tc>
          <w:tcPr/>
          <w:p>
            <w:pPr>
              <w:pStyle w:val="Compact"/>
              <w:jc w:val="left"/>
            </w:pPr>
            <w:r>
              <w:t xml:space="preserve">W41–W42</w:t>
            </w:r>
          </w:p>
        </w:tc>
        <w:tc>
          <w:tcPr/>
          <w:p>
            <w:pPr>
              <w:pStyle w:val="Compact"/>
              <w:jc w:val="left"/>
            </w:pPr>
            <w:r>
              <w:t xml:space="preserve">Coach any cohort showing regression; continue daily metric triage.</w:t>
            </w:r>
          </w:p>
        </w:tc>
        <w:tc>
          <w:tcPr/>
          <w:p>
            <w:pPr>
              <w:pStyle w:val="Compact"/>
              <w:jc w:val="left"/>
            </w:pPr>
            <w:r>
              <w:t xml:space="preserve">—</w:t>
            </w:r>
          </w:p>
        </w:tc>
        <w:tc>
          <w:tcPr/>
          <w:p>
            <w:pPr>
              <w:pStyle w:val="Compact"/>
              <w:jc w:val="left"/>
            </w:pPr>
            <w:r>
              <w:t xml:space="preserve">SUP, CM</w:t>
            </w:r>
          </w:p>
        </w:tc>
      </w:tr>
      <w:tr>
        <w:tc>
          <w:tcPr/>
          <w:p>
            <w:pPr>
              <w:pStyle w:val="Compact"/>
              <w:jc w:val="left"/>
            </w:pPr>
            <w:r>
              <w:t xml:space="preserve">W43–W44</w:t>
            </w:r>
          </w:p>
        </w:tc>
        <w:tc>
          <w:tcPr/>
          <w:p>
            <w:pPr>
              <w:pStyle w:val="Compact"/>
              <w:jc w:val="left"/>
            </w:pPr>
            <w:r>
              <w:t xml:space="preserve">Second re-pulse (4-week mark); compare against the provisional Lewin call.</w:t>
            </w:r>
          </w:p>
        </w:tc>
        <w:tc>
          <w:tcPr/>
          <w:p>
            <w:pPr>
              <w:pStyle w:val="Compact"/>
              <w:jc w:val="left"/>
            </w:pPr>
            <w:r>
              <w:t xml:space="preserve">M6 CM</w:t>
            </w:r>
          </w:p>
        </w:tc>
        <w:tc>
          <w:tcPr/>
          <w:p>
            <w:pPr>
              <w:pStyle w:val="Compact"/>
            </w:pPr>
          </w:p>
        </w:tc>
      </w:tr>
      <w:tr>
        <w:tc>
          <w:tcPr/>
          <w:p>
            <w:pPr>
              <w:pStyle w:val="Compact"/>
              <w:jc w:val="left"/>
            </w:pPr>
            <w:r>
              <w:t xml:space="preserve">W45–W46</w:t>
            </w:r>
          </w:p>
        </w:tc>
        <w:tc>
          <w:tcPr/>
          <w:p>
            <w:pPr>
              <w:pStyle w:val="Compact"/>
              <w:jc w:val="left"/>
            </w:pPr>
            <w:r>
              <w:t xml:space="preserve">Begin tapering support toward standard service levels where metrics have stabilized.</w:t>
            </w:r>
          </w:p>
        </w:tc>
        <w:tc>
          <w:tcPr/>
          <w:p>
            <w:pPr>
              <w:pStyle w:val="Compact"/>
              <w:jc w:val="left"/>
            </w:pPr>
            <w:r>
              <w:t xml:space="preserve">—</w:t>
            </w:r>
          </w:p>
        </w:tc>
        <w:tc>
          <w:tcPr/>
          <w:p>
            <w:pPr>
              <w:pStyle w:val="Compact"/>
              <w:jc w:val="left"/>
            </w:pPr>
            <w:r>
              <w:t xml:space="preserve">ITL, CM</w:t>
            </w:r>
          </w:p>
        </w:tc>
      </w:tr>
      <w:tr>
        <w:tc>
          <w:tcPr/>
          <w:p>
            <w:pPr>
              <w:pStyle w:val="Compact"/>
              <w:jc w:val="left"/>
            </w:pPr>
            <w:r>
              <w:t xml:space="preserve">W47–W48</w:t>
            </w:r>
          </w:p>
        </w:tc>
        <w:tc>
          <w:tcPr/>
          <w:p>
            <w:pPr>
              <w:pStyle w:val="Compact"/>
              <w:jc w:val="left"/>
            </w:pPr>
            <w:r>
              <w:t xml:space="preserve">Confirm or extend hypercare for lagging cohorts; Phase 7 gate review.</w:t>
            </w:r>
          </w:p>
        </w:tc>
        <w:tc>
          <w:tcPr/>
          <w:p>
            <w:pPr>
              <w:pStyle w:val="Compact"/>
              <w:jc w:val="left"/>
            </w:pPr>
            <w:r>
              <w:t xml:space="preserve">—</w:t>
            </w:r>
          </w:p>
        </w:tc>
        <w:tc>
          <w:tcPr/>
          <w:p>
            <w:pPr>
              <w:pStyle w:val="Compact"/>
              <w:jc w:val="left"/>
            </w:pPr>
            <w:r>
              <w:t xml:space="preserve">CM, ES</w:t>
            </w:r>
          </w:p>
        </w:tc>
      </w:tr>
    </w:tbl>
    <w:p>
      <w:pPr>
        <w:pStyle w:val="BodyText"/>
      </w:pPr>
      <w:r>
        <w:rPr>
          <w:iCs/>
          <w:i/>
        </w:rPr>
        <w:t xml:space="preserve">Week-by-week timeline for Phase 7 — Hypercare &amp; Stabilization.</w:t>
      </w:r>
    </w:p>
    <w:p>
      <w:pPr>
        <w:pStyle w:val="BodyText"/>
      </w:pPr>
      <w:r>
        <w:rPr>
          <w:bCs/>
          <w:b/>
        </w:rPr>
        <w:t xml:space="preserve">SIPOC</w:t>
      </w:r>
    </w:p>
    <w:tbl>
      <w:tblPr>
        <w:tblStyle w:val="Table"/>
        <w:tblW w:type="pct" w:w="4968"/>
        <w:tblLook w:firstRow="1" w:lastRow="0" w:firstColumn="0" w:lastColumn="0" w:noHBand="0" w:noVBand="0" w:val="0020"/>
        <w:jc w:val="start"/>
      </w:tblPr>
      <w:tblGrid>
        <w:gridCol w:w="1305"/>
        <w:gridCol w:w="1797"/>
        <w:gridCol w:w="1238"/>
        <w:gridCol w:w="2052"/>
        <w:gridCol w:w="147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(defect fixes); Change Manager; Frontline Supervisors.</w:t>
            </w:r>
          </w:p>
        </w:tc>
        <w:tc>
          <w:tcPr/>
          <w:p>
            <w:pPr>
              <w:pStyle w:val="Compact"/>
              <w:jc w:val="left"/>
            </w:pPr>
            <w:r>
              <w:t xml:space="preserve">Hypercare support model; defect and incident log; daily / weekly adoption metrics; escalation triggers.</w:t>
            </w:r>
          </w:p>
        </w:tc>
        <w:tc>
          <w:tcPr/>
          <w:p>
            <w:pPr>
              <w:jc w:val="left"/>
            </w:pPr>
            <w:r>
              <w:t xml:space="preserve">1. Staff an elevated support desk for the first weeks post-go-live</w:t>
            </w:r>
          </w:p>
          <w:p>
            <w:pPr>
              <w:jc w:val="left"/>
            </w:pPr>
            <w:r>
              <w:t xml:space="preserve">2. Track adoption metrics daily and triage defects by severity</w:t>
            </w:r>
          </w:p>
          <w:p>
            <w:pPr>
              <w:jc w:val="left"/>
            </w:pPr>
            <w:r>
              <w:t xml:space="preserve">3. Run a Kübler-Ross / Bridges re-pulse at 2 and 4 weeks post-go-live</w:t>
            </w:r>
          </w:p>
          <w:p>
            <w:pPr>
              <w:jc w:val="left"/>
            </w:pPr>
            <w:r>
              <w:t xml:space="preserve">4. Coach any cohort showing regression</w:t>
            </w:r>
          </w:p>
          <w:p>
            <w:pPr>
              <w:jc w:val="left"/>
            </w:pPr>
            <w:r>
              <w:t xml:space="preserve">5. Taper support toward standard service levels as metrics stabilize</w:t>
            </w:r>
          </w:p>
        </w:tc>
        <w:tc>
          <w:tcPr/>
          <w:p>
            <w:pPr>
              <w:pStyle w:val="Compact"/>
              <w:jc w:val="left"/>
            </w:pPr>
            <w:r>
              <w:t xml:space="preserve">Closed or triaged defect log; stabilized adoption metrics; updated Bridges / Kübler-Ross readings; support taper plan.</w:t>
            </w:r>
          </w:p>
        </w:tc>
        <w:tc>
          <w:tcPr/>
          <w:p>
            <w:pPr>
              <w:pStyle w:val="Compact"/>
              <w:jc w:val="left"/>
            </w:pPr>
            <w:r>
              <w:t xml:space="preserve">End users; Steering Committee (stabilization report); Sustainment team (next phase).</w:t>
            </w:r>
          </w:p>
        </w:tc>
      </w:tr>
    </w:tbl>
    <w:p>
      <w:pPr>
        <w:pStyle w:val="BodyText"/>
      </w:pPr>
      <w:r>
        <w:rPr>
          <w:iCs/>
          <w:i/>
        </w:rPr>
        <w:t xml:space="preserve">SIPOC for Phase 7 — Hypercare &amp; Stabilization. The Process column lists this phase's five Tasks in sequence.</w:t>
      </w:r>
    </w:p>
    <w:p>
      <w:pPr>
        <w:pStyle w:val="BodyText"/>
      </w:pPr>
      <w:r>
        <w:rPr>
          <w:bCs/>
          <w:b/>
        </w:rPr>
        <w:t xml:space="preserve">Tasks, Steps, Techniques &amp; RACSI</w:t>
      </w:r>
    </w:p>
    <w:p>
      <w:pPr>
        <w:pStyle w:val="BodyText"/>
      </w:pPr>
      <w:r>
        <w:rPr>
          <w:bCs/>
          <w:b/>
          <w:color w:val="3F827B"/>
          <w:sz w:val="24"/>
        </w:rPr>
        <w:t xml:space="preserve">Task 1 — [PROJECT] Staff an elevated support desk for the first weeks post-go-live</w:t>
      </w:r>
    </w:p>
    <w:p>
      <w:pPr>
        <w:pStyle w:val="BodyText"/>
      </w:pPr>
      <w:r>
        <w:rPr>
          <w:bCs/>
          <w:b/>
          <w:color w:val="5A8F89"/>
          <w:sz w:val="22"/>
        </w:rPr>
        <w:t xml:space="preserve">Step 1 — Publish the support roster</w:t>
      </w:r>
    </w:p>
    <w:p>
      <w:pPr>
        <w:pStyle w:val="BodyText"/>
      </w:pPr>
      <w:r>
        <w:t xml:space="preserve">A named backup for every shift is what prevents a single absence during the highest-risk week of the entire program from leaving a coverage gap.</w:t>
      </w:r>
    </w:p>
    <w:p>
      <w:pPr>
        <w:pStyle w:val="BodyText"/>
      </w:pPr>
      <w:r>
        <w:rPr>
          <w:iCs/>
          <w:i/>
        </w:rPr>
        <w:t xml:space="preserve">SIPOC for this step.</w:t>
      </w:r>
    </w:p>
    <w:tbl>
      <w:tblPr>
        <w:tblStyle w:val="Table"/>
        <w:tblW w:type="pct" w:w="4964"/>
        <w:tblLook w:firstRow="1" w:lastRow="0" w:firstColumn="0" w:lastColumn="0" w:noHBand="0" w:noVBand="0" w:val="0020"/>
        <w:jc w:val="start"/>
      </w:tblPr>
      <w:tblGrid>
        <w:gridCol w:w="2209"/>
        <w:gridCol w:w="3041"/>
        <w:gridCol w:w="832"/>
        <w:gridCol w:w="774"/>
        <w:gridCol w:w="100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(defect fixes); Change Manager; Frontline Supervisors.</w:t>
            </w:r>
          </w:p>
        </w:tc>
        <w:tc>
          <w:tcPr/>
          <w:p>
            <w:pPr>
              <w:pStyle w:val="Compact"/>
              <w:jc w:val="left"/>
            </w:pPr>
            <w:r>
              <w:t xml:space="preserve">Hypercare support model; defect and incident log; daily / weekly adoption metrics; escalation triggers.</w:t>
            </w:r>
          </w:p>
        </w:tc>
        <w:tc>
          <w:tcPr/>
          <w:p>
            <w:pPr>
              <w:pStyle w:val="Compact"/>
              <w:jc w:val="left"/>
            </w:pPr>
            <w:r>
              <w:t xml:space="preserve">Shift-based support roster</w:t>
            </w:r>
          </w:p>
        </w:tc>
        <w:tc>
          <w:tcPr/>
          <w:p>
            <w:pPr>
              <w:pStyle w:val="Compact"/>
              <w:jc w:val="left"/>
            </w:pPr>
            <w:r>
              <w:t xml:space="preserve">Published support roster</w:t>
            </w:r>
          </w:p>
        </w:tc>
        <w:tc>
          <w:tcPr/>
          <w:p>
            <w:pPr>
              <w:pStyle w:val="Compact"/>
              <w:jc w:val="left"/>
            </w:pPr>
            <w:r>
              <w:t xml:space="preserve">Step 2 (Ticket-tagging taxonomy)</w:t>
            </w:r>
          </w:p>
        </w:tc>
      </w:tr>
    </w:tbl>
    <w:p>
      <w:pPr>
        <w:pStyle w:val="BodyText"/>
      </w:pPr>
      <w:r>
        <w:rPr>
          <w:iCs/>
          <w:i/>
        </w:rPr>
        <w:t xml:space="preserve">Technique detail for this step.</w:t>
      </w:r>
    </w:p>
    <w:tbl>
      <w:tblPr>
        <w:tblStyle w:val="Table"/>
        <w:tblW w:type="pct" w:w="4921"/>
        <w:tblLook w:firstRow="1" w:lastRow="0" w:firstColumn="0" w:lastColumn="0" w:noHBand="0" w:noVBand="0" w:val="0020"/>
        <w:jc w:val="start"/>
      </w:tblPr>
      <w:tblGrid>
        <w:gridCol w:w="1948"/>
        <w:gridCol w:w="584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Shift-based support roster</w:t>
            </w:r>
          </w:p>
        </w:tc>
      </w:tr>
      <w:tr>
        <w:tc>
          <w:tcPr/>
          <w:p>
            <w:pPr>
              <w:pStyle w:val="Compact"/>
              <w:jc w:val="left"/>
            </w:pPr>
            <w:r>
              <w:t xml:space="preserve">Technique Goal</w:t>
            </w:r>
          </w:p>
        </w:tc>
        <w:tc>
          <w:tcPr/>
          <w:p>
            <w:pPr>
              <w:pStyle w:val="Compact"/>
              <w:jc w:val="left"/>
            </w:pPr>
            <w:r>
              <w:t xml:space="preserve">Guarantee coverage through the highest-risk weeks.</w:t>
            </w:r>
          </w:p>
        </w:tc>
      </w:tr>
      <w:tr>
        <w:tc>
          <w:tcPr/>
          <w:p>
            <w:pPr>
              <w:pStyle w:val="Compact"/>
              <w:jc w:val="left"/>
            </w:pPr>
            <w:r>
              <w:t xml:space="preserve">Technique Details</w:t>
            </w:r>
          </w:p>
        </w:tc>
        <w:tc>
          <w:tcPr/>
          <w:p>
            <w:pPr>
              <w:pStyle w:val="Compact"/>
              <w:jc w:val="left"/>
            </w:pPr>
            <w:r>
              <w:t xml:space="preserve">Publish a shift roster covering the full support week, with named backups for every shift.</w:t>
            </w:r>
          </w:p>
        </w:tc>
      </w:tr>
      <w:tr>
        <w:tc>
          <w:tcPr/>
          <w:p>
            <w:pPr>
              <w:pStyle w:val="Compact"/>
              <w:jc w:val="left"/>
            </w:pPr>
            <w:r>
              <w:t xml:space="preserve">Recommended Open-Source Tool</w:t>
            </w:r>
          </w:p>
        </w:tc>
        <w:tc>
          <w:tcPr/>
          <w:p>
            <w:pPr>
              <w:pStyle w:val="Compact"/>
              <w:jc w:val="left"/>
            </w:pPr>
            <w:r>
              <w:t xml:space="preserve">OpenProject (calendar)</w:t>
            </w:r>
          </w:p>
        </w:tc>
      </w:tr>
    </w:tbl>
    <w:p>
      <w:pPr>
        <w:pStyle w:val="BodyText"/>
      </w:pPr>
      <w:r>
        <w:rPr>
          <w:bCs/>
          <w:b/>
          <w:color w:val="5A8F89"/>
          <w:sz w:val="22"/>
        </w:rPr>
        <w:t xml:space="preserve">Step 2 — Tag tickets by process step</w:t>
      </w:r>
    </w:p>
    <w:p>
      <w:pPr>
        <w:pStyle w:val="BodyText"/>
      </w:pPr>
      <w:r>
        <w:t xml:space="preserve">An untagged ticket queue can hide a real pattern in plain sight; tagging by process step is what turns forty individual complaints into one visible signal.</w:t>
      </w:r>
    </w:p>
    <w:p>
      <w:pPr>
        <w:pStyle w:val="BodyText"/>
      </w:pPr>
      <w:r>
        <w:rPr>
          <w:iCs/>
          <w:i/>
        </w:rPr>
        <w:t xml:space="preserve">SIPOC for this step.</w:t>
      </w:r>
    </w:p>
    <w:tbl>
      <w:tblPr>
        <w:tblStyle w:val="Table"/>
        <w:tblW w:type="pct" w:w="4953"/>
        <w:tblLook w:firstRow="1" w:lastRow="0" w:firstColumn="0" w:lastColumn="0" w:noHBand="0" w:noVBand="0" w:val="0020"/>
        <w:jc w:val="start"/>
      </w:tblPr>
      <w:tblGrid>
        <w:gridCol w:w="1768"/>
        <w:gridCol w:w="994"/>
        <w:gridCol w:w="957"/>
        <w:gridCol w:w="920"/>
        <w:gridCol w:w="320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(Shift-based support roster)</w:t>
            </w:r>
          </w:p>
        </w:tc>
        <w:tc>
          <w:tcPr/>
          <w:p>
            <w:pPr>
              <w:pStyle w:val="Compact"/>
              <w:jc w:val="left"/>
            </w:pPr>
            <w:r>
              <w:t xml:space="preserve">Published support roster</w:t>
            </w:r>
          </w:p>
        </w:tc>
        <w:tc>
          <w:tcPr/>
          <w:p>
            <w:pPr>
              <w:pStyle w:val="Compact"/>
              <w:jc w:val="left"/>
            </w:pPr>
            <w:r>
              <w:t xml:space="preserve">Ticket-tagging taxonomy</w:t>
            </w:r>
          </w:p>
        </w:tc>
        <w:tc>
          <w:tcPr/>
          <w:p>
            <w:pPr>
              <w:pStyle w:val="Compact"/>
              <w:jc w:val="left"/>
            </w:pPr>
            <w:r>
              <w:t xml:space="preserve">Tagged ticket taxonomy</w:t>
            </w:r>
          </w:p>
        </w:tc>
        <w:tc>
          <w:tcPr/>
          <w:p>
            <w:pPr>
              <w:pStyle w:val="Compact"/>
              <w:jc w:val="left"/>
            </w:pPr>
            <w:r>
              <w:t xml:space="preserve">End users; Steering Committee (stabilization report); Sustainment team (next phase).</w:t>
            </w:r>
          </w:p>
        </w:tc>
      </w:tr>
    </w:tbl>
    <w:p>
      <w:pPr>
        <w:pStyle w:val="BodyText"/>
      </w:pPr>
      <w:r>
        <w:rPr>
          <w:iCs/>
          <w:i/>
        </w:rPr>
        <w:t xml:space="preserve">Technique detail for this step.</w:t>
      </w:r>
    </w:p>
    <w:tbl>
      <w:tblPr>
        <w:tblStyle w:val="Table"/>
        <w:tblW w:type="pct" w:w="4927"/>
        <w:tblLook w:firstRow="1" w:lastRow="0" w:firstColumn="0" w:lastColumn="0" w:noHBand="0" w:noVBand="0" w:val="0020"/>
        <w:jc w:val="start"/>
      </w:tblPr>
      <w:tblGrid>
        <w:gridCol w:w="1792"/>
        <w:gridCol w:w="601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Ticket-tagging taxonomy</w:t>
            </w:r>
          </w:p>
        </w:tc>
      </w:tr>
      <w:tr>
        <w:tc>
          <w:tcPr/>
          <w:p>
            <w:pPr>
              <w:pStyle w:val="Compact"/>
              <w:jc w:val="left"/>
            </w:pPr>
            <w:r>
              <w:t xml:space="preserve">Technique Goal</w:t>
            </w:r>
          </w:p>
        </w:tc>
        <w:tc>
          <w:tcPr/>
          <w:p>
            <w:pPr>
              <w:pStyle w:val="Compact"/>
              <w:jc w:val="left"/>
            </w:pPr>
            <w:r>
              <w:t xml:space="preserve">Classify tickets by process step for pattern detection.</w:t>
            </w:r>
          </w:p>
        </w:tc>
      </w:tr>
      <w:tr>
        <w:tc>
          <w:tcPr/>
          <w:p>
            <w:pPr>
              <w:pStyle w:val="Compact"/>
              <w:jc w:val="left"/>
            </w:pPr>
            <w:r>
              <w:t xml:space="preserve">Technique Details</w:t>
            </w:r>
          </w:p>
        </w:tc>
        <w:tc>
          <w:tcPr/>
          <w:p>
            <w:pPr>
              <w:pStyle w:val="Compact"/>
              <w:jc w:val="left"/>
            </w:pPr>
            <w:r>
              <w:t xml:space="preserve">Tag every ticket against the process step it relates to, so a recurring pattern surfaces immediately.</w:t>
            </w:r>
          </w:p>
        </w:tc>
      </w:tr>
      <w:tr>
        <w:tc>
          <w:tcPr/>
          <w:p>
            <w:pPr>
              <w:pStyle w:val="Compact"/>
              <w:jc w:val="left"/>
            </w:pPr>
            <w:r>
              <w:t xml:space="preserve">Recommended Open-Source Tool</w:t>
            </w:r>
          </w:p>
        </w:tc>
        <w:tc>
          <w:tcPr/>
          <w:p>
            <w:pPr>
              <w:pStyle w:val="Compact"/>
              <w:jc w:val="left"/>
            </w:pPr>
            <w:r>
              <w:t xml:space="preserve">osTicket</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 SUP</w:t>
            </w:r>
          </w:p>
        </w:tc>
        <w:tc>
          <w:tcPr/>
          <w:p>
            <w:pPr>
              <w:pStyle w:val="Compact"/>
              <w:jc w:val="left"/>
            </w:pPr>
            <w:r>
              <w:t xml:space="preserve">ITL</w:t>
            </w:r>
          </w:p>
        </w:tc>
        <w:tc>
          <w:tcPr/>
          <w:p>
            <w:pPr>
              <w:pStyle w:val="Compact"/>
              <w:jc w:val="left"/>
            </w:pPr>
            <w:r>
              <w:t xml:space="preserve">PM</w:t>
            </w:r>
          </w:p>
        </w:tc>
        <w:tc>
          <w:tcPr/>
          <w:p>
            <w:pPr>
              <w:pStyle w:val="Compact"/>
              <w:jc w:val="left"/>
            </w:pPr>
            <w:r>
              <w:t xml:space="preserve">CM</w:t>
            </w:r>
          </w:p>
        </w:tc>
        <w:tc>
          <w:tcPr/>
          <w:p>
            <w:pPr>
              <w:pStyle w:val="Compact"/>
              <w:jc w:val="left"/>
            </w:pPr>
            <w:r>
              <w:t xml:space="preserve">ES, FPO, EU</w:t>
            </w:r>
          </w:p>
        </w:tc>
      </w:tr>
    </w:tbl>
    <w:p>
      <w:pPr>
        <w:pStyle w:val="BodyText"/>
      </w:pPr>
      <w:r>
        <w:rPr>
          <w:bCs/>
          <w:b/>
          <w:color w:val="3F827B"/>
          <w:sz w:val="24"/>
        </w:rPr>
        <w:t xml:space="preserve">Task 2 — [PROJECT] Track adoption metrics daily and triage defects by severity</w:t>
      </w:r>
    </w:p>
    <w:p>
      <w:pPr>
        <w:pStyle w:val="BodyText"/>
      </w:pPr>
      <w:r>
        <w:rPr>
          <w:bCs/>
          <w:b/>
          <w:color w:val="5A8F89"/>
          <w:sz w:val="22"/>
        </w:rPr>
        <w:t xml:space="preserve">Step 1 — Build the adoption dashboard</w:t>
      </w:r>
    </w:p>
    <w:p>
      <w:pPr>
        <w:pStyle w:val="BodyText"/>
      </w:pPr>
      <w:r>
        <w:t xml:space="preserve">Plotting daily volume and error rate against the pre-go-live baseline is what turns</w:t>
      </w:r>
      <w:r>
        <w:t xml:space="preserve"> </w:t>
      </w:r>
      <w:r>
        <w:t xml:space="preserve">“</w:t>
      </w:r>
      <w:r>
        <w:t xml:space="preserve">it feels busy</w:t>
      </w:r>
      <w:r>
        <w:t xml:space="preserve">”</w:t>
      </w:r>
      <w:r>
        <w:t xml:space="preserve"> </w:t>
      </w:r>
      <w:r>
        <w:t xml:space="preserve">into a specific, checkable claim.</w:t>
      </w:r>
    </w:p>
    <w:p>
      <w:pPr>
        <w:pStyle w:val="BodyText"/>
      </w:pPr>
      <w:r>
        <w:rPr>
          <w:iCs/>
          <w:i/>
        </w:rPr>
        <w:t xml:space="preserve">SIPOC for this step.</w:t>
      </w:r>
    </w:p>
    <w:tbl>
      <w:tblPr>
        <w:tblStyle w:val="Table"/>
        <w:tblW w:type="pct" w:w="4963"/>
        <w:tblLook w:firstRow="1" w:lastRow="0" w:firstColumn="0" w:lastColumn="0" w:noHBand="0" w:noVBand="0" w:val="0020"/>
        <w:jc w:val="start"/>
      </w:tblPr>
      <w:tblGrid>
        <w:gridCol w:w="2233"/>
        <w:gridCol w:w="3075"/>
        <w:gridCol w:w="609"/>
        <w:gridCol w:w="783"/>
        <w:gridCol w:w="116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(defect fixes); Change Manager; Frontline Supervisors.</w:t>
            </w:r>
          </w:p>
        </w:tc>
        <w:tc>
          <w:tcPr/>
          <w:p>
            <w:pPr>
              <w:pStyle w:val="Compact"/>
              <w:jc w:val="left"/>
            </w:pPr>
            <w:r>
              <w:t xml:space="preserve">Hypercare support model; defect and incident log; daily / weekly adoption metrics; escalation triggers.</w:t>
            </w:r>
          </w:p>
        </w:tc>
        <w:tc>
          <w:tcPr/>
          <w:p>
            <w:pPr>
              <w:pStyle w:val="Compact"/>
              <w:jc w:val="left"/>
            </w:pPr>
            <w:r>
              <w:t xml:space="preserve">Adoption dashboard</w:t>
            </w:r>
          </w:p>
        </w:tc>
        <w:tc>
          <w:tcPr/>
          <w:p>
            <w:pPr>
              <w:pStyle w:val="Compact"/>
              <w:jc w:val="left"/>
            </w:pPr>
            <w:r>
              <w:t xml:space="preserve">Daily adoption dashboard</w:t>
            </w:r>
          </w:p>
        </w:tc>
        <w:tc>
          <w:tcPr/>
          <w:p>
            <w:pPr>
              <w:pStyle w:val="Compact"/>
              <w:jc w:val="left"/>
            </w:pPr>
            <w:r>
              <w:t xml:space="preserve">Step 2 (Severity-based defect triage)</w:t>
            </w:r>
          </w:p>
        </w:tc>
      </w:tr>
    </w:tbl>
    <w:p>
      <w:pPr>
        <w:pStyle w:val="BodyText"/>
      </w:pPr>
      <w:r>
        <w:rPr>
          <w:iCs/>
          <w:i/>
        </w:rPr>
        <w:t xml:space="preserve">Technique detail for this step.</w:t>
      </w:r>
    </w:p>
    <w:tbl>
      <w:tblPr>
        <w:tblStyle w:val="Table"/>
        <w:tblW w:type="pct" w:w="4938"/>
        <w:tblLook w:firstRow="1" w:lastRow="0" w:firstColumn="0" w:lastColumn="0" w:noHBand="0" w:noVBand="0" w:val="0020"/>
        <w:jc w:val="start"/>
      </w:tblPr>
      <w:tblGrid>
        <w:gridCol w:w="1524"/>
        <w:gridCol w:w="629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Adoption dashboard</w:t>
            </w:r>
          </w:p>
        </w:tc>
      </w:tr>
      <w:tr>
        <w:tc>
          <w:tcPr/>
          <w:p>
            <w:pPr>
              <w:pStyle w:val="Compact"/>
              <w:jc w:val="left"/>
            </w:pPr>
            <w:r>
              <w:t xml:space="preserve">Technique Goal</w:t>
            </w:r>
          </w:p>
        </w:tc>
        <w:tc>
          <w:tcPr/>
          <w:p>
            <w:pPr>
              <w:pStyle w:val="Compact"/>
              <w:jc w:val="left"/>
            </w:pPr>
            <w:r>
              <w:t xml:space="preserve">Make daily usage and error trends visible at a glance.</w:t>
            </w:r>
          </w:p>
        </w:tc>
      </w:tr>
      <w:tr>
        <w:tc>
          <w:tcPr/>
          <w:p>
            <w:pPr>
              <w:pStyle w:val="Compact"/>
              <w:jc w:val="left"/>
            </w:pPr>
            <w:r>
              <w:t xml:space="preserve">Technique Details</w:t>
            </w:r>
          </w:p>
        </w:tc>
        <w:tc>
          <w:tcPr/>
          <w:p>
            <w:pPr>
              <w:pStyle w:val="Compact"/>
              <w:jc w:val="left"/>
            </w:pPr>
            <w:r>
              <w:t xml:space="preserve">A single dashboard showing daily transaction volume, error rate and help-desk ticket volume against the pre-go-live baseline.</w:t>
            </w:r>
          </w:p>
        </w:tc>
      </w:tr>
      <w:tr>
        <w:tc>
          <w:tcPr/>
          <w:p>
            <w:pPr>
              <w:pStyle w:val="Compact"/>
              <w:jc w:val="left"/>
            </w:pPr>
            <w:r>
              <w:t xml:space="preserve">Recommended Open-Source Tool</w:t>
            </w:r>
          </w:p>
        </w:tc>
        <w:tc>
          <w:tcPr/>
          <w:p>
            <w:pPr>
              <w:pStyle w:val="Compact"/>
              <w:jc w:val="left"/>
            </w:pPr>
            <w:r>
              <w:t xml:space="preserve">Apache Superset</w:t>
            </w:r>
          </w:p>
        </w:tc>
      </w:tr>
    </w:tbl>
    <w:p>
      <w:pPr>
        <w:pStyle w:val="BodyText"/>
      </w:pPr>
      <w:r>
        <w:rPr>
          <w:bCs/>
          <w:b/>
          <w:color w:val="5A8F89"/>
          <w:sz w:val="22"/>
        </w:rPr>
        <w:t xml:space="preserve">Step 2 — Re-triage defects by severity</w:t>
      </w:r>
    </w:p>
    <w:p>
      <w:pPr>
        <w:pStyle w:val="BodyText"/>
      </w:pPr>
      <w:r>
        <w:t xml:space="preserve">Fixing tickets in the order they arrived rather than by severity means a minor cosmetic issue reported early can delay a fix for a blocker reported later the same day.</w:t>
      </w:r>
    </w:p>
    <w:p>
      <w:pPr>
        <w:pStyle w:val="BodyText"/>
      </w:pPr>
      <w:r>
        <w:rPr>
          <w:iCs/>
          <w:i/>
        </w:rPr>
        <w:t xml:space="preserve">SIPOC for this step.</w:t>
      </w:r>
    </w:p>
    <w:tbl>
      <w:tblPr>
        <w:tblStyle w:val="Table"/>
        <w:tblW w:type="pct" w:w="4953"/>
        <w:tblLook w:firstRow="1" w:lastRow="0" w:firstColumn="0" w:lastColumn="0" w:noHBand="0" w:noVBand="0" w:val="0020"/>
        <w:jc w:val="start"/>
      </w:tblPr>
      <w:tblGrid>
        <w:gridCol w:w="1487"/>
        <w:gridCol w:w="1003"/>
        <w:gridCol w:w="1152"/>
        <w:gridCol w:w="966"/>
        <w:gridCol w:w="323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(Adoption dashboard)</w:t>
            </w:r>
          </w:p>
        </w:tc>
        <w:tc>
          <w:tcPr/>
          <w:p>
            <w:pPr>
              <w:pStyle w:val="Compact"/>
              <w:jc w:val="left"/>
            </w:pPr>
            <w:r>
              <w:t xml:space="preserve">Daily adoption dashboard</w:t>
            </w:r>
          </w:p>
        </w:tc>
        <w:tc>
          <w:tcPr/>
          <w:p>
            <w:pPr>
              <w:pStyle w:val="Compact"/>
              <w:jc w:val="left"/>
            </w:pPr>
            <w:r>
              <w:t xml:space="preserve">Severity-based defect triage</w:t>
            </w:r>
          </w:p>
        </w:tc>
        <w:tc>
          <w:tcPr/>
          <w:p>
            <w:pPr>
              <w:pStyle w:val="Compact"/>
              <w:jc w:val="left"/>
            </w:pPr>
            <w:r>
              <w:t xml:space="preserve">Re-triaged defect queue</w:t>
            </w:r>
          </w:p>
        </w:tc>
        <w:tc>
          <w:tcPr/>
          <w:p>
            <w:pPr>
              <w:pStyle w:val="Compact"/>
              <w:jc w:val="left"/>
            </w:pPr>
            <w:r>
              <w:t xml:space="preserve">End users; Steering Committee (stabilization report); Sustainment team (next phase).</w:t>
            </w:r>
          </w:p>
        </w:tc>
      </w:tr>
    </w:tbl>
    <w:p>
      <w:pPr>
        <w:pStyle w:val="BodyText"/>
      </w:pPr>
      <w:r>
        <w:rPr>
          <w:iCs/>
          <w:i/>
        </w:rPr>
        <w:t xml:space="preserve">Technique detail for this step.</w:t>
      </w:r>
    </w:p>
    <w:tbl>
      <w:tblPr>
        <w:tblStyle w:val="Table"/>
        <w:tblW w:type="pct" w:w="4931"/>
        <w:tblLook w:firstRow="1" w:lastRow="0" w:firstColumn="0" w:lastColumn="0" w:noHBand="0" w:noVBand="0" w:val="0020"/>
        <w:jc w:val="start"/>
      </w:tblPr>
      <w:tblGrid>
        <w:gridCol w:w="1693"/>
        <w:gridCol w:w="611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Severity-based defect triage</w:t>
            </w:r>
          </w:p>
        </w:tc>
      </w:tr>
      <w:tr>
        <w:tc>
          <w:tcPr/>
          <w:p>
            <w:pPr>
              <w:pStyle w:val="Compact"/>
              <w:jc w:val="left"/>
            </w:pPr>
            <w:r>
              <w:t xml:space="preserve">Technique Goal</w:t>
            </w:r>
          </w:p>
        </w:tc>
        <w:tc>
          <w:tcPr/>
          <w:p>
            <w:pPr>
              <w:pStyle w:val="Compact"/>
              <w:jc w:val="left"/>
            </w:pPr>
            <w:r>
              <w:t xml:space="preserve">Route fixes by business impact rather than arrival order.</w:t>
            </w:r>
          </w:p>
        </w:tc>
      </w:tr>
      <w:tr>
        <w:tc>
          <w:tcPr/>
          <w:p>
            <w:pPr>
              <w:pStyle w:val="Compact"/>
              <w:jc w:val="left"/>
            </w:pPr>
            <w:r>
              <w:t xml:space="preserve">Technique Details</w:t>
            </w:r>
          </w:p>
        </w:tc>
        <w:tc>
          <w:tcPr/>
          <w:p>
            <w:pPr>
              <w:pStyle w:val="Compact"/>
              <w:jc w:val="left"/>
            </w:pPr>
            <w:r>
              <w:t xml:space="preserve">Re-triage the defect queue each morning; blockers get same-day attention regardless of when they were logged.</w:t>
            </w:r>
          </w:p>
        </w:tc>
      </w:tr>
      <w:tr>
        <w:tc>
          <w:tcPr/>
          <w:p>
            <w:pPr>
              <w:pStyle w:val="Compact"/>
              <w:jc w:val="left"/>
            </w:pPr>
            <w:r>
              <w:t xml:space="preserve">Recommended Open-Source Tool</w:t>
            </w:r>
          </w:p>
        </w:tc>
        <w:tc>
          <w:tcPr/>
          <w:p>
            <w:pPr>
              <w:pStyle w:val="Compact"/>
              <w:jc w:val="left"/>
            </w:pPr>
            <w:r>
              <w:t xml:space="preserve">Mantis BT</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ITL</w:t>
            </w:r>
          </w:p>
        </w:tc>
        <w:tc>
          <w:tcPr/>
          <w:p>
            <w:pPr>
              <w:pStyle w:val="Compact"/>
              <w:jc w:val="left"/>
            </w:pPr>
            <w:r>
              <w:t xml:space="preserve">CM</w:t>
            </w:r>
          </w:p>
        </w:tc>
        <w:tc>
          <w:tcPr/>
          <w:p>
            <w:pPr>
              <w:pStyle w:val="Compact"/>
              <w:jc w:val="left"/>
            </w:pPr>
            <w:r>
              <w:t xml:space="preserve">PM, FPO</w:t>
            </w:r>
          </w:p>
        </w:tc>
        <w:tc>
          <w:tcPr/>
          <w:p>
            <w:pPr>
              <w:pStyle w:val="Compact"/>
              <w:jc w:val="left"/>
            </w:pPr>
            <w:r>
              <w:t xml:space="preserve">SUP</w:t>
            </w:r>
          </w:p>
        </w:tc>
        <w:tc>
          <w:tcPr/>
          <w:p>
            <w:pPr>
              <w:pStyle w:val="Compact"/>
              <w:jc w:val="left"/>
            </w:pPr>
            <w:r>
              <w:t xml:space="preserve">ES, EU</w:t>
            </w:r>
          </w:p>
        </w:tc>
      </w:tr>
    </w:tbl>
    <w:p>
      <w:pPr>
        <w:pStyle w:val="BodyText"/>
      </w:pPr>
      <w:r>
        <w:rPr>
          <w:bCs/>
          <w:b/>
          <w:color w:val="3F827B"/>
          <w:sz w:val="24"/>
        </w:rPr>
        <w:t xml:space="preserve">Task 3 — [CHANGE] Run a Kübler-Ross / Bridges re-pulse at 2 and 4 weeks post-go-live</w:t>
      </w:r>
    </w:p>
    <w:p>
      <w:pPr>
        <w:pStyle w:val="BodyText"/>
      </w:pPr>
      <w:r>
        <w:rPr>
          <w:bCs/>
          <w:b/>
        </w:rPr>
        <w:t xml:space="preserve">journi:</w:t>
      </w:r>
      <w:r>
        <w:t xml:space="preserve"> </w:t>
      </w:r>
      <w:r>
        <w:rPr>
          <w:iCs/>
          <w:i/>
        </w:rPr>
        <w:t xml:space="preserve">This is entered/updated in journi — M6.</w:t>
      </w:r>
    </w:p>
    <w:p>
      <w:pPr>
        <w:pStyle w:val="BodyText"/>
      </w:pPr>
      <w:r>
        <w:rPr>
          <w:bCs/>
          <w:b/>
          <w:color w:val="5A8F89"/>
          <w:sz w:val="22"/>
        </w:rPr>
        <w:t xml:space="preserve">Step 1 — Re-pulse the population post-go-live</w:t>
      </w:r>
    </w:p>
    <w:p>
      <w:pPr>
        <w:pStyle w:val="BodyText"/>
      </w:pPr>
      <w:r>
        <w:t xml:space="preserve">Issuing this at exactly weeks 2 and 4 — not</w:t>
      </w:r>
      <w:r>
        <w:t xml:space="preserve"> </w:t>
      </w:r>
      <w:r>
        <w:t xml:space="preserve">“</w:t>
      </w:r>
      <w:r>
        <w:t xml:space="preserve">around</w:t>
      </w:r>
      <w:r>
        <w:t xml:space="preserve">”</w:t>
      </w:r>
      <w:r>
        <w:t xml:space="preserve"> </w:t>
      </w:r>
      <w:r>
        <w:t xml:space="preserve">those dates — is what makes the comparison to the Phase 6 anxiety spike clean enough to trust.</w:t>
      </w:r>
    </w:p>
    <w:p>
      <w:pPr>
        <w:pStyle w:val="BodyText"/>
      </w:pPr>
      <w:r>
        <w:rPr>
          <w:iCs/>
          <w:i/>
        </w:rPr>
        <w:t xml:space="preserve">SIPOC for this step.</w:t>
      </w:r>
    </w:p>
    <w:tbl>
      <w:tblPr>
        <w:tblStyle w:val="Table"/>
        <w:tblW w:type="pct" w:w="4965"/>
        <w:tblLook w:firstRow="1" w:lastRow="0" w:firstColumn="0" w:lastColumn="0" w:noHBand="0" w:noVBand="0" w:val="0020"/>
        <w:jc w:val="start"/>
      </w:tblPr>
      <w:tblGrid>
        <w:gridCol w:w="2124"/>
        <w:gridCol w:w="2925"/>
        <w:gridCol w:w="965"/>
        <w:gridCol w:w="883"/>
        <w:gridCol w:w="96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(defect fixes); Change Manager; Frontline Supervisors.</w:t>
            </w:r>
          </w:p>
        </w:tc>
        <w:tc>
          <w:tcPr/>
          <w:p>
            <w:pPr>
              <w:pStyle w:val="Compact"/>
              <w:jc w:val="left"/>
            </w:pPr>
            <w:r>
              <w:t xml:space="preserve">Hypercare support model; defect and incident log; daily / weekly adoption metrics; escalation triggers.</w:t>
            </w:r>
          </w:p>
        </w:tc>
        <w:tc>
          <w:tcPr/>
          <w:p>
            <w:pPr>
              <w:pStyle w:val="Compact"/>
              <w:jc w:val="left"/>
            </w:pPr>
            <w:r>
              <w:t xml:space="preserve">Pulse survey (post-go-live wave)</w:t>
            </w:r>
          </w:p>
        </w:tc>
        <w:tc>
          <w:tcPr/>
          <w:p>
            <w:pPr>
              <w:pStyle w:val="Compact"/>
              <w:jc w:val="left"/>
            </w:pPr>
            <w:r>
              <w:t xml:space="preserve">Post-go-live sentiment scores</w:t>
            </w:r>
          </w:p>
        </w:tc>
        <w:tc>
          <w:tcPr/>
          <w:p>
            <w:pPr>
              <w:pStyle w:val="Compact"/>
              <w:jc w:val="left"/>
            </w:pPr>
            <w:r>
              <w:t xml:space="preserve">Step 2 (Cohort trend comparison)</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73"/>
        <w:gridCol w:w="624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Pulse survey (post-go-live wave)</w:t>
            </w:r>
          </w:p>
        </w:tc>
      </w:tr>
      <w:tr>
        <w:tc>
          <w:tcPr/>
          <w:p>
            <w:pPr>
              <w:pStyle w:val="Compact"/>
              <w:jc w:val="left"/>
            </w:pPr>
            <w:r>
              <w:t xml:space="preserve">Technique Goal</w:t>
            </w:r>
          </w:p>
        </w:tc>
        <w:tc>
          <w:tcPr/>
          <w:p>
            <w:pPr>
              <w:pStyle w:val="Compact"/>
              <w:jc w:val="left"/>
            </w:pPr>
            <w:r>
              <w:t xml:space="preserve">Measure emotional-layer movement since cutover.</w:t>
            </w:r>
          </w:p>
        </w:tc>
      </w:tr>
      <w:tr>
        <w:tc>
          <w:tcPr/>
          <w:p>
            <w:pPr>
              <w:pStyle w:val="Compact"/>
              <w:jc w:val="left"/>
            </w:pPr>
            <w:r>
              <w:t xml:space="preserve">Technique Details</w:t>
            </w:r>
          </w:p>
        </w:tc>
        <w:tc>
          <w:tcPr/>
          <w:p>
            <w:pPr>
              <w:pStyle w:val="Compact"/>
              <w:jc w:val="left"/>
            </w:pPr>
            <w:r>
              <w:t xml:space="preserve">Re-issue a short 5-question Bridges/Kübler-Ross instrument at exactly weeks 2 and 4 post-go-live for a clean comparison.</w:t>
            </w:r>
          </w:p>
        </w:tc>
      </w:tr>
      <w:tr>
        <w:tc>
          <w:tcPr/>
          <w:p>
            <w:pPr>
              <w:pStyle w:val="Compact"/>
              <w:jc w:val="left"/>
            </w:pPr>
            <w:r>
              <w:t xml:space="preserve">Recommended Open-Source Tool</w:t>
            </w:r>
          </w:p>
        </w:tc>
        <w:tc>
          <w:tcPr/>
          <w:p>
            <w:pPr>
              <w:pStyle w:val="Compact"/>
              <w:jc w:val="left"/>
            </w:pPr>
            <w:r>
              <w:t xml:space="preserve">LimeSurvey</w:t>
            </w:r>
          </w:p>
        </w:tc>
      </w:tr>
    </w:tbl>
    <w:p>
      <w:pPr>
        <w:pStyle w:val="BodyText"/>
      </w:pPr>
      <w:r>
        <w:rPr>
          <w:bCs/>
          <w:b/>
        </w:rPr>
        <w:t xml:space="preserve">journi:</w:t>
      </w:r>
      <w:r>
        <w:t xml:space="preserve"> </w:t>
      </w:r>
      <w:r>
        <w:rPr>
          <w:iCs/>
          <w:i/>
        </w:rPr>
        <w:t xml:space="preserve">This is entered/updated in journi — M6 — Emotional &amp; Transition Layer.</w:t>
      </w:r>
    </w:p>
    <w:p>
      <w:pPr>
        <w:pStyle w:val="BodyText"/>
      </w:pPr>
      <w:r>
        <w:rPr>
          <w:bCs/>
          <w:b/>
          <w:color w:val="5A8F89"/>
          <w:sz w:val="22"/>
        </w:rPr>
        <w:t xml:space="preserve">Step 2 — Compare cohort trends to the phase call</w:t>
      </w:r>
    </w:p>
    <w:p>
      <w:pPr>
        <w:pStyle w:val="BodyText"/>
      </w:pPr>
      <w:r>
        <w:t xml:space="preserve">This comparison is the actual evidence base for either confirming or walking back the provisional Refreeze call made at go-live — not the passage of time alone.</w:t>
      </w:r>
    </w:p>
    <w:p>
      <w:pPr>
        <w:pStyle w:val="BodyText"/>
      </w:pPr>
      <w:r>
        <w:rPr>
          <w:iCs/>
          <w:i/>
        </w:rPr>
        <w:t xml:space="preserve">SIPOC for this step.</w:t>
      </w:r>
    </w:p>
    <w:tbl>
      <w:tblPr>
        <w:tblStyle w:val="Table"/>
        <w:tblW w:type="pct" w:w="4957"/>
        <w:tblLook w:firstRow="1" w:lastRow="0" w:firstColumn="0" w:lastColumn="0" w:noHBand="0" w:noVBand="0" w:val="0020"/>
        <w:jc w:val="start"/>
      </w:tblPr>
      <w:tblGrid>
        <w:gridCol w:w="1827"/>
        <w:gridCol w:w="1083"/>
        <w:gridCol w:w="880"/>
        <w:gridCol w:w="1116"/>
        <w:gridCol w:w="294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(Pulse survey (post-go-live wave))</w:t>
            </w:r>
          </w:p>
        </w:tc>
        <w:tc>
          <w:tcPr/>
          <w:p>
            <w:pPr>
              <w:pStyle w:val="Compact"/>
              <w:jc w:val="left"/>
            </w:pPr>
            <w:r>
              <w:t xml:space="preserve">Post-go-live sentiment scores</w:t>
            </w:r>
          </w:p>
        </w:tc>
        <w:tc>
          <w:tcPr/>
          <w:p>
            <w:pPr>
              <w:pStyle w:val="Compact"/>
              <w:jc w:val="left"/>
            </w:pPr>
            <w:r>
              <w:t xml:space="preserve">Cohort trend comparison</w:t>
            </w:r>
          </w:p>
        </w:tc>
        <w:tc>
          <w:tcPr/>
          <w:p>
            <w:pPr>
              <w:pStyle w:val="Compact"/>
              <w:jc w:val="left"/>
            </w:pPr>
            <w:r>
              <w:t xml:space="preserve">Cohort trend comparison report</w:t>
            </w:r>
          </w:p>
        </w:tc>
        <w:tc>
          <w:tcPr/>
          <w:p>
            <w:pPr>
              <w:pStyle w:val="Compact"/>
              <w:jc w:val="left"/>
            </w:pPr>
            <w:r>
              <w:t xml:space="preserve">End users; Steering Committee (stabilization report); Sustainment team (next phase).</w:t>
            </w:r>
          </w:p>
        </w:tc>
      </w:tr>
    </w:tbl>
    <w:p>
      <w:pPr>
        <w:pStyle w:val="BodyText"/>
      </w:pPr>
      <w:r>
        <w:rPr>
          <w:iCs/>
          <w:i/>
        </w:rPr>
        <w:t xml:space="preserve">Technique detail for this step.</w:t>
      </w:r>
    </w:p>
    <w:tbl>
      <w:tblPr>
        <w:tblStyle w:val="Table"/>
        <w:tblW w:type="pct" w:w="4934"/>
        <w:tblLook w:firstRow="1" w:lastRow="0" w:firstColumn="0" w:lastColumn="0" w:noHBand="0" w:noVBand="0" w:val="0020"/>
        <w:jc w:val="start"/>
      </w:tblPr>
      <w:tblGrid>
        <w:gridCol w:w="1615"/>
        <w:gridCol w:w="6200"/>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Cohort trend comparison</w:t>
            </w:r>
          </w:p>
        </w:tc>
      </w:tr>
      <w:tr>
        <w:tc>
          <w:tcPr/>
          <w:p>
            <w:pPr>
              <w:pStyle w:val="Compact"/>
              <w:jc w:val="left"/>
            </w:pPr>
            <w:r>
              <w:t xml:space="preserve">Technique Goal</w:t>
            </w:r>
          </w:p>
        </w:tc>
        <w:tc>
          <w:tcPr/>
          <w:p>
            <w:pPr>
              <w:pStyle w:val="Compact"/>
              <w:jc w:val="left"/>
            </w:pPr>
            <w:r>
              <w:t xml:space="preserve">Compare re-pulse results against the provisional Lewin call.</w:t>
            </w:r>
          </w:p>
        </w:tc>
      </w:tr>
      <w:tr>
        <w:tc>
          <w:tcPr/>
          <w:p>
            <w:pPr>
              <w:pStyle w:val="Compact"/>
              <w:jc w:val="left"/>
            </w:pPr>
            <w:r>
              <w:t xml:space="preserve">Technique Details</w:t>
            </w:r>
          </w:p>
        </w:tc>
        <w:tc>
          <w:tcPr/>
          <w:p>
            <w:pPr>
              <w:pStyle w:val="Compact"/>
              <w:jc w:val="left"/>
            </w:pPr>
            <w:r>
              <w:t xml:space="preserve">Plot each cohort's Bridges/Kübler-Ross trend against the provisional Lewin phase call to check they are consistent.</w:t>
            </w:r>
          </w:p>
        </w:tc>
      </w:tr>
      <w:tr>
        <w:tc>
          <w:tcPr/>
          <w:p>
            <w:pPr>
              <w:pStyle w:val="Compact"/>
              <w:jc w:val="left"/>
            </w:pPr>
            <w:r>
              <w:t xml:space="preserve">Recommended Open-Source Tool</w:t>
            </w:r>
          </w:p>
        </w:tc>
        <w:tc>
          <w:tcPr/>
          <w:p>
            <w:pPr>
              <w:pStyle w:val="Compact"/>
              <w:jc w:val="left"/>
            </w:pPr>
            <w:r>
              <w:t xml:space="preserve">Metabase</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EU</w:t>
            </w:r>
          </w:p>
        </w:tc>
        <w:tc>
          <w:tcPr/>
          <w:p>
            <w:pPr>
              <w:pStyle w:val="Compact"/>
              <w:jc w:val="left"/>
            </w:pPr>
            <w:r>
              <w:t xml:space="preserve">CM</w:t>
            </w:r>
          </w:p>
        </w:tc>
        <w:tc>
          <w:tcPr/>
          <w:p>
            <w:pPr>
              <w:pStyle w:val="Compact"/>
              <w:jc w:val="left"/>
            </w:pPr>
            <w:r>
              <w:t xml:space="preserve">SUP, FPO</w:t>
            </w:r>
          </w:p>
        </w:tc>
        <w:tc>
          <w:tcPr/>
          <w:p>
            <w:pPr>
              <w:pStyle w:val="Compact"/>
              <w:jc w:val="left"/>
            </w:pPr>
            <w:r>
              <w:t xml:space="preserve">PM</w:t>
            </w:r>
          </w:p>
        </w:tc>
        <w:tc>
          <w:tcPr/>
          <w:p>
            <w:pPr>
              <w:pStyle w:val="Compact"/>
              <w:jc w:val="left"/>
            </w:pPr>
            <w:r>
              <w:t xml:space="preserve">ES, ITL</w:t>
            </w:r>
          </w:p>
        </w:tc>
      </w:tr>
    </w:tbl>
    <w:p>
      <w:pPr>
        <w:pStyle w:val="BodyText"/>
      </w:pPr>
      <w:r>
        <w:rPr>
          <w:bCs/>
          <w:b/>
          <w:color w:val="3F827B"/>
          <w:sz w:val="24"/>
        </w:rPr>
        <w:t xml:space="preserve">Task 4 — [CHANGE] Coach any cohort showing regression</w:t>
      </w:r>
    </w:p>
    <w:p>
      <w:pPr>
        <w:pStyle w:val="BodyText"/>
      </w:pPr>
      <w:r>
        <w:rPr>
          <w:bCs/>
          <w:b/>
          <w:color w:val="5A8F89"/>
          <w:sz w:val="22"/>
        </w:rPr>
        <w:t xml:space="preserve">Step 1 — Check the regression against incidents</w:t>
      </w:r>
    </w:p>
    <w:p>
      <w:pPr>
        <w:pStyle w:val="BodyText"/>
      </w:pPr>
      <w:r>
        <w:t xml:space="preserve">Confirming a link to a specific incident, rather than assuming general readiness failure, is what keeps the response scoped and fast instead of triggering an unnecessary program-wide review.</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2074"/>
        <w:gridCol w:w="2855"/>
        <w:gridCol w:w="673"/>
        <w:gridCol w:w="1131"/>
        <w:gridCol w:w="113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(defect fixes); Change Manager; Frontline Supervisors.</w:t>
            </w:r>
          </w:p>
        </w:tc>
        <w:tc>
          <w:tcPr/>
          <w:p>
            <w:pPr>
              <w:pStyle w:val="Compact"/>
              <w:jc w:val="left"/>
            </w:pPr>
            <w:r>
              <w:t xml:space="preserve">Hypercare support model; defect and incident log; daily / weekly adoption metrics; escalation triggers.</w:t>
            </w:r>
          </w:p>
        </w:tc>
        <w:tc>
          <w:tcPr/>
          <w:p>
            <w:pPr>
              <w:pStyle w:val="Compact"/>
              <w:jc w:val="left"/>
            </w:pPr>
            <w:r>
              <w:t xml:space="preserve">Incident-linkage check</w:t>
            </w:r>
          </w:p>
        </w:tc>
        <w:tc>
          <w:tcPr/>
          <w:p>
            <w:pPr>
              <w:pStyle w:val="Compact"/>
              <w:jc w:val="left"/>
            </w:pPr>
            <w:r>
              <w:t xml:space="preserve">Confirmed or ruled-out incident linkage</w:t>
            </w:r>
          </w:p>
        </w:tc>
        <w:tc>
          <w:tcPr/>
          <w:p>
            <w:pPr>
              <w:pStyle w:val="Compact"/>
              <w:jc w:val="left"/>
            </w:pPr>
            <w:r>
              <w:t xml:space="preserve">Step 2 (Targeted in-context coaching)</w:t>
            </w:r>
          </w:p>
        </w:tc>
      </w:tr>
    </w:tbl>
    <w:p>
      <w:pPr>
        <w:pStyle w:val="BodyText"/>
      </w:pPr>
      <w:r>
        <w:rPr>
          <w:iCs/>
          <w:i/>
        </w:rPr>
        <w:t xml:space="preserve">Technique detail for this step.</w:t>
      </w:r>
    </w:p>
    <w:tbl>
      <w:tblPr>
        <w:tblStyle w:val="Table"/>
        <w:tblW w:type="pct" w:w="4933"/>
        <w:tblLook w:firstRow="1" w:lastRow="0" w:firstColumn="0" w:lastColumn="0" w:noHBand="0" w:noVBand="0" w:val="0020"/>
        <w:jc w:val="start"/>
      </w:tblPr>
      <w:tblGrid>
        <w:gridCol w:w="1636"/>
        <w:gridCol w:w="617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Incident-linkage check</w:t>
            </w:r>
          </w:p>
        </w:tc>
      </w:tr>
      <w:tr>
        <w:tc>
          <w:tcPr/>
          <w:p>
            <w:pPr>
              <w:pStyle w:val="Compact"/>
              <w:jc w:val="left"/>
            </w:pPr>
            <w:r>
              <w:t xml:space="preserve">Technique Goal</w:t>
            </w:r>
          </w:p>
        </w:tc>
        <w:tc>
          <w:tcPr/>
          <w:p>
            <w:pPr>
              <w:pStyle w:val="Compact"/>
              <w:jc w:val="left"/>
            </w:pPr>
            <w:r>
              <w:t xml:space="preserve">Confirm whether a regression traces to a specific incident.</w:t>
            </w:r>
          </w:p>
        </w:tc>
      </w:tr>
      <w:tr>
        <w:tc>
          <w:tcPr/>
          <w:p>
            <w:pPr>
              <w:pStyle w:val="Compact"/>
              <w:jc w:val="left"/>
            </w:pPr>
            <w:r>
              <w:t xml:space="preserve">Technique Details</w:t>
            </w:r>
          </w:p>
        </w:tc>
        <w:tc>
          <w:tcPr/>
          <w:p>
            <w:pPr>
              <w:pStyle w:val="Compact"/>
              <w:jc w:val="left"/>
            </w:pPr>
            <w:r>
              <w:t xml:space="preserve">Cross-reference the timing of any regressed score against the incident/defect log for that cohort's process area.</w:t>
            </w:r>
          </w:p>
        </w:tc>
      </w:tr>
      <w:tr>
        <w:tc>
          <w:tcPr/>
          <w:p>
            <w:pPr>
              <w:pStyle w:val="Compact"/>
              <w:jc w:val="left"/>
            </w:pPr>
            <w:r>
              <w:t xml:space="preserve">Recommended Open-Source Tool</w:t>
            </w:r>
          </w:p>
        </w:tc>
        <w:tc>
          <w:tcPr/>
          <w:p>
            <w:pPr>
              <w:pStyle w:val="Compact"/>
              <w:jc w:val="left"/>
            </w:pPr>
            <w:r>
              <w:t xml:space="preserve">Mantis BT (cross-reference)</w:t>
            </w:r>
          </w:p>
        </w:tc>
      </w:tr>
    </w:tbl>
    <w:p>
      <w:pPr>
        <w:pStyle w:val="BodyText"/>
      </w:pPr>
      <w:r>
        <w:rPr>
          <w:bCs/>
          <w:b/>
          <w:color w:val="5A8F89"/>
          <w:sz w:val="22"/>
        </w:rPr>
        <w:t xml:space="preserve">Step 2 — Coach the affected step in context</w:t>
      </w:r>
    </w:p>
    <w:p>
      <w:pPr>
        <w:pStyle w:val="BodyText"/>
      </w:pPr>
      <w:r>
        <w:t xml:space="preserve">Twenty minutes at the person's own desk, on the exact step that went wrong, resolves a regression far faster than scheduling them back into a full course.</w:t>
      </w:r>
    </w:p>
    <w:p>
      <w:pPr>
        <w:pStyle w:val="BodyText"/>
      </w:pPr>
      <w:r>
        <w:rPr>
          <w:iCs/>
          <w:i/>
        </w:rPr>
        <w:t xml:space="preserve">SIPOC for this step.</w:t>
      </w:r>
    </w:p>
    <w:tbl>
      <w:tblPr>
        <w:tblStyle w:val="Table"/>
        <w:tblW w:type="pct" w:w="4959"/>
        <w:tblLook w:firstRow="1" w:lastRow="0" w:firstColumn="0" w:lastColumn="0" w:noHBand="0" w:noVBand="0" w:val="0020"/>
        <w:jc w:val="start"/>
      </w:tblPr>
      <w:tblGrid>
        <w:gridCol w:w="1428"/>
        <w:gridCol w:w="1363"/>
        <w:gridCol w:w="1006"/>
        <w:gridCol w:w="1233"/>
        <w:gridCol w:w="282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(Incident-linkage check)</w:t>
            </w:r>
          </w:p>
        </w:tc>
        <w:tc>
          <w:tcPr/>
          <w:p>
            <w:pPr>
              <w:pStyle w:val="Compact"/>
              <w:jc w:val="left"/>
            </w:pPr>
            <w:r>
              <w:t xml:space="preserve">Confirmed or ruled-out incident linkage</w:t>
            </w:r>
          </w:p>
        </w:tc>
        <w:tc>
          <w:tcPr/>
          <w:p>
            <w:pPr>
              <w:pStyle w:val="Compact"/>
              <w:jc w:val="left"/>
            </w:pPr>
            <w:r>
              <w:t xml:space="preserve">Targeted in-context coaching</w:t>
            </w:r>
          </w:p>
        </w:tc>
        <w:tc>
          <w:tcPr/>
          <w:p>
            <w:pPr>
              <w:pStyle w:val="Compact"/>
              <w:jc w:val="left"/>
            </w:pPr>
            <w:r>
              <w:t xml:space="preserve">Completed targeted coaching session</w:t>
            </w:r>
          </w:p>
        </w:tc>
        <w:tc>
          <w:tcPr/>
          <w:p>
            <w:pPr>
              <w:pStyle w:val="Compact"/>
              <w:jc w:val="left"/>
            </w:pPr>
            <w:r>
              <w:t xml:space="preserve">End users; Steering Committee (stabilization report); Sustainment team (next phase).</w:t>
            </w:r>
          </w:p>
        </w:tc>
      </w:tr>
    </w:tbl>
    <w:p>
      <w:pPr>
        <w:pStyle w:val="BodyText"/>
      </w:pPr>
      <w:r>
        <w:rPr>
          <w:iCs/>
          <w:i/>
        </w:rPr>
        <w:t xml:space="preserve">Technique detail for this step.</w:t>
      </w:r>
    </w:p>
    <w:tbl>
      <w:tblPr>
        <w:tblStyle w:val="Table"/>
        <w:tblW w:type="pct" w:w="4933"/>
        <w:tblLook w:firstRow="1" w:lastRow="0" w:firstColumn="0" w:lastColumn="0" w:noHBand="0" w:noVBand="0" w:val="0020"/>
        <w:jc w:val="start"/>
      </w:tblPr>
      <w:tblGrid>
        <w:gridCol w:w="1636"/>
        <w:gridCol w:w="617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Targeted in-context coaching</w:t>
            </w:r>
          </w:p>
        </w:tc>
      </w:tr>
      <w:tr>
        <w:tc>
          <w:tcPr/>
          <w:p>
            <w:pPr>
              <w:pStyle w:val="Compact"/>
              <w:jc w:val="left"/>
            </w:pPr>
            <w:r>
              <w:t xml:space="preserve">Technique Goal</w:t>
            </w:r>
          </w:p>
        </w:tc>
        <w:tc>
          <w:tcPr/>
          <w:p>
            <w:pPr>
              <w:pStyle w:val="Compact"/>
              <w:jc w:val="left"/>
            </w:pPr>
            <w:r>
              <w:t xml:space="preserve">Correct the specific process step affected, not a full retraining.</w:t>
            </w:r>
          </w:p>
        </w:tc>
      </w:tr>
      <w:tr>
        <w:tc>
          <w:tcPr/>
          <w:p>
            <w:pPr>
              <w:pStyle w:val="Compact"/>
              <w:jc w:val="left"/>
            </w:pPr>
            <w:r>
              <w:t xml:space="preserve">Technique Details</w:t>
            </w:r>
          </w:p>
        </w:tc>
        <w:tc>
          <w:tcPr/>
          <w:p>
            <w:pPr>
              <w:pStyle w:val="Compact"/>
              <w:jc w:val="left"/>
            </w:pPr>
            <w:r>
              <w:t xml:space="preserve">A 20-minute, one-on-one, at-the-desk coaching session on the exact step involved, not a repeat of the full course.</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ITL</w:t>
            </w:r>
          </w:p>
        </w:tc>
        <w:tc>
          <w:tcPr/>
          <w:p>
            <w:pPr>
              <w:pStyle w:val="Compact"/>
              <w:jc w:val="left"/>
            </w:pPr>
            <w:r>
              <w:t xml:space="preserve">ES, PM, EU</w:t>
            </w:r>
          </w:p>
        </w:tc>
      </w:tr>
    </w:tbl>
    <w:p>
      <w:pPr>
        <w:pStyle w:val="BodyText"/>
      </w:pPr>
      <w:r>
        <w:rPr>
          <w:bCs/>
          <w:b/>
          <w:color w:val="3F827B"/>
          <w:sz w:val="24"/>
        </w:rPr>
        <w:t xml:space="preserve">Task 5 — [JOINT] Taper support toward standard service levels as metrics stabilize</w:t>
      </w:r>
    </w:p>
    <w:p>
      <w:pPr>
        <w:pStyle w:val="BodyText"/>
      </w:pPr>
      <w:r>
        <w:rPr>
          <w:bCs/>
          <w:b/>
          <w:color w:val="5A8F89"/>
          <w:sz w:val="22"/>
        </w:rPr>
        <w:t xml:space="preserve">Step 1 — Confirm taper readiness</w:t>
      </w:r>
    </w:p>
    <w:p>
      <w:pPr>
        <w:pStyle w:val="BodyText"/>
      </w:pPr>
      <w:r>
        <w:t xml:space="preserve">Tapering on a fixed calendar date rather than on sustained metrics risks pulling support just as a cohort was starting to stabilize, undoing weeks of hypercare work.</w:t>
      </w:r>
    </w:p>
    <w:p>
      <w:pPr>
        <w:pStyle w:val="BodyText"/>
      </w:pPr>
      <w:r>
        <w:rPr>
          <w:iCs/>
          <w:i/>
        </w:rPr>
        <w:t xml:space="preserve">SIPOC for this step.</w:t>
      </w:r>
    </w:p>
    <w:tbl>
      <w:tblPr>
        <w:tblStyle w:val="Table"/>
        <w:tblW w:type="pct" w:w="4965"/>
        <w:tblLook w:firstRow="1" w:lastRow="0" w:firstColumn="0" w:lastColumn="0" w:noHBand="0" w:noVBand="0" w:val="0020"/>
        <w:jc w:val="start"/>
      </w:tblPr>
      <w:tblGrid>
        <w:gridCol w:w="2154"/>
        <w:gridCol w:w="2966"/>
        <w:gridCol w:w="783"/>
        <w:gridCol w:w="979"/>
        <w:gridCol w:w="97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IT / Technical Lead (defect fixes); Change Manager; Frontline Supervisors.</w:t>
            </w:r>
          </w:p>
        </w:tc>
        <w:tc>
          <w:tcPr/>
          <w:p>
            <w:pPr>
              <w:pStyle w:val="Compact"/>
              <w:jc w:val="left"/>
            </w:pPr>
            <w:r>
              <w:t xml:space="preserve">Hypercare support model; defect and incident log; daily / weekly adoption metrics; escalation triggers.</w:t>
            </w:r>
          </w:p>
        </w:tc>
        <w:tc>
          <w:tcPr/>
          <w:p>
            <w:pPr>
              <w:pStyle w:val="Compact"/>
              <w:jc w:val="left"/>
            </w:pPr>
            <w:r>
              <w:t xml:space="preserve">Taper-readiness checklist</w:t>
            </w:r>
          </w:p>
        </w:tc>
        <w:tc>
          <w:tcPr/>
          <w:p>
            <w:pPr>
              <w:pStyle w:val="Compact"/>
              <w:jc w:val="left"/>
            </w:pPr>
            <w:r>
              <w:t xml:space="preserve">Signed taper-readiness checklist</w:t>
            </w:r>
          </w:p>
        </w:tc>
        <w:tc>
          <w:tcPr/>
          <w:p>
            <w:pPr>
              <w:pStyle w:val="Compact"/>
              <w:jc w:val="left"/>
            </w:pPr>
            <w:r>
              <w:t xml:space="preserve">Step 2 (Service-level handover)</w:t>
            </w:r>
          </w:p>
        </w:tc>
      </w:tr>
    </w:tbl>
    <w:p>
      <w:pPr>
        <w:pStyle w:val="BodyText"/>
      </w:pPr>
      <w:r>
        <w:rPr>
          <w:iCs/>
          <w:i/>
        </w:rPr>
        <w:t xml:space="preserve">Technique detail for this step.</w:t>
      </w:r>
    </w:p>
    <w:tbl>
      <w:tblPr>
        <w:tblStyle w:val="Table"/>
        <w:tblW w:type="pct" w:w="4932"/>
        <w:tblLook w:firstRow="1" w:lastRow="0" w:firstColumn="0" w:lastColumn="0" w:noHBand="0" w:noVBand="0" w:val="0020"/>
        <w:jc w:val="start"/>
      </w:tblPr>
      <w:tblGrid>
        <w:gridCol w:w="1670"/>
        <w:gridCol w:w="614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Taper-readiness checklist</w:t>
            </w:r>
          </w:p>
        </w:tc>
      </w:tr>
      <w:tr>
        <w:tc>
          <w:tcPr/>
          <w:p>
            <w:pPr>
              <w:pStyle w:val="Compact"/>
              <w:jc w:val="left"/>
            </w:pPr>
            <w:r>
              <w:t xml:space="preserve">Technique Goal</w:t>
            </w:r>
          </w:p>
        </w:tc>
        <w:tc>
          <w:tcPr/>
          <w:p>
            <w:pPr>
              <w:pStyle w:val="Compact"/>
              <w:jc w:val="left"/>
            </w:pPr>
            <w:r>
              <w:t xml:space="preserve">Confirm metrics justify stepping down elevated support.</w:t>
            </w:r>
          </w:p>
        </w:tc>
      </w:tr>
      <w:tr>
        <w:tc>
          <w:tcPr/>
          <w:p>
            <w:pPr>
              <w:pStyle w:val="Compact"/>
              <w:jc w:val="left"/>
            </w:pPr>
            <w:r>
              <w:t xml:space="preserve">Technique Details</w:t>
            </w:r>
          </w:p>
        </w:tc>
        <w:tc>
          <w:tcPr/>
          <w:p>
            <w:pPr>
              <w:pStyle w:val="Compact"/>
              <w:jc w:val="left"/>
            </w:pPr>
            <w:r>
              <w:t xml:space="preserve">Confirm ticket volume, error rate and sentiment have held at target for at least one full week before tapering.</w:t>
            </w:r>
          </w:p>
        </w:tc>
      </w:tr>
      <w:tr>
        <w:tc>
          <w:tcPr/>
          <w:p>
            <w:pPr>
              <w:pStyle w:val="Compact"/>
              <w:jc w:val="left"/>
            </w:pPr>
            <w:r>
              <w:t xml:space="preserve">Recommended Open-Source Tool</w:t>
            </w:r>
          </w:p>
        </w:tc>
        <w:tc>
          <w:tcPr/>
          <w:p>
            <w:pPr>
              <w:pStyle w:val="Compact"/>
              <w:jc w:val="left"/>
            </w:pPr>
            <w:r>
              <w:t xml:space="preserve">OpenProject</w:t>
            </w:r>
          </w:p>
        </w:tc>
      </w:tr>
    </w:tbl>
    <w:p>
      <w:pPr>
        <w:pStyle w:val="BodyText"/>
      </w:pPr>
      <w:r>
        <w:rPr>
          <w:bCs/>
          <w:b/>
          <w:color w:val="5A8F89"/>
          <w:sz w:val="22"/>
        </w:rPr>
        <w:t xml:space="preserve">Step 2 — Hand support back to standard levels</w:t>
      </w:r>
    </w:p>
    <w:p>
      <w:pPr>
        <w:pStyle w:val="BodyText"/>
      </w:pPr>
      <w:r>
        <w:t xml:space="preserve">A formal handover, rather than support simply fading out, is what ensures the standing help-desk team knows they now own the queue.</w:t>
      </w:r>
    </w:p>
    <w:p>
      <w:pPr>
        <w:pStyle w:val="BodyText"/>
      </w:pPr>
      <w:r>
        <w:rPr>
          <w:iCs/>
          <w:i/>
        </w:rPr>
        <w:t xml:space="preserve">SIPOC for this step.</w:t>
      </w:r>
    </w:p>
    <w:tbl>
      <w:tblPr>
        <w:tblStyle w:val="Table"/>
        <w:tblW w:type="pct" w:w="4957"/>
        <w:tblLook w:firstRow="1" w:lastRow="0" w:firstColumn="0" w:lastColumn="0" w:noHBand="0" w:noVBand="0" w:val="0020"/>
        <w:jc w:val="start"/>
      </w:tblPr>
      <w:tblGrid>
        <w:gridCol w:w="1611"/>
        <w:gridCol w:w="1200"/>
        <w:gridCol w:w="857"/>
        <w:gridCol w:w="1200"/>
        <w:gridCol w:w="298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(Taper-readiness checklist)</w:t>
            </w:r>
          </w:p>
        </w:tc>
        <w:tc>
          <w:tcPr/>
          <w:p>
            <w:pPr>
              <w:pStyle w:val="Compact"/>
              <w:jc w:val="left"/>
            </w:pPr>
            <w:r>
              <w:t xml:space="preserve">Signed taper-readiness checklist</w:t>
            </w:r>
          </w:p>
        </w:tc>
        <w:tc>
          <w:tcPr/>
          <w:p>
            <w:pPr>
              <w:pStyle w:val="Compact"/>
              <w:jc w:val="left"/>
            </w:pPr>
            <w:r>
              <w:t xml:space="preserve">Service-level handover</w:t>
            </w:r>
          </w:p>
        </w:tc>
        <w:tc>
          <w:tcPr/>
          <w:p>
            <w:pPr>
              <w:pStyle w:val="Compact"/>
              <w:jc w:val="left"/>
            </w:pPr>
            <w:r>
              <w:t xml:space="preserve">Completed service-level handover</w:t>
            </w:r>
          </w:p>
        </w:tc>
        <w:tc>
          <w:tcPr/>
          <w:p>
            <w:pPr>
              <w:pStyle w:val="Compact"/>
              <w:jc w:val="left"/>
            </w:pPr>
            <w:r>
              <w:t xml:space="preserve">End users; Steering Committee (stabilization report); Sustainment team (next phase).</w:t>
            </w:r>
          </w:p>
        </w:tc>
      </w:tr>
    </w:tbl>
    <w:p>
      <w:pPr>
        <w:pStyle w:val="BodyText"/>
      </w:pPr>
      <w:r>
        <w:rPr>
          <w:iCs/>
          <w:i/>
        </w:rPr>
        <w:t xml:space="preserve">Technique detail for this step.</w:t>
      </w:r>
    </w:p>
    <w:tbl>
      <w:tblPr>
        <w:tblStyle w:val="Table"/>
        <w:tblW w:type="pct" w:w="4924"/>
        <w:tblLook w:firstRow="1" w:lastRow="0" w:firstColumn="0" w:lastColumn="0" w:noHBand="0" w:noVBand="0" w:val="0020"/>
        <w:jc w:val="start"/>
      </w:tblPr>
      <w:tblGrid>
        <w:gridCol w:w="1860"/>
        <w:gridCol w:w="5940"/>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Service-level handover</w:t>
            </w:r>
          </w:p>
        </w:tc>
      </w:tr>
      <w:tr>
        <w:tc>
          <w:tcPr/>
          <w:p>
            <w:pPr>
              <w:pStyle w:val="Compact"/>
              <w:jc w:val="left"/>
            </w:pPr>
            <w:r>
              <w:t xml:space="preserve">Technique Goal</w:t>
            </w:r>
          </w:p>
        </w:tc>
        <w:tc>
          <w:tcPr/>
          <w:p>
            <w:pPr>
              <w:pStyle w:val="Compact"/>
              <w:jc w:val="left"/>
            </w:pPr>
            <w:r>
              <w:t xml:space="preserve">Transition support ownership to business-as-usual.</w:t>
            </w:r>
          </w:p>
        </w:tc>
      </w:tr>
      <w:tr>
        <w:tc>
          <w:tcPr/>
          <w:p>
            <w:pPr>
              <w:pStyle w:val="Compact"/>
              <w:jc w:val="left"/>
            </w:pPr>
            <w:r>
              <w:t xml:space="preserve">Technique Details</w:t>
            </w:r>
          </w:p>
        </w:tc>
        <w:tc>
          <w:tcPr/>
          <w:p>
            <w:pPr>
              <w:pStyle w:val="Compact"/>
              <w:jc w:val="left"/>
            </w:pPr>
            <w:r>
              <w:t xml:space="preserve">Formally hand the support queue back to standard service levels and the standing help-desk team.</w:t>
            </w:r>
          </w:p>
        </w:tc>
      </w:tr>
      <w:tr>
        <w:tc>
          <w:tcPr/>
          <w:p>
            <w:pPr>
              <w:pStyle w:val="Compact"/>
              <w:jc w:val="left"/>
            </w:pPr>
            <w:r>
              <w:t xml:space="preserve">Recommended Open-Source Tool</w:t>
            </w:r>
          </w:p>
        </w:tc>
        <w:tc>
          <w:tcPr/>
          <w:p>
            <w:pPr>
              <w:pStyle w:val="Compact"/>
              <w:jc w:val="left"/>
            </w:pPr>
            <w:r>
              <w:t xml:space="preserve">osTicket (queue reassignment)</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ITL</w:t>
            </w:r>
          </w:p>
        </w:tc>
        <w:tc>
          <w:tcPr/>
          <w:p>
            <w:pPr>
              <w:pStyle w:val="Compact"/>
              <w:jc w:val="left"/>
            </w:pPr>
            <w:r>
              <w:t xml:space="preserve">ES</w:t>
            </w:r>
          </w:p>
        </w:tc>
        <w:tc>
          <w:tcPr/>
          <w:p>
            <w:pPr>
              <w:pStyle w:val="Compact"/>
              <w:jc w:val="left"/>
            </w:pPr>
            <w:r>
              <w:t xml:space="preserve">PM</w:t>
            </w:r>
          </w:p>
        </w:tc>
        <w:tc>
          <w:tcPr/>
          <w:p>
            <w:pPr>
              <w:pStyle w:val="Compact"/>
              <w:jc w:val="left"/>
            </w:pPr>
            <w:r>
              <w:t xml:space="preserve">SUP</w:t>
            </w:r>
          </w:p>
        </w:tc>
        <w:tc>
          <w:tcPr/>
          <w:p>
            <w:pPr>
              <w:pStyle w:val="Compact"/>
              <w:jc w:val="left"/>
            </w:pPr>
            <w:r>
              <w:t xml:space="preserve">FPO, EU</w:t>
            </w:r>
          </w:p>
        </w:tc>
      </w:tr>
    </w:tbl>
    <w:p>
      <w:pPr>
        <w:pStyle w:val="BodyText"/>
      </w:pPr>
      <w:r>
        <w:rPr>
          <w:bCs/>
          <w:b/>
          <w:color w:val="275650"/>
          <w:sz w:val="27"/>
        </w:rPr>
        <w:t xml:space="preserve">6.8 Phase 8 — Sustainment &amp; Closure (Weeks 45–52+)</w:t>
      </w:r>
    </w:p>
    <w:p>
      <w:pPr>
        <w:pStyle w:val="BodyText"/>
      </w:pPr>
      <w:r>
        <w:t xml:space="preserve">Refreeze is called from checkpoint evidence, never the calendar — the discipline that protects against a Reinforcement gap (Exception E5).</w:t>
      </w:r>
    </w:p>
    <w:p>
      <w:pPr>
        <w:pStyle w:val="BodyText"/>
      </w:pPr>
      <w:r>
        <w:rPr>
          <w:bCs/>
          <w:b/>
        </w:rPr>
        <w:t xml:space="preserve">Timeline</w:t>
      </w:r>
    </w:p>
    <w:tbl>
      <w:tblPr>
        <w:tblStyle w:val="Table"/>
        <w:tblW w:type="pct" w:w="4934"/>
        <w:tblLook w:firstRow="1" w:lastRow="0" w:firstColumn="0" w:lastColumn="0" w:noHBand="0" w:noVBand="0" w:val="0020"/>
        <w:jc w:val="start"/>
      </w:tblPr>
      <w:tblGrid>
        <w:gridCol w:w="576"/>
        <w:gridCol w:w="5402"/>
        <w:gridCol w:w="1049"/>
        <w:gridCol w:w="786"/>
      </w:tblGrid>
      <w:tr>
        <w:trPr>
          <w:tblHeader w:val="true"/>
        </w:trPr>
        <w:tc>
          <w:tcPr>
            <w:shd w:val="clear" w:fill="1F4B45"/>
          </w:tcPr>
          <w:p>
            <w:pPr>
              <w:pStyle w:val="Compact"/>
              <w:jc w:val="left"/>
            </w:pPr>
            <w:r>
              <w:rPr>
                <w:bCs/>
                <w:b/>
                <w:color w:val="FFFFFF"/>
              </w:rPr>
              <w:t xml:space="preserve">Week</w:t>
            </w:r>
          </w:p>
        </w:tc>
        <w:tc>
          <w:tcPr>
            <w:shd w:val="clear" w:fill="1F4B45"/>
          </w:tcPr>
          <w:p>
            <w:pPr>
              <w:pStyle w:val="Compact"/>
              <w:jc w:val="left"/>
            </w:pPr>
            <w:r>
              <w:rPr>
                <w:bCs/>
                <w:b/>
                <w:color w:val="FFFFFF"/>
              </w:rPr>
              <w:t xml:space="preserve">Action</w:t>
            </w:r>
          </w:p>
        </w:tc>
        <w:tc>
          <w:tcPr>
            <w:shd w:val="clear" w:fill="1F4B45"/>
          </w:tcPr>
          <w:p>
            <w:pPr>
              <w:pStyle w:val="Compact"/>
              <w:jc w:val="left"/>
            </w:pPr>
            <w:r>
              <w:rPr>
                <w:bCs/>
                <w:b/>
                <w:color w:val="FFFFFF"/>
              </w:rPr>
              <w:t xml:space="preserve">journi Module</w:t>
            </w:r>
          </w:p>
        </w:tc>
        <w:tc>
          <w:tcPr>
            <w:shd w:val="clear" w:fill="1F4B45"/>
          </w:tcPr>
          <w:p>
            <w:pPr>
              <w:pStyle w:val="Compact"/>
              <w:jc w:val="left"/>
            </w:pPr>
            <w:r>
              <w:rPr>
                <w:bCs/>
                <w:b/>
                <w:color w:val="FFFFFF"/>
              </w:rPr>
              <w:t xml:space="preserve">Owner(s)</w:t>
            </w:r>
          </w:p>
        </w:tc>
      </w:tr>
      <w:tr>
        <w:tc>
          <w:tcPr/>
          <w:p>
            <w:pPr>
              <w:pStyle w:val="Compact"/>
              <w:jc w:val="left"/>
            </w:pPr>
            <w:r>
              <w:t xml:space="preserve">W45–W46</w:t>
            </w:r>
          </w:p>
        </w:tc>
        <w:tc>
          <w:tcPr/>
          <w:p>
            <w:pPr>
              <w:pStyle w:val="Compact"/>
              <w:jc w:val="left"/>
            </w:pPr>
            <w:r>
              <w:t xml:space="preserve">Embed new-process metrics into standard performance management, with HR support.</w:t>
            </w:r>
          </w:p>
        </w:tc>
        <w:tc>
          <w:tcPr/>
          <w:p>
            <w:pPr>
              <w:pStyle w:val="Compact"/>
              <w:jc w:val="left"/>
            </w:pPr>
            <w:r>
              <w:t xml:space="preserve">—</w:t>
            </w:r>
          </w:p>
        </w:tc>
        <w:tc>
          <w:tcPr/>
          <w:p>
            <w:pPr>
              <w:pStyle w:val="Compact"/>
              <w:jc w:val="left"/>
            </w:pPr>
            <w:r>
              <w:t xml:space="preserve">CM</w:t>
            </w:r>
          </w:p>
        </w:tc>
      </w:tr>
      <w:tr>
        <w:tc>
          <w:tcPr/>
          <w:p>
            <w:pPr>
              <w:pStyle w:val="Compact"/>
              <w:jc w:val="left"/>
            </w:pPr>
            <w:r>
              <w:t xml:space="preserve">W47–W48</w:t>
            </w:r>
          </w:p>
        </w:tc>
        <w:tc>
          <w:tcPr/>
          <w:p>
            <w:pPr>
              <w:pStyle w:val="Compact"/>
              <w:jc w:val="left"/>
            </w:pPr>
            <w:r>
              <w:t xml:space="preserve">Confirm Reinforcement mechanisms are active (recognition, manager check-ins, revoked legacy access).</w:t>
            </w:r>
          </w:p>
        </w:tc>
        <w:tc>
          <w:tcPr/>
          <w:p>
            <w:pPr>
              <w:pStyle w:val="Compact"/>
              <w:jc w:val="left"/>
            </w:pPr>
            <w:r>
              <w:t xml:space="preserve">M5 CM, SU</w:t>
            </w:r>
          </w:p>
        </w:tc>
        <w:tc>
          <w:tcPr/>
          <w:p>
            <w:pPr>
              <w:pStyle w:val="Compact"/>
              <w:jc w:val="left"/>
            </w:pPr>
            <w:r>
              <w:t xml:space="preserve">P</w:t>
            </w:r>
          </w:p>
        </w:tc>
      </w:tr>
      <w:tr>
        <w:tc>
          <w:tcPr/>
          <w:p>
            <w:pPr>
              <w:pStyle w:val="Compact"/>
              <w:jc w:val="left"/>
            </w:pPr>
            <w:r>
              <w:t xml:space="preserve">W49–W50</w:t>
            </w:r>
          </w:p>
        </w:tc>
        <w:tc>
          <w:tcPr/>
          <w:p>
            <w:pPr>
              <w:pStyle w:val="Compact"/>
              <w:jc w:val="left"/>
            </w:pPr>
            <w:r>
              <w:t xml:space="preserve">Run the 60-day checkpoint review against the benchmarking bands.</w:t>
            </w:r>
          </w:p>
        </w:tc>
        <w:tc>
          <w:tcPr/>
          <w:p>
            <w:pPr>
              <w:pStyle w:val="Compact"/>
              <w:jc w:val="left"/>
            </w:pPr>
            <w:r>
              <w:t xml:space="preserve">M14 CM</w:t>
            </w:r>
          </w:p>
        </w:tc>
        <w:tc>
          <w:tcPr/>
          <w:p>
            <w:pPr>
              <w:pStyle w:val="Compact"/>
            </w:pPr>
          </w:p>
        </w:tc>
      </w:tr>
      <w:tr>
        <w:tc>
          <w:tcPr/>
          <w:p>
            <w:pPr>
              <w:pStyle w:val="Compact"/>
              <w:jc w:val="left"/>
            </w:pPr>
            <w:r>
              <w:t xml:space="preserve">W51–W52</w:t>
            </w:r>
          </w:p>
        </w:tc>
        <w:tc>
          <w:tcPr/>
          <w:p>
            <w:pPr>
              <w:pStyle w:val="Compact"/>
              <w:jc w:val="left"/>
            </w:pPr>
            <w:r>
              <w:t xml:space="preserve">Run the 90-day checkpoint review; call Refreeze formally once evidence supports it.</w:t>
            </w:r>
          </w:p>
        </w:tc>
        <w:tc>
          <w:tcPr/>
          <w:p>
            <w:pPr>
              <w:pStyle w:val="Compact"/>
              <w:jc w:val="left"/>
            </w:pPr>
            <w:r>
              <w:t xml:space="preserve">M3 CM, ES</w:t>
            </w:r>
          </w:p>
        </w:tc>
        <w:tc>
          <w:tcPr/>
          <w:p>
            <w:pPr>
              <w:pStyle w:val="Compact"/>
            </w:pPr>
          </w:p>
        </w:tc>
      </w:tr>
      <w:tr>
        <w:tc>
          <w:tcPr/>
          <w:p>
            <w:pPr>
              <w:pStyle w:val="Compact"/>
              <w:jc w:val="left"/>
            </w:pPr>
            <w:r>
              <w:t xml:space="preserve">W52+</w:t>
            </w:r>
          </w:p>
        </w:tc>
        <w:tc>
          <w:tcPr/>
          <w:p>
            <w:pPr>
              <w:pStyle w:val="Compact"/>
              <w:jc w:val="left"/>
            </w:pPr>
            <w:r>
              <w:t xml:space="preserve">Close the Change Management project; hand off ownership to the business; log lessons learned.</w:t>
            </w:r>
          </w:p>
        </w:tc>
        <w:tc>
          <w:tcPr/>
          <w:p>
            <w:pPr>
              <w:pStyle w:val="Compact"/>
              <w:jc w:val="left"/>
            </w:pPr>
            <w:r>
              <w:t xml:space="preserve">—</w:t>
            </w:r>
          </w:p>
        </w:tc>
        <w:tc>
          <w:tcPr/>
          <w:p>
            <w:pPr>
              <w:pStyle w:val="Compact"/>
              <w:jc w:val="left"/>
            </w:pPr>
            <w:r>
              <w:t xml:space="preserve">CM, ES</w:t>
            </w:r>
          </w:p>
        </w:tc>
      </w:tr>
    </w:tbl>
    <w:p>
      <w:pPr>
        <w:pStyle w:val="BodyText"/>
      </w:pPr>
      <w:r>
        <w:rPr>
          <w:iCs/>
          <w:i/>
        </w:rPr>
        <w:t xml:space="preserve">Week-by-week timeline for Phase 8 — Sustainment &amp; Closure.</w:t>
      </w:r>
    </w:p>
    <w:p>
      <w:pPr>
        <w:pStyle w:val="BodyText"/>
      </w:pPr>
      <w:r>
        <w:rPr>
          <w:bCs/>
          <w:b/>
        </w:rPr>
        <w:t xml:space="preserve">SIPOC</w:t>
      </w:r>
    </w:p>
    <w:tbl>
      <w:tblPr>
        <w:tblStyle w:val="Table"/>
        <w:tblW w:type="pct" w:w="4973"/>
        <w:tblLook w:firstRow="1" w:lastRow="0" w:firstColumn="0" w:lastColumn="0" w:noHBand="0" w:noVBand="0" w:val="0020"/>
        <w:jc w:val="start"/>
      </w:tblPr>
      <w:tblGrid>
        <w:gridCol w:w="1211"/>
        <w:gridCol w:w="1817"/>
        <w:gridCol w:w="1067"/>
        <w:gridCol w:w="2236"/>
        <w:gridCol w:w="154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 (performance integration).</w:t>
            </w:r>
          </w:p>
        </w:tc>
        <w:tc>
          <w:tcPr/>
          <w:p>
            <w:pPr>
              <w:pStyle w:val="Compact"/>
              <w:jc w:val="left"/>
            </w:pPr>
            <w:r>
              <w:t xml:space="preserve">Stabilized adoption metrics; reinforcement mechanisms design (recognition, metrics, coaching cadence); checkpoint schedule.</w:t>
            </w:r>
          </w:p>
        </w:tc>
        <w:tc>
          <w:tcPr/>
          <w:p>
            <w:pPr>
              <w:jc w:val="left"/>
            </w:pPr>
            <w:r>
              <w:t xml:space="preserve">1. Embed new-process metrics into standard performance management</w:t>
            </w:r>
          </w:p>
          <w:p>
            <w:pPr>
              <w:jc w:val="left"/>
            </w:pPr>
            <w:r>
              <w:t xml:space="preserve">2. Confirm Reinforcement mechanisms are active</w:t>
            </w:r>
          </w:p>
          <w:p>
            <w:pPr>
              <w:jc w:val="left"/>
            </w:pPr>
            <w:r>
              <w:t xml:space="preserve">3. Run 60-day and 90-day checkpoint reviews against benchmarking bands</w:t>
            </w:r>
          </w:p>
          <w:p>
            <w:pPr>
              <w:jc w:val="left"/>
            </w:pPr>
            <w:r>
              <w:t xml:space="preserve">4. Call Refreeze formally once checkpoint evidence supports it</w:t>
            </w:r>
          </w:p>
          <w:p>
            <w:pPr>
              <w:jc w:val="left"/>
            </w:pPr>
            <w:r>
              <w:t xml:space="preserve">5. Close the Change Management project and hand off ongoing ownership</w:t>
            </w:r>
          </w:p>
        </w:tc>
        <w:tc>
          <w:tcPr/>
          <w:p>
            <w:pPr>
              <w:pStyle w:val="Compact"/>
              <w:jc w:val="left"/>
            </w:pPr>
            <w:r>
              <w:t xml:space="preserve">Confirmed Refreeze call with supporting checkpoint data; reinforcement mechanisms embedded in business-as-usual; closed CM project; lessons-learned log.</w:t>
            </w:r>
          </w:p>
        </w:tc>
        <w:tc>
          <w:tcPr/>
          <w:p>
            <w:pPr>
              <w:pStyle w:val="Compact"/>
              <w:jc w:val="left"/>
            </w:pPr>
            <w:r>
              <w:t xml:space="preserve">Business-as-usual process owner; Executive Sponsor; future Change Management projects (lessons learned).</w:t>
            </w:r>
          </w:p>
        </w:tc>
      </w:tr>
    </w:tbl>
    <w:p>
      <w:pPr>
        <w:pStyle w:val="BodyText"/>
      </w:pPr>
      <w:r>
        <w:rPr>
          <w:iCs/>
          <w:i/>
        </w:rPr>
        <w:t xml:space="preserve">SIPOC for Phase 8 — Sustainment &amp; Closure. The Process column lists this phase's five Tasks in sequence.</w:t>
      </w:r>
    </w:p>
    <w:p>
      <w:pPr>
        <w:pStyle w:val="BodyText"/>
      </w:pPr>
      <w:r>
        <w:rPr>
          <w:bCs/>
          <w:b/>
        </w:rPr>
        <w:t xml:space="preserve">Tasks, Steps, Techniques &amp; RACSI</w:t>
      </w:r>
    </w:p>
    <w:p>
      <w:pPr>
        <w:pStyle w:val="BodyText"/>
      </w:pPr>
      <w:r>
        <w:rPr>
          <w:bCs/>
          <w:b/>
          <w:color w:val="3F827B"/>
          <w:sz w:val="24"/>
        </w:rPr>
        <w:t xml:space="preserve">Task 1 — [JOINT] Embed new-process metrics into standard performance management</w:t>
      </w:r>
    </w:p>
    <w:p>
      <w:pPr>
        <w:pStyle w:val="BodyText"/>
      </w:pPr>
      <w:r>
        <w:rPr>
          <w:bCs/>
          <w:b/>
          <w:color w:val="5A8F89"/>
          <w:sz w:val="22"/>
        </w:rPr>
        <w:t xml:space="preserve">Step 1 — Agree the performance KPIs</w:t>
      </w:r>
    </w:p>
    <w:p>
      <w:pPr>
        <w:pStyle w:val="BodyText"/>
      </w:pPr>
      <w:r>
        <w:t xml:space="preserve">Metrics that are fair, measurable and genuinely tied to the new process will change behavior; metrics chosen for convenience alone tend to be quietly ignored by managers.</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2153"/>
        <w:gridCol w:w="3229"/>
        <w:gridCol w:w="692"/>
        <w:gridCol w:w="973"/>
        <w:gridCol w:w="82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 (performance integration).</w:t>
            </w:r>
          </w:p>
        </w:tc>
        <w:tc>
          <w:tcPr/>
          <w:p>
            <w:pPr>
              <w:pStyle w:val="Compact"/>
              <w:jc w:val="left"/>
            </w:pPr>
            <w:r>
              <w:t xml:space="preserve">Stabilized adoption metrics; reinforcement mechanisms design (recognition, metrics, coaching cadence); checkpoint schedule.</w:t>
            </w:r>
          </w:p>
        </w:tc>
        <w:tc>
          <w:tcPr/>
          <w:p>
            <w:pPr>
              <w:pStyle w:val="Compact"/>
              <w:jc w:val="left"/>
            </w:pPr>
            <w:r>
              <w:t xml:space="preserve">KPI-integration workshop</w:t>
            </w:r>
          </w:p>
        </w:tc>
        <w:tc>
          <w:tcPr/>
          <w:p>
            <w:pPr>
              <w:pStyle w:val="Compact"/>
              <w:jc w:val="left"/>
            </w:pPr>
            <w:r>
              <w:t xml:space="preserve">Agreed performance-integration KPIs</w:t>
            </w:r>
          </w:p>
        </w:tc>
        <w:tc>
          <w:tcPr/>
          <w:p>
            <w:pPr>
              <w:pStyle w:val="Compact"/>
              <w:jc w:val="left"/>
            </w:pPr>
            <w:r>
              <w:t xml:space="preserve">Step 2 (Policy documentation)</w:t>
            </w:r>
          </w:p>
        </w:tc>
      </w:tr>
    </w:tbl>
    <w:p>
      <w:pPr>
        <w:pStyle w:val="BodyText"/>
      </w:pPr>
      <w:r>
        <w:rPr>
          <w:iCs/>
          <w:i/>
        </w:rPr>
        <w:t xml:space="preserve">Technique detail for this step.</w:t>
      </w:r>
    </w:p>
    <w:tbl>
      <w:tblPr>
        <w:tblStyle w:val="Table"/>
        <w:tblW w:type="pct" w:w="4935"/>
        <w:tblLook w:firstRow="1" w:lastRow="0" w:firstColumn="0" w:lastColumn="0" w:noHBand="0" w:noVBand="0" w:val="0020"/>
        <w:jc w:val="start"/>
      </w:tblPr>
      <w:tblGrid>
        <w:gridCol w:w="1584"/>
        <w:gridCol w:w="6233"/>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KPI-integration workshop</w:t>
            </w:r>
          </w:p>
        </w:tc>
      </w:tr>
      <w:tr>
        <w:tc>
          <w:tcPr/>
          <w:p>
            <w:pPr>
              <w:pStyle w:val="Compact"/>
              <w:jc w:val="left"/>
            </w:pPr>
            <w:r>
              <w:t xml:space="preserve">Technique Goal</w:t>
            </w:r>
          </w:p>
        </w:tc>
        <w:tc>
          <w:tcPr/>
          <w:p>
            <w:pPr>
              <w:pStyle w:val="Compact"/>
              <w:jc w:val="left"/>
            </w:pPr>
            <w:r>
              <w:t xml:space="preserve">Agree which adoption metrics enter performance reviews.</w:t>
            </w:r>
          </w:p>
        </w:tc>
      </w:tr>
      <w:tr>
        <w:tc>
          <w:tcPr/>
          <w:p>
            <w:pPr>
              <w:pStyle w:val="Compact"/>
              <w:jc w:val="left"/>
            </w:pPr>
            <w:r>
              <w:t xml:space="preserve">Technique Details</w:t>
            </w:r>
          </w:p>
        </w:tc>
        <w:tc>
          <w:tcPr/>
          <w:p>
            <w:pPr>
              <w:pStyle w:val="Compact"/>
              <w:jc w:val="left"/>
            </w:pPr>
            <w:r>
              <w:t xml:space="preserve">Work with HR to select 2–3 adoption metrics per role that are fair, measurable, and genuinely tied to the new process.</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bCs/>
          <w:b/>
          <w:color w:val="5A8F89"/>
          <w:sz w:val="22"/>
        </w:rPr>
        <w:t xml:space="preserve">Step 2 — Document the KPI definitions</w:t>
      </w:r>
    </w:p>
    <w:p>
      <w:pPr>
        <w:pStyle w:val="BodyText"/>
      </w:pPr>
      <w:r>
        <w:t xml:space="preserve">A one-page, unambiguous definition sheet is what stops two managers from scoring the same metric two different ways.</w:t>
      </w:r>
    </w:p>
    <w:p>
      <w:pPr>
        <w:pStyle w:val="BodyText"/>
      </w:pPr>
      <w:r>
        <w:rPr>
          <w:iCs/>
          <w:i/>
        </w:rPr>
        <w:t xml:space="preserve">SIPOC for this step.</w:t>
      </w:r>
    </w:p>
    <w:tbl>
      <w:tblPr>
        <w:tblStyle w:val="Table"/>
        <w:tblW w:type="pct" w:w="4960"/>
        <w:tblLook w:firstRow="1" w:lastRow="0" w:firstColumn="0" w:lastColumn="0" w:noHBand="0" w:noVBand="0" w:val="0020"/>
        <w:jc w:val="start"/>
      </w:tblPr>
      <w:tblGrid>
        <w:gridCol w:w="1463"/>
        <w:gridCol w:w="1208"/>
        <w:gridCol w:w="731"/>
        <w:gridCol w:w="1049"/>
        <w:gridCol w:w="340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(KPI-integration workshop)</w:t>
            </w:r>
          </w:p>
        </w:tc>
        <w:tc>
          <w:tcPr/>
          <w:p>
            <w:pPr>
              <w:pStyle w:val="Compact"/>
              <w:jc w:val="left"/>
            </w:pPr>
            <w:r>
              <w:t xml:space="preserve">Agreed performance-integration KPIs</w:t>
            </w:r>
          </w:p>
        </w:tc>
        <w:tc>
          <w:tcPr/>
          <w:p>
            <w:pPr>
              <w:pStyle w:val="Compact"/>
              <w:jc w:val="left"/>
            </w:pPr>
            <w:r>
              <w:t xml:space="preserve">Policy documentation</w:t>
            </w:r>
          </w:p>
        </w:tc>
        <w:tc>
          <w:tcPr/>
          <w:p>
            <w:pPr>
              <w:pStyle w:val="Compact"/>
              <w:jc w:val="left"/>
            </w:pPr>
            <w:r>
              <w:t xml:space="preserve">Published KPI definition sheet</w:t>
            </w:r>
          </w:p>
        </w:tc>
        <w:tc>
          <w:tcPr/>
          <w:p>
            <w:pPr>
              <w:pStyle w:val="Compact"/>
              <w:jc w:val="left"/>
            </w:pPr>
            <w:r>
              <w:t xml:space="preserve">Business-as-usual process owner; Executive Sponsor; future Change Management projects (lessons learned).</w:t>
            </w:r>
          </w:p>
        </w:tc>
      </w:tr>
    </w:tbl>
    <w:p>
      <w:pPr>
        <w:pStyle w:val="BodyText"/>
      </w:pPr>
      <w:r>
        <w:rPr>
          <w:iCs/>
          <w:i/>
        </w:rPr>
        <w:t xml:space="preserve">Technique detail for this step.</w:t>
      </w:r>
    </w:p>
    <w:tbl>
      <w:tblPr>
        <w:tblStyle w:val="Table"/>
        <w:tblW w:type="pct" w:w="4917"/>
        <w:tblLook w:firstRow="1" w:lastRow="0" w:firstColumn="0" w:lastColumn="0" w:noHBand="0" w:noVBand="0" w:val="0020"/>
        <w:jc w:val="start"/>
      </w:tblPr>
      <w:tblGrid>
        <w:gridCol w:w="2046"/>
        <w:gridCol w:w="574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Policy documentation</w:t>
            </w:r>
          </w:p>
        </w:tc>
      </w:tr>
      <w:tr>
        <w:tc>
          <w:tcPr/>
          <w:p>
            <w:pPr>
              <w:pStyle w:val="Compact"/>
              <w:jc w:val="left"/>
            </w:pPr>
            <w:r>
              <w:t xml:space="preserve">Technique Goal</w:t>
            </w:r>
          </w:p>
        </w:tc>
        <w:tc>
          <w:tcPr/>
          <w:p>
            <w:pPr>
              <w:pStyle w:val="Compact"/>
              <w:jc w:val="left"/>
            </w:pPr>
            <w:r>
              <w:t xml:space="preserve">Formalize the metric definitions for HR use.</w:t>
            </w:r>
          </w:p>
        </w:tc>
      </w:tr>
      <w:tr>
        <w:tc>
          <w:tcPr/>
          <w:p>
            <w:pPr>
              <w:pStyle w:val="Compact"/>
              <w:jc w:val="left"/>
            </w:pPr>
            <w:r>
              <w:t xml:space="preserve">Technique Details</w:t>
            </w:r>
          </w:p>
        </w:tc>
        <w:tc>
          <w:tcPr/>
          <w:p>
            <w:pPr>
              <w:pStyle w:val="Compact"/>
              <w:jc w:val="left"/>
            </w:pPr>
            <w:r>
              <w:t xml:space="preserve">Write a one-page definition sheet for each metric so managers score it consistently.</w:t>
            </w:r>
          </w:p>
        </w:tc>
      </w:tr>
      <w:tr>
        <w:tc>
          <w:tcPr/>
          <w:p>
            <w:pPr>
              <w:pStyle w:val="Compact"/>
              <w:jc w:val="left"/>
            </w:pPr>
            <w:r>
              <w:t xml:space="preserve">Recommended Open-Source Tool</w:t>
            </w:r>
          </w:p>
        </w:tc>
        <w:tc>
          <w:tcPr/>
          <w:p>
            <w:pPr>
              <w:pStyle w:val="Compact"/>
              <w:jc w:val="left"/>
            </w:pPr>
            <w:r>
              <w:t xml:space="preserve">BookStack</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ES, FPO, SUP</w:t>
            </w:r>
          </w:p>
        </w:tc>
        <w:tc>
          <w:tcPr/>
          <w:p>
            <w:pPr>
              <w:pStyle w:val="Compact"/>
              <w:jc w:val="left"/>
            </w:pPr>
            <w:r>
              <w:t xml:space="preserve">PM</w:t>
            </w:r>
          </w:p>
        </w:tc>
        <w:tc>
          <w:tcPr/>
          <w:p>
            <w:pPr>
              <w:pStyle w:val="Compact"/>
              <w:jc w:val="left"/>
            </w:pPr>
            <w:r>
              <w:t xml:space="preserve">ITL, EU</w:t>
            </w:r>
          </w:p>
        </w:tc>
      </w:tr>
    </w:tbl>
    <w:p>
      <w:pPr>
        <w:pStyle w:val="BodyText"/>
      </w:pPr>
      <w:r>
        <w:rPr>
          <w:bCs/>
          <w:b/>
          <w:color w:val="3F827B"/>
          <w:sz w:val="24"/>
        </w:rPr>
        <w:t xml:space="preserve">Task 2 — [CHANGE] Confirm Reinforcement mechanisms are active</w:t>
      </w:r>
    </w:p>
    <w:p>
      <w:pPr>
        <w:pStyle w:val="BodyText"/>
      </w:pPr>
      <w:r>
        <w:rPr>
          <w:bCs/>
          <w:b/>
        </w:rPr>
        <w:t xml:space="preserve">journi:</w:t>
      </w:r>
      <w:r>
        <w:t xml:space="preserve"> </w:t>
      </w:r>
      <w:r>
        <w:rPr>
          <w:iCs/>
          <w:i/>
        </w:rPr>
        <w:t xml:space="preserve">This is entered/updated in journi — M5.</w:t>
      </w:r>
    </w:p>
    <w:p>
      <w:pPr>
        <w:pStyle w:val="BodyText"/>
      </w:pPr>
      <w:r>
        <w:rPr>
          <w:bCs/>
          <w:b/>
          <w:color w:val="5A8F89"/>
          <w:sz w:val="22"/>
        </w:rPr>
        <w:t xml:space="preserve">Step 1 — Audit the reinforcement mechanisms</w:t>
      </w:r>
    </w:p>
    <w:p>
      <w:pPr>
        <w:pStyle w:val="BodyText"/>
      </w:pPr>
      <w:r>
        <w:t xml:space="preserve">A mechanism that exists only on the original plan document, not in weekly practice, provides no actual reinforcement — this audit checks for evidence, not intention.</w:t>
      </w:r>
    </w:p>
    <w:p>
      <w:pPr>
        <w:pStyle w:val="BodyText"/>
      </w:pPr>
      <w:r>
        <w:rPr>
          <w:iCs/>
          <w:i/>
        </w:rPr>
        <w:t xml:space="preserve">SIPOC for this step.</w:t>
      </w:r>
    </w:p>
    <w:tbl>
      <w:tblPr>
        <w:tblStyle w:val="Table"/>
        <w:tblW w:type="pct" w:w="4969"/>
        <w:tblLook w:firstRow="1" w:lastRow="0" w:firstColumn="0" w:lastColumn="0" w:noHBand="0" w:noVBand="0" w:val="0020"/>
        <w:jc w:val="start"/>
      </w:tblPr>
      <w:tblGrid>
        <w:gridCol w:w="2072"/>
        <w:gridCol w:w="3108"/>
        <w:gridCol w:w="789"/>
        <w:gridCol w:w="789"/>
        <w:gridCol w:w="111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 (performance integration).</w:t>
            </w:r>
          </w:p>
        </w:tc>
        <w:tc>
          <w:tcPr/>
          <w:p>
            <w:pPr>
              <w:pStyle w:val="Compact"/>
              <w:jc w:val="left"/>
            </w:pPr>
            <w:r>
              <w:t xml:space="preserve">Stabilized adoption metrics; reinforcement mechanisms design (recognition, metrics, coaching cadence); checkpoint schedule.</w:t>
            </w:r>
          </w:p>
        </w:tc>
        <w:tc>
          <w:tcPr/>
          <w:p>
            <w:pPr>
              <w:pStyle w:val="Compact"/>
              <w:jc w:val="left"/>
            </w:pPr>
            <w:r>
              <w:t xml:space="preserve">Reinforcement audit checklist</w:t>
            </w:r>
          </w:p>
        </w:tc>
        <w:tc>
          <w:tcPr/>
          <w:p>
            <w:pPr>
              <w:pStyle w:val="Compact"/>
              <w:jc w:val="left"/>
            </w:pPr>
            <w:r>
              <w:t xml:space="preserve">Completed reinforcement audit</w:t>
            </w:r>
          </w:p>
        </w:tc>
        <w:tc>
          <w:tcPr/>
          <w:p>
            <w:pPr>
              <w:pStyle w:val="Compact"/>
              <w:jc w:val="left"/>
            </w:pPr>
            <w:r>
              <w:t xml:space="preserve">Step 2 (Manager check-in cadence tracking)</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70"/>
        <w:gridCol w:w="635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Reinforcement audit checklist</w:t>
            </w:r>
          </w:p>
        </w:tc>
      </w:tr>
      <w:tr>
        <w:tc>
          <w:tcPr/>
          <w:p>
            <w:pPr>
              <w:pStyle w:val="Compact"/>
              <w:jc w:val="left"/>
            </w:pPr>
            <w:r>
              <w:t xml:space="preserve">Technique Goal</w:t>
            </w:r>
          </w:p>
        </w:tc>
        <w:tc>
          <w:tcPr/>
          <w:p>
            <w:pPr>
              <w:pStyle w:val="Compact"/>
              <w:jc w:val="left"/>
            </w:pPr>
            <w:r>
              <w:t xml:space="preserve">Verify recognition, check-ins and access-revocation are actually happening.</w:t>
            </w:r>
          </w:p>
        </w:tc>
      </w:tr>
      <w:tr>
        <w:tc>
          <w:tcPr/>
          <w:p>
            <w:pPr>
              <w:pStyle w:val="Compact"/>
              <w:jc w:val="left"/>
            </w:pPr>
            <w:r>
              <w:t xml:space="preserve">Technique Details</w:t>
            </w:r>
          </w:p>
        </w:tc>
        <w:tc>
          <w:tcPr/>
          <w:p>
            <w:pPr>
              <w:pStyle w:val="Compact"/>
              <w:jc w:val="left"/>
            </w:pPr>
            <w:r>
              <w:t xml:space="preserve">Walk through each planned reinforcement mechanism and confirm, with evidence, that it is actually operating — not just scheduled.</w:t>
            </w:r>
          </w:p>
        </w:tc>
      </w:tr>
      <w:tr>
        <w:tc>
          <w:tcPr/>
          <w:p>
            <w:pPr>
              <w:pStyle w:val="Compact"/>
              <w:jc w:val="left"/>
            </w:pPr>
            <w:r>
              <w:t xml:space="preserve">Recommended Open-Source Tool</w:t>
            </w:r>
          </w:p>
        </w:tc>
        <w:tc>
          <w:tcPr/>
          <w:p>
            <w:pPr>
              <w:pStyle w:val="Compact"/>
              <w:jc w:val="left"/>
            </w:pPr>
            <w:r>
              <w:t xml:space="preserve">OpenProject</w:t>
            </w:r>
          </w:p>
        </w:tc>
      </w:tr>
    </w:tbl>
    <w:p>
      <w:pPr>
        <w:pStyle w:val="BodyText"/>
      </w:pPr>
      <w:r>
        <w:rPr>
          <w:bCs/>
          <w:b/>
        </w:rPr>
        <w:t xml:space="preserve">journi:</w:t>
      </w:r>
      <w:r>
        <w:t xml:space="preserve"> </w:t>
      </w:r>
      <w:r>
        <w:rPr>
          <w:iCs/>
          <w:i/>
        </w:rPr>
        <w:t xml:space="preserve">This is entered/updated in journi — M5 — ADKAR Engine (Reinforcement block).</w:t>
      </w:r>
    </w:p>
    <w:p>
      <w:pPr>
        <w:pStyle w:val="BodyText"/>
      </w:pPr>
      <w:r>
        <w:rPr>
          <w:bCs/>
          <w:b/>
          <w:color w:val="5A8F89"/>
          <w:sz w:val="22"/>
        </w:rPr>
        <w:t xml:space="preserve">Step 2 — Verify the check-in cadence</w:t>
      </w:r>
    </w:p>
    <w:p>
      <w:pPr>
        <w:pStyle w:val="BodyText"/>
      </w:pPr>
      <w:r>
        <w:t xml:space="preserve">A calendar invite that keeps getting silently declined is not the same thing as a check-in that actually happened; sampling real calendars catches the difference.</w:t>
      </w:r>
    </w:p>
    <w:p>
      <w:pPr>
        <w:pStyle w:val="BodyText"/>
      </w:pPr>
      <w:r>
        <w:rPr>
          <w:iCs/>
          <w:i/>
        </w:rPr>
        <w:t xml:space="preserve">SIPOC for this step.</w:t>
      </w:r>
    </w:p>
    <w:tbl>
      <w:tblPr>
        <w:tblStyle w:val="Table"/>
        <w:tblW w:type="pct" w:w="4961"/>
        <w:tblLook w:firstRow="1" w:lastRow="0" w:firstColumn="0" w:lastColumn="0" w:noHBand="0" w:noVBand="0" w:val="0020"/>
        <w:jc w:val="start"/>
      </w:tblPr>
      <w:tblGrid>
        <w:gridCol w:w="1577"/>
        <w:gridCol w:w="990"/>
        <w:gridCol w:w="1113"/>
        <w:gridCol w:w="866"/>
        <w:gridCol w:w="331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(Reinforcement audit checklist)</w:t>
            </w:r>
          </w:p>
        </w:tc>
        <w:tc>
          <w:tcPr/>
          <w:p>
            <w:pPr>
              <w:pStyle w:val="Compact"/>
              <w:jc w:val="left"/>
            </w:pPr>
            <w:r>
              <w:t xml:space="preserve">Completed reinforcement audit</w:t>
            </w:r>
          </w:p>
        </w:tc>
        <w:tc>
          <w:tcPr/>
          <w:p>
            <w:pPr>
              <w:pStyle w:val="Compact"/>
              <w:jc w:val="left"/>
            </w:pPr>
            <w:r>
              <w:t xml:space="preserve">Manager check-in cadence tracking</w:t>
            </w:r>
          </w:p>
        </w:tc>
        <w:tc>
          <w:tcPr/>
          <w:p>
            <w:pPr>
              <w:pStyle w:val="Compact"/>
              <w:jc w:val="left"/>
            </w:pPr>
            <w:r>
              <w:t xml:space="preserve">Verified check-in cadence</w:t>
            </w:r>
          </w:p>
        </w:tc>
        <w:tc>
          <w:tcPr/>
          <w:p>
            <w:pPr>
              <w:pStyle w:val="Compact"/>
              <w:jc w:val="left"/>
            </w:pPr>
            <w:r>
              <w:t xml:space="preserve">Business-as-usual process owner; Executive Sponsor; future Change Management projects (lessons learned).</w:t>
            </w:r>
          </w:p>
        </w:tc>
      </w:tr>
    </w:tbl>
    <w:p>
      <w:pPr>
        <w:pStyle w:val="BodyText"/>
      </w:pPr>
      <w:r>
        <w:rPr>
          <w:iCs/>
          <w:i/>
        </w:rPr>
        <w:t xml:space="preserve">Technique detail for this step.</w:t>
      </w:r>
    </w:p>
    <w:tbl>
      <w:tblPr>
        <w:tblStyle w:val="Table"/>
        <w:tblW w:type="pct" w:w="4930"/>
        <w:tblLook w:firstRow="1" w:lastRow="0" w:firstColumn="0" w:lastColumn="0" w:noHBand="0" w:noVBand="0" w:val="0020"/>
        <w:jc w:val="start"/>
      </w:tblPr>
      <w:tblGrid>
        <w:gridCol w:w="1729"/>
        <w:gridCol w:w="607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Manager check-in cadence tracking</w:t>
            </w:r>
          </w:p>
        </w:tc>
      </w:tr>
      <w:tr>
        <w:tc>
          <w:tcPr/>
          <w:p>
            <w:pPr>
              <w:pStyle w:val="Compact"/>
              <w:jc w:val="left"/>
            </w:pPr>
            <w:r>
              <w:t xml:space="preserve">Technique Goal</w:t>
            </w:r>
          </w:p>
        </w:tc>
        <w:tc>
          <w:tcPr/>
          <w:p>
            <w:pPr>
              <w:pStyle w:val="Compact"/>
              <w:jc w:val="left"/>
            </w:pPr>
            <w:r>
              <w:t xml:space="preserve">Confirm scheduled 1:1s are occurring, not just planned.</w:t>
            </w:r>
          </w:p>
        </w:tc>
      </w:tr>
      <w:tr>
        <w:tc>
          <w:tcPr/>
          <w:p>
            <w:pPr>
              <w:pStyle w:val="Compact"/>
              <w:jc w:val="left"/>
            </w:pPr>
            <w:r>
              <w:t xml:space="preserve">Technique Details</w:t>
            </w:r>
          </w:p>
        </w:tc>
        <w:tc>
          <w:tcPr/>
          <w:p>
            <w:pPr>
              <w:pStyle w:val="Compact"/>
              <w:jc w:val="left"/>
            </w:pPr>
            <w:r>
              <w:t xml:space="preserve">Sample a subset of supervisors' calendars and confirm the planned adoption check-ins actually took place.</w:t>
            </w:r>
          </w:p>
        </w:tc>
      </w:tr>
      <w:tr>
        <w:tc>
          <w:tcPr/>
          <w:p>
            <w:pPr>
              <w:pStyle w:val="Compact"/>
              <w:jc w:val="left"/>
            </w:pPr>
            <w:r>
              <w:t xml:space="preserve">Recommended Open-Source Tool</w:t>
            </w:r>
          </w:p>
        </w:tc>
        <w:tc>
          <w:tcPr/>
          <w:p>
            <w:pPr>
              <w:pStyle w:val="Compact"/>
              <w:jc w:val="left"/>
            </w:pPr>
            <w:r>
              <w:t xml:space="preserve">OpenProject (calendar)</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ITL</w:t>
            </w:r>
          </w:p>
        </w:tc>
        <w:tc>
          <w:tcPr/>
          <w:p>
            <w:pPr>
              <w:pStyle w:val="Compact"/>
              <w:jc w:val="left"/>
            </w:pPr>
            <w:r>
              <w:t xml:space="preserve">ES, PM, EU</w:t>
            </w:r>
          </w:p>
        </w:tc>
      </w:tr>
    </w:tbl>
    <w:p>
      <w:pPr>
        <w:pStyle w:val="BodyText"/>
      </w:pPr>
      <w:r>
        <w:rPr>
          <w:bCs/>
          <w:b/>
          <w:color w:val="3F827B"/>
          <w:sz w:val="24"/>
        </w:rPr>
        <w:t xml:space="preserve">Task 3 — [CHANGE] Run 60-day and 90-day checkpoint reviews against benchmarking bands</w:t>
      </w:r>
    </w:p>
    <w:p>
      <w:pPr>
        <w:pStyle w:val="BodyText"/>
      </w:pPr>
      <w:r>
        <w:rPr>
          <w:bCs/>
          <w:b/>
        </w:rPr>
        <w:t xml:space="preserve">journi:</w:t>
      </w:r>
      <w:r>
        <w:t xml:space="preserve"> </w:t>
      </w:r>
      <w:r>
        <w:rPr>
          <w:iCs/>
          <w:i/>
        </w:rPr>
        <w:t xml:space="preserve">This is entered/updated in journi — M14.</w:t>
      </w:r>
    </w:p>
    <w:p>
      <w:pPr>
        <w:pStyle w:val="BodyText"/>
      </w:pPr>
      <w:r>
        <w:rPr>
          <w:bCs/>
          <w:b/>
          <w:color w:val="5A8F89"/>
          <w:sz w:val="22"/>
        </w:rPr>
        <w:t xml:space="preserve">Step 1 — Compile the checkpoint scorecard</w:t>
      </w:r>
    </w:p>
    <w:p>
      <w:pPr>
        <w:pStyle w:val="BodyText"/>
      </w:pPr>
      <w:r>
        <w:t xml:space="preserve">This is the evidentiary backbone of the eventual Refreeze call, so it is worth compiling with the same rigor as the Phase 5 go/no-go scorecards.</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2255"/>
        <w:gridCol w:w="3382"/>
        <w:gridCol w:w="590"/>
        <w:gridCol w:w="885"/>
        <w:gridCol w:w="75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 (performance integration).</w:t>
            </w:r>
          </w:p>
        </w:tc>
        <w:tc>
          <w:tcPr/>
          <w:p>
            <w:pPr>
              <w:pStyle w:val="Compact"/>
              <w:jc w:val="left"/>
            </w:pPr>
            <w:r>
              <w:t xml:space="preserve">Stabilized adoption metrics; reinforcement mechanisms design (recognition, metrics, coaching cadence); checkpoint schedule.</w:t>
            </w:r>
          </w:p>
        </w:tc>
        <w:tc>
          <w:tcPr/>
          <w:p>
            <w:pPr>
              <w:pStyle w:val="Compact"/>
              <w:jc w:val="left"/>
            </w:pPr>
            <w:r>
              <w:t xml:space="preserve">Benchmarking review</w:t>
            </w:r>
          </w:p>
        </w:tc>
        <w:tc>
          <w:tcPr/>
          <w:p>
            <w:pPr>
              <w:pStyle w:val="Compact"/>
              <w:jc w:val="left"/>
            </w:pPr>
            <w:r>
              <w:t xml:space="preserve">60/90-day checkpoint scorecard</w:t>
            </w:r>
          </w:p>
        </w:tc>
        <w:tc>
          <w:tcPr/>
          <w:p>
            <w:pPr>
              <w:pStyle w:val="Compact"/>
              <w:jc w:val="left"/>
            </w:pPr>
            <w:r>
              <w:t xml:space="preserve">Step 2 (Steering readout)</w:t>
            </w:r>
          </w:p>
        </w:tc>
      </w:tr>
    </w:tbl>
    <w:p>
      <w:pPr>
        <w:pStyle w:val="BodyText"/>
      </w:pPr>
      <w:r>
        <w:rPr>
          <w:iCs/>
          <w:i/>
        </w:rPr>
        <w:t xml:space="preserve">Technique detail for this step.</w:t>
      </w:r>
    </w:p>
    <w:tbl>
      <w:tblPr>
        <w:tblStyle w:val="Table"/>
        <w:tblW w:type="pct" w:w="4937"/>
        <w:tblLook w:firstRow="1" w:lastRow="0" w:firstColumn="0" w:lastColumn="0" w:noHBand="0" w:noVBand="0" w:val="0020"/>
        <w:jc w:val="start"/>
      </w:tblPr>
      <w:tblGrid>
        <w:gridCol w:w="1553"/>
        <w:gridCol w:w="626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Benchmarking review</w:t>
            </w:r>
          </w:p>
        </w:tc>
      </w:tr>
      <w:tr>
        <w:tc>
          <w:tcPr/>
          <w:p>
            <w:pPr>
              <w:pStyle w:val="Compact"/>
              <w:jc w:val="left"/>
            </w:pPr>
            <w:r>
              <w:t xml:space="preserve">Technique Goal</w:t>
            </w:r>
          </w:p>
        </w:tc>
        <w:tc>
          <w:tcPr/>
          <w:p>
            <w:pPr>
              <w:pStyle w:val="Compact"/>
              <w:jc w:val="left"/>
            </w:pPr>
            <w:r>
              <w:t xml:space="preserve">Compare current scores against the M14 target bands.</w:t>
            </w:r>
          </w:p>
        </w:tc>
      </w:tr>
      <w:tr>
        <w:tc>
          <w:tcPr/>
          <w:p>
            <w:pPr>
              <w:pStyle w:val="Compact"/>
              <w:jc w:val="left"/>
            </w:pPr>
            <w:r>
              <w:t xml:space="preserve">Technique Details</w:t>
            </w:r>
          </w:p>
        </w:tc>
        <w:tc>
          <w:tcPr/>
          <w:p>
            <w:pPr>
              <w:pStyle w:val="Compact"/>
              <w:jc w:val="left"/>
            </w:pPr>
            <w:r>
              <w:t xml:space="preserve">Compile Composite Readiness Index, ADKAR and sentiment scores against the target bands for the 60- and 90-day checkpoints.</w:t>
            </w:r>
          </w:p>
        </w:tc>
      </w:tr>
      <w:tr>
        <w:tc>
          <w:tcPr/>
          <w:p>
            <w:pPr>
              <w:pStyle w:val="Compact"/>
              <w:jc w:val="left"/>
            </w:pPr>
            <w:r>
              <w:t xml:space="preserve">Recommended Open-Source Tool</w:t>
            </w:r>
          </w:p>
        </w:tc>
        <w:tc>
          <w:tcPr/>
          <w:p>
            <w:pPr>
              <w:pStyle w:val="Compact"/>
              <w:jc w:val="left"/>
            </w:pPr>
            <w:r>
              <w:t xml:space="preserve">Metabase</w:t>
            </w:r>
          </w:p>
        </w:tc>
      </w:tr>
    </w:tbl>
    <w:p>
      <w:pPr>
        <w:pStyle w:val="BodyText"/>
      </w:pPr>
      <w:r>
        <w:rPr>
          <w:bCs/>
          <w:b/>
        </w:rPr>
        <w:t xml:space="preserve">journi:</w:t>
      </w:r>
      <w:r>
        <w:t xml:space="preserve"> </w:t>
      </w:r>
      <w:r>
        <w:rPr>
          <w:iCs/>
          <w:i/>
        </w:rPr>
        <w:t xml:space="preserve">This is entered/updated in journi — M14 — Metrics &amp; Analytics Dashboard (Benchmarking tab).</w:t>
      </w:r>
    </w:p>
    <w:p>
      <w:pPr>
        <w:pStyle w:val="BodyText"/>
      </w:pPr>
      <w:r>
        <w:rPr>
          <w:bCs/>
          <w:b/>
          <w:color w:val="5A8F89"/>
          <w:sz w:val="22"/>
        </w:rPr>
        <w:t xml:space="preserve">Step 2 — Deliver the steering readout</w:t>
      </w:r>
    </w:p>
    <w:p>
      <w:pPr>
        <w:pStyle w:val="BodyText"/>
      </w:pPr>
      <w:r>
        <w:t xml:space="preserve">A short, evidence-led readout with a clear recommendation respects the Steering Committee's time far more than a lengthy status update without a conclusion.</w:t>
      </w:r>
    </w:p>
    <w:p>
      <w:pPr>
        <w:pStyle w:val="BodyText"/>
      </w:pPr>
      <w:r>
        <w:rPr>
          <w:iCs/>
          <w:i/>
        </w:rPr>
        <w:t xml:space="preserve">SIPOC for this step.</w:t>
      </w:r>
    </w:p>
    <w:tbl>
      <w:tblPr>
        <w:tblStyle w:val="Table"/>
        <w:tblW w:type="pct" w:w="4957"/>
        <w:tblLook w:firstRow="1" w:lastRow="0" w:firstColumn="0" w:lastColumn="0" w:noHBand="0" w:noVBand="0" w:val="0020"/>
        <w:jc w:val="start"/>
      </w:tblPr>
      <w:tblGrid>
        <w:gridCol w:w="1405"/>
        <w:gridCol w:w="1131"/>
        <w:gridCol w:w="651"/>
        <w:gridCol w:w="994"/>
        <w:gridCol w:w="366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(Benchmarking review)</w:t>
            </w:r>
          </w:p>
        </w:tc>
        <w:tc>
          <w:tcPr/>
          <w:p>
            <w:pPr>
              <w:pStyle w:val="Compact"/>
              <w:jc w:val="left"/>
            </w:pPr>
            <w:r>
              <w:t xml:space="preserve">60/90-day checkpoint scorecard</w:t>
            </w:r>
          </w:p>
        </w:tc>
        <w:tc>
          <w:tcPr/>
          <w:p>
            <w:pPr>
              <w:pStyle w:val="Compact"/>
              <w:jc w:val="left"/>
            </w:pPr>
            <w:r>
              <w:t xml:space="preserve">Steering readout</w:t>
            </w:r>
          </w:p>
        </w:tc>
        <w:tc>
          <w:tcPr/>
          <w:p>
            <w:pPr>
              <w:pStyle w:val="Compact"/>
              <w:jc w:val="left"/>
            </w:pPr>
            <w:r>
              <w:t xml:space="preserve">Delivered steering readout</w:t>
            </w:r>
          </w:p>
        </w:tc>
        <w:tc>
          <w:tcPr/>
          <w:p>
            <w:pPr>
              <w:pStyle w:val="Compact"/>
              <w:jc w:val="left"/>
            </w:pPr>
            <w:r>
              <w:t xml:space="preserve">Business-as-usual process owner; Executive Sponsor; future Change Management projects (lessons learned).</w:t>
            </w:r>
          </w:p>
        </w:tc>
      </w:tr>
    </w:tbl>
    <w:p>
      <w:pPr>
        <w:pStyle w:val="BodyText"/>
      </w:pPr>
      <w:r>
        <w:rPr>
          <w:iCs/>
          <w:i/>
        </w:rPr>
        <w:t xml:space="preserve">Technique detail for this step.</w:t>
      </w:r>
    </w:p>
    <w:tbl>
      <w:tblPr>
        <w:tblStyle w:val="Table"/>
        <w:tblW w:type="pct" w:w="4930"/>
        <w:tblLook w:firstRow="1" w:lastRow="0" w:firstColumn="0" w:lastColumn="0" w:noHBand="0" w:noVBand="0" w:val="0020"/>
        <w:jc w:val="start"/>
      </w:tblPr>
      <w:tblGrid>
        <w:gridCol w:w="1729"/>
        <w:gridCol w:w="607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Steering readout</w:t>
            </w:r>
          </w:p>
        </w:tc>
      </w:tr>
      <w:tr>
        <w:tc>
          <w:tcPr/>
          <w:p>
            <w:pPr>
              <w:pStyle w:val="Compact"/>
              <w:jc w:val="left"/>
            </w:pPr>
            <w:r>
              <w:t xml:space="preserve">Technique Goal</w:t>
            </w:r>
          </w:p>
        </w:tc>
        <w:tc>
          <w:tcPr/>
          <w:p>
            <w:pPr>
              <w:pStyle w:val="Compact"/>
              <w:jc w:val="left"/>
            </w:pPr>
            <w:r>
              <w:t xml:space="preserve">Present checkpoint evidence formally to the Sponsor.</w:t>
            </w:r>
          </w:p>
        </w:tc>
      </w:tr>
      <w:tr>
        <w:tc>
          <w:tcPr/>
          <w:p>
            <w:pPr>
              <w:pStyle w:val="Compact"/>
              <w:jc w:val="left"/>
            </w:pPr>
            <w:r>
              <w:t xml:space="preserve">Technique Details</w:t>
            </w:r>
          </w:p>
        </w:tc>
        <w:tc>
          <w:tcPr/>
          <w:p>
            <w:pPr>
              <w:pStyle w:val="Compact"/>
              <w:jc w:val="left"/>
            </w:pPr>
            <w:r>
              <w:t xml:space="preserve">A short, evidence-led readout to the Steering Committee, with a clear recommendation on the Refreeze call.</w:t>
            </w:r>
          </w:p>
        </w:tc>
      </w:tr>
      <w:tr>
        <w:tc>
          <w:tcPr/>
          <w:p>
            <w:pPr>
              <w:pStyle w:val="Compact"/>
              <w:jc w:val="left"/>
            </w:pPr>
            <w:r>
              <w:t xml:space="preserve">Recommended Open-Source Tool</w:t>
            </w:r>
          </w:p>
        </w:tc>
        <w:tc>
          <w:tcPr/>
          <w:p>
            <w:pPr>
              <w:pStyle w:val="Compact"/>
              <w:jc w:val="left"/>
            </w:pPr>
            <w:r>
              <w:t xml:space="preserve">LibreOffice Impress</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PM, FPO</w:t>
            </w:r>
          </w:p>
        </w:tc>
        <w:tc>
          <w:tcPr/>
          <w:p>
            <w:pPr>
              <w:pStyle w:val="Compact"/>
              <w:jc w:val="left"/>
            </w:pPr>
            <w:r>
              <w:t xml:space="preserve">SUP</w:t>
            </w:r>
          </w:p>
        </w:tc>
        <w:tc>
          <w:tcPr/>
          <w:p>
            <w:pPr>
              <w:pStyle w:val="Compact"/>
              <w:jc w:val="left"/>
            </w:pPr>
            <w:r>
              <w:t xml:space="preserve">ES, ITL, EU</w:t>
            </w:r>
          </w:p>
        </w:tc>
      </w:tr>
    </w:tbl>
    <w:p>
      <w:pPr>
        <w:pStyle w:val="BodyText"/>
      </w:pPr>
      <w:r>
        <w:rPr>
          <w:bCs/>
          <w:b/>
          <w:color w:val="3F827B"/>
          <w:sz w:val="24"/>
        </w:rPr>
        <w:t xml:space="preserve">Task 4 — [CHANGE] Call Refreeze formally once checkpoint evidence, not the calendar, supports it</w:t>
      </w:r>
    </w:p>
    <w:p>
      <w:pPr>
        <w:pStyle w:val="BodyText"/>
      </w:pPr>
      <w:r>
        <w:rPr>
          <w:bCs/>
          <w:b/>
        </w:rPr>
        <w:t xml:space="preserve">journi:</w:t>
      </w:r>
      <w:r>
        <w:t xml:space="preserve"> </w:t>
      </w:r>
      <w:r>
        <w:rPr>
          <w:iCs/>
          <w:i/>
        </w:rPr>
        <w:t xml:space="preserve">This is entered/updated in journi — M3.</w:t>
      </w:r>
    </w:p>
    <w:p>
      <w:pPr>
        <w:pStyle w:val="BodyText"/>
      </w:pPr>
      <w:r>
        <w:rPr>
          <w:bCs/>
          <w:b/>
          <w:color w:val="5A8F89"/>
          <w:sz w:val="22"/>
        </w:rPr>
        <w:t xml:space="preserve">Step 1 — Review evidence for the phase call</w:t>
      </w:r>
    </w:p>
    <w:p>
      <w:pPr>
        <w:pStyle w:val="BodyText"/>
      </w:pPr>
      <w:r>
        <w:t xml:space="preserve">Requiring two to three consecutive healthy checkpoints, not just one good week, is what protects against calling Refreeze on a temporary upswing that later reverses.</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2112"/>
        <w:gridCol w:w="3168"/>
        <w:gridCol w:w="880"/>
        <w:gridCol w:w="1030"/>
        <w:gridCol w:w="67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 (performance integration).</w:t>
            </w:r>
          </w:p>
        </w:tc>
        <w:tc>
          <w:tcPr/>
          <w:p>
            <w:pPr>
              <w:pStyle w:val="Compact"/>
              <w:jc w:val="left"/>
            </w:pPr>
            <w:r>
              <w:t xml:space="preserve">Stabilized adoption metrics; reinforcement mechanisms design (recognition, metrics, coaching cadence); checkpoint schedule.</w:t>
            </w:r>
          </w:p>
        </w:tc>
        <w:tc>
          <w:tcPr/>
          <w:p>
            <w:pPr>
              <w:pStyle w:val="Compact"/>
              <w:jc w:val="left"/>
            </w:pPr>
            <w:r>
              <w:t xml:space="preserve">Evidence-based phase-call review</w:t>
            </w:r>
          </w:p>
        </w:tc>
        <w:tc>
          <w:tcPr/>
          <w:p>
            <w:pPr>
              <w:pStyle w:val="Compact"/>
              <w:jc w:val="left"/>
            </w:pPr>
            <w:r>
              <w:t xml:space="preserve">Evidence-based Refreeze recommendation</w:t>
            </w:r>
          </w:p>
        </w:tc>
        <w:tc>
          <w:tcPr/>
          <w:p>
            <w:pPr>
              <w:pStyle w:val="Compact"/>
              <w:jc w:val="left"/>
            </w:pPr>
            <w:r>
              <w:t xml:space="preserve">Step 2 (Formal sign-off)</w:t>
            </w:r>
          </w:p>
        </w:tc>
      </w:tr>
    </w:tbl>
    <w:p>
      <w:pPr>
        <w:pStyle w:val="BodyText"/>
      </w:pPr>
      <w:r>
        <w:rPr>
          <w:iCs/>
          <w:i/>
        </w:rPr>
        <w:t xml:space="preserve">Technique detail for this step.</w:t>
      </w:r>
    </w:p>
    <w:tbl>
      <w:tblPr>
        <w:tblStyle w:val="Table"/>
        <w:tblW w:type="pct" w:w="4930"/>
        <w:tblLook w:firstRow="1" w:lastRow="0" w:firstColumn="0" w:lastColumn="0" w:noHBand="0" w:noVBand="0" w:val="0020"/>
        <w:jc w:val="start"/>
      </w:tblPr>
      <w:tblGrid>
        <w:gridCol w:w="1716"/>
        <w:gridCol w:w="609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Evidence-based phase-call review</w:t>
            </w:r>
          </w:p>
        </w:tc>
      </w:tr>
      <w:tr>
        <w:tc>
          <w:tcPr/>
          <w:p>
            <w:pPr>
              <w:pStyle w:val="Compact"/>
              <w:jc w:val="left"/>
            </w:pPr>
            <w:r>
              <w:t xml:space="preserve">Technique Goal</w:t>
            </w:r>
          </w:p>
        </w:tc>
        <w:tc>
          <w:tcPr/>
          <w:p>
            <w:pPr>
              <w:pStyle w:val="Compact"/>
              <w:jc w:val="left"/>
            </w:pPr>
            <w:r>
              <w:t xml:space="preserve">Confirm Refreeze from data, not the calendar.</w:t>
            </w:r>
          </w:p>
        </w:tc>
      </w:tr>
      <w:tr>
        <w:tc>
          <w:tcPr/>
          <w:p>
            <w:pPr>
              <w:pStyle w:val="Compact"/>
              <w:jc w:val="left"/>
            </w:pPr>
            <w:r>
              <w:t xml:space="preserve">Technique Details</w:t>
            </w:r>
          </w:p>
        </w:tc>
        <w:tc>
          <w:tcPr/>
          <w:p>
            <w:pPr>
              <w:pStyle w:val="Compact"/>
              <w:jc w:val="left"/>
            </w:pPr>
            <w:r>
              <w:t xml:space="preserve">Review two to three consecutive checkpoints against the target bands before recommending the Refreeze call.</w:t>
            </w:r>
          </w:p>
        </w:tc>
      </w:tr>
      <w:tr>
        <w:tc>
          <w:tcPr/>
          <w:p>
            <w:pPr>
              <w:pStyle w:val="Compact"/>
              <w:jc w:val="left"/>
            </w:pPr>
            <w:r>
              <w:t xml:space="preserve">Recommended Open-Source Tool</w:t>
            </w:r>
          </w:p>
        </w:tc>
        <w:tc>
          <w:tcPr/>
          <w:p>
            <w:pPr>
              <w:pStyle w:val="Compact"/>
              <w:jc w:val="left"/>
            </w:pPr>
            <w:r>
              <w:t xml:space="preserve">OpenProject (decision log)</w:t>
            </w:r>
          </w:p>
        </w:tc>
      </w:tr>
    </w:tbl>
    <w:p>
      <w:pPr>
        <w:pStyle w:val="BodyText"/>
      </w:pPr>
      <w:r>
        <w:rPr>
          <w:bCs/>
          <w:b/>
        </w:rPr>
        <w:t xml:space="preserve">journi:</w:t>
      </w:r>
      <w:r>
        <w:t xml:space="preserve"> </w:t>
      </w:r>
      <w:r>
        <w:rPr>
          <w:iCs/>
          <w:i/>
        </w:rPr>
        <w:t xml:space="preserve">This is entered/updated in journi — M3 — Initiative &amp; Portfolio Registry.</w:t>
      </w:r>
    </w:p>
    <w:p>
      <w:pPr>
        <w:pStyle w:val="BodyText"/>
      </w:pPr>
      <w:r>
        <w:rPr>
          <w:bCs/>
          <w:b/>
          <w:color w:val="5A8F89"/>
          <w:sz w:val="22"/>
        </w:rPr>
        <w:t xml:space="preserve">Step 2 — Obtain formal sign-off</w:t>
      </w:r>
    </w:p>
    <w:p>
      <w:pPr>
        <w:pStyle w:val="BodyText"/>
      </w:pPr>
      <w:r>
        <w:t xml:space="preserve">A written sign-off filed alongside the checkpoint evidence is what makes the Refreeze call defensible later, if anyone asks why it was made when it was.</w:t>
      </w:r>
    </w:p>
    <w:p>
      <w:pPr>
        <w:pStyle w:val="BodyText"/>
      </w:pPr>
      <w:r>
        <w:rPr>
          <w:iCs/>
          <w:i/>
        </w:rPr>
        <w:t xml:space="preserve">SIPOC for this step.</w:t>
      </w:r>
    </w:p>
    <w:tbl>
      <w:tblPr>
        <w:tblStyle w:val="Table"/>
        <w:tblW w:type="pct" w:w="4960"/>
        <w:tblLook w:firstRow="1" w:lastRow="0" w:firstColumn="0" w:lastColumn="0" w:noHBand="0" w:noVBand="0" w:val="0020"/>
        <w:jc w:val="start"/>
      </w:tblPr>
      <w:tblGrid>
        <w:gridCol w:w="1690"/>
        <w:gridCol w:w="1283"/>
        <w:gridCol w:w="563"/>
        <w:gridCol w:w="970"/>
        <w:gridCol w:w="334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(Evidence-based phase-call review)</w:t>
            </w:r>
          </w:p>
        </w:tc>
        <w:tc>
          <w:tcPr/>
          <w:p>
            <w:pPr>
              <w:pStyle w:val="Compact"/>
              <w:jc w:val="left"/>
            </w:pPr>
            <w:r>
              <w:t xml:space="preserve">Evidence-based Refreeze recommendation</w:t>
            </w:r>
          </w:p>
        </w:tc>
        <w:tc>
          <w:tcPr/>
          <w:p>
            <w:pPr>
              <w:pStyle w:val="Compact"/>
              <w:jc w:val="left"/>
            </w:pPr>
            <w:r>
              <w:t xml:space="preserve">Formal sign-off</w:t>
            </w:r>
          </w:p>
        </w:tc>
        <w:tc>
          <w:tcPr/>
          <w:p>
            <w:pPr>
              <w:pStyle w:val="Compact"/>
              <w:jc w:val="left"/>
            </w:pPr>
            <w:r>
              <w:t xml:space="preserve">Signed Refreeze confirmation</w:t>
            </w:r>
          </w:p>
        </w:tc>
        <w:tc>
          <w:tcPr/>
          <w:p>
            <w:pPr>
              <w:pStyle w:val="Compact"/>
              <w:jc w:val="left"/>
            </w:pPr>
            <w:r>
              <w:t xml:space="preserve">Business-as-usual process owner; Executive Sponsor; future Change Management projects (lessons learned).</w:t>
            </w:r>
          </w:p>
        </w:tc>
      </w:tr>
    </w:tbl>
    <w:p>
      <w:pPr>
        <w:pStyle w:val="BodyText"/>
      </w:pPr>
      <w:r>
        <w:rPr>
          <w:iCs/>
          <w:i/>
        </w:rPr>
        <w:t xml:space="preserve">Technique detail for this step.</w:t>
      </w:r>
    </w:p>
    <w:tbl>
      <w:tblPr>
        <w:tblStyle w:val="Table"/>
        <w:tblW w:type="pct" w:w="4927"/>
        <w:tblLook w:firstRow="1" w:lastRow="0" w:firstColumn="0" w:lastColumn="0" w:noHBand="0" w:noVBand="0" w:val="0020"/>
        <w:jc w:val="start"/>
      </w:tblPr>
      <w:tblGrid>
        <w:gridCol w:w="1792"/>
        <w:gridCol w:w="601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Formal sign-off</w:t>
            </w:r>
          </w:p>
        </w:tc>
      </w:tr>
      <w:tr>
        <w:tc>
          <w:tcPr/>
          <w:p>
            <w:pPr>
              <w:pStyle w:val="Compact"/>
              <w:jc w:val="left"/>
            </w:pPr>
            <w:r>
              <w:t xml:space="preserve">Technique Goal</w:t>
            </w:r>
          </w:p>
        </w:tc>
        <w:tc>
          <w:tcPr/>
          <w:p>
            <w:pPr>
              <w:pStyle w:val="Compact"/>
              <w:jc w:val="left"/>
            </w:pPr>
            <w:r>
              <w:t xml:space="preserve">Gain the Sponsor's explicit confirmation of the phase call.</w:t>
            </w:r>
          </w:p>
        </w:tc>
      </w:tr>
      <w:tr>
        <w:tc>
          <w:tcPr/>
          <w:p>
            <w:pPr>
              <w:pStyle w:val="Compact"/>
              <w:jc w:val="left"/>
            </w:pPr>
            <w:r>
              <w:t xml:space="preserve">Technique Details</w:t>
            </w:r>
          </w:p>
        </w:tc>
        <w:tc>
          <w:tcPr/>
          <w:p>
            <w:pPr>
              <w:pStyle w:val="Compact"/>
              <w:jc w:val="left"/>
            </w:pPr>
            <w:r>
              <w:t xml:space="preserve">Obtain the Sponsor's written sign-off on the Refreeze call and file it with the checkpoint evidence.</w:t>
            </w:r>
          </w:p>
        </w:tc>
      </w:tr>
      <w:tr>
        <w:tc>
          <w:tcPr/>
          <w:p>
            <w:pPr>
              <w:pStyle w:val="Compact"/>
              <w:jc w:val="left"/>
            </w:pPr>
            <w:r>
              <w:t xml:space="preserve">Recommended Open-Source Tool</w:t>
            </w:r>
          </w:p>
        </w:tc>
        <w:tc>
          <w:tcPr/>
          <w:p>
            <w:pPr>
              <w:pStyle w:val="Compact"/>
              <w:jc w:val="left"/>
            </w:pPr>
            <w:r>
              <w:t xml:space="preserve">LibreOffice Writer (sign-off memo)</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ES</w:t>
            </w:r>
          </w:p>
        </w:tc>
        <w:tc>
          <w:tcPr/>
          <w:p>
            <w:pPr>
              <w:pStyle w:val="Compact"/>
              <w:jc w:val="left"/>
            </w:pPr>
            <w:r>
              <w:t xml:space="preserve">PM, FPO</w:t>
            </w:r>
          </w:p>
        </w:tc>
        <w:tc>
          <w:tcPr/>
          <w:p>
            <w:pPr>
              <w:pStyle w:val="Compact"/>
              <w:jc w:val="left"/>
            </w:pPr>
            <w:r>
              <w:t xml:space="preserve">SUP</w:t>
            </w:r>
          </w:p>
        </w:tc>
        <w:tc>
          <w:tcPr/>
          <w:p>
            <w:pPr>
              <w:pStyle w:val="Compact"/>
              <w:jc w:val="left"/>
            </w:pPr>
            <w:r>
              <w:t xml:space="preserve">ITL, EU</w:t>
            </w:r>
          </w:p>
        </w:tc>
      </w:tr>
    </w:tbl>
    <w:p>
      <w:pPr>
        <w:pStyle w:val="BodyText"/>
      </w:pPr>
      <w:r>
        <w:rPr>
          <w:bCs/>
          <w:b/>
          <w:color w:val="3F827B"/>
          <w:sz w:val="24"/>
        </w:rPr>
        <w:t xml:space="preserve">Task 5 — [JOINT] Close the Change Management project and hand off ongoing ownership</w:t>
      </w:r>
    </w:p>
    <w:p>
      <w:pPr>
        <w:pStyle w:val="BodyText"/>
      </w:pPr>
      <w:r>
        <w:rPr>
          <w:bCs/>
          <w:b/>
          <w:color w:val="5A8F89"/>
          <w:sz w:val="22"/>
        </w:rPr>
        <w:t xml:space="preserve">Step 1 — Run the lessons-learned retrospective</w:t>
      </w:r>
    </w:p>
    <w:p>
      <w:pPr>
        <w:pStyle w:val="BodyText"/>
      </w:pPr>
      <w:r>
        <w:t xml:space="preserve">Documenting this while the program is still fresh in everyone's memory is far more valuable than trying to reconstruct it months later for the next initiative.</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2139"/>
        <w:gridCol w:w="3208"/>
        <w:gridCol w:w="814"/>
        <w:gridCol w:w="840"/>
        <w:gridCol w:w="86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 (performance integration).</w:t>
            </w:r>
          </w:p>
        </w:tc>
        <w:tc>
          <w:tcPr/>
          <w:p>
            <w:pPr>
              <w:pStyle w:val="Compact"/>
              <w:jc w:val="left"/>
            </w:pPr>
            <w:r>
              <w:t xml:space="preserve">Stabilized adoption metrics; reinforcement mechanisms design (recognition, metrics, coaching cadence); checkpoint schedule.</w:t>
            </w:r>
          </w:p>
        </w:tc>
        <w:tc>
          <w:tcPr/>
          <w:p>
            <w:pPr>
              <w:pStyle w:val="Compact"/>
              <w:jc w:val="left"/>
            </w:pPr>
            <w:r>
              <w:t xml:space="preserve">Lessons-learned retrospective</w:t>
            </w:r>
          </w:p>
        </w:tc>
        <w:tc>
          <w:tcPr/>
          <w:p>
            <w:pPr>
              <w:pStyle w:val="Compact"/>
              <w:jc w:val="left"/>
            </w:pPr>
            <w:r>
              <w:t xml:space="preserve">Documented lessons-learned log</w:t>
            </w:r>
          </w:p>
        </w:tc>
        <w:tc>
          <w:tcPr/>
          <w:p>
            <w:pPr>
              <w:pStyle w:val="Compact"/>
              <w:jc w:val="left"/>
            </w:pPr>
            <w:r>
              <w:t xml:space="preserve">Step 2 (Handover documentation)</w:t>
            </w:r>
          </w:p>
        </w:tc>
      </w:tr>
    </w:tbl>
    <w:p>
      <w:pPr>
        <w:pStyle w:val="BodyText"/>
      </w:pPr>
      <w:r>
        <w:rPr>
          <w:iCs/>
          <w:i/>
        </w:rPr>
        <w:t xml:space="preserve">Technique detail for this step.</w:t>
      </w:r>
    </w:p>
    <w:tbl>
      <w:tblPr>
        <w:tblStyle w:val="Table"/>
        <w:tblW w:type="pct" w:w="4929"/>
        <w:tblLook w:firstRow="1" w:lastRow="0" w:firstColumn="0" w:lastColumn="0" w:noHBand="0" w:noVBand="0" w:val="0020"/>
        <w:jc w:val="start"/>
      </w:tblPr>
      <w:tblGrid>
        <w:gridCol w:w="1753"/>
        <w:gridCol w:w="6053"/>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Lessons-learned retrospective</w:t>
            </w:r>
          </w:p>
        </w:tc>
      </w:tr>
      <w:tr>
        <w:tc>
          <w:tcPr/>
          <w:p>
            <w:pPr>
              <w:pStyle w:val="Compact"/>
              <w:jc w:val="left"/>
            </w:pPr>
            <w:r>
              <w:t xml:space="preserve">Technique Goal</w:t>
            </w:r>
          </w:p>
        </w:tc>
        <w:tc>
          <w:tcPr/>
          <w:p>
            <w:pPr>
              <w:pStyle w:val="Compact"/>
              <w:jc w:val="left"/>
            </w:pPr>
            <w:r>
              <w:t xml:space="preserve">Capture what worked and what to change next time.</w:t>
            </w:r>
          </w:p>
        </w:tc>
      </w:tr>
      <w:tr>
        <w:tc>
          <w:tcPr/>
          <w:p>
            <w:pPr>
              <w:pStyle w:val="Compact"/>
              <w:jc w:val="left"/>
            </w:pPr>
            <w:r>
              <w:t xml:space="preserve">Technique Details</w:t>
            </w:r>
          </w:p>
        </w:tc>
        <w:tc>
          <w:tcPr/>
          <w:p>
            <w:pPr>
              <w:pStyle w:val="Compact"/>
              <w:jc w:val="left"/>
            </w:pPr>
            <w:r>
              <w:t xml:space="preserve">A facilitated retrospective with the full CM and PM team, documented for the next initiative's kickoff.</w:t>
            </w:r>
          </w:p>
        </w:tc>
      </w:tr>
      <w:tr>
        <w:tc>
          <w:tcPr/>
          <w:p>
            <w:pPr>
              <w:pStyle w:val="Compact"/>
              <w:jc w:val="left"/>
            </w:pPr>
            <w:r>
              <w:t xml:space="preserve">Recommended Open-Source Tool</w:t>
            </w:r>
          </w:p>
        </w:tc>
        <w:tc>
          <w:tcPr/>
          <w:p>
            <w:pPr>
              <w:pStyle w:val="Compact"/>
              <w:jc w:val="left"/>
            </w:pPr>
            <w:r>
              <w:t xml:space="preserve">BigBlueButton + BookStack</w:t>
            </w:r>
          </w:p>
        </w:tc>
      </w:tr>
    </w:tbl>
    <w:p>
      <w:pPr>
        <w:pStyle w:val="BodyText"/>
      </w:pPr>
      <w:r>
        <w:rPr>
          <w:bCs/>
          <w:b/>
          <w:color w:val="5A8F89"/>
          <w:sz w:val="22"/>
        </w:rPr>
        <w:t xml:space="preserve">Step 2 — Package the handover documentation</w:t>
      </w:r>
    </w:p>
    <w:p>
      <w:pPr>
        <w:pStyle w:val="BodyText"/>
      </w:pPr>
      <w:r>
        <w:t xml:space="preserve">A single, well-organized handover package is what prevents the reinforcement mechanisms from quietly lapsing the moment the Change Manager moves to the next initiative.</w:t>
      </w:r>
    </w:p>
    <w:p>
      <w:pPr>
        <w:pStyle w:val="BodyText"/>
      </w:pPr>
      <w:r>
        <w:rPr>
          <w:iCs/>
          <w:i/>
        </w:rPr>
        <w:t xml:space="preserve">SIPOC for this step.</w:t>
      </w:r>
    </w:p>
    <w:tbl>
      <w:tblPr>
        <w:tblStyle w:val="Table"/>
        <w:tblW w:type="pct" w:w="4960"/>
        <w:tblLook w:firstRow="1" w:lastRow="0" w:firstColumn="0" w:lastColumn="0" w:noHBand="0" w:noVBand="0" w:val="0020"/>
        <w:jc w:val="start"/>
      </w:tblPr>
      <w:tblGrid>
        <w:gridCol w:w="1635"/>
        <w:gridCol w:w="1058"/>
        <w:gridCol w:w="801"/>
        <w:gridCol w:w="929"/>
        <w:gridCol w:w="343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Output of Step 1 (Lessons-learned retrospective)</w:t>
            </w:r>
          </w:p>
        </w:tc>
        <w:tc>
          <w:tcPr/>
          <w:p>
            <w:pPr>
              <w:pStyle w:val="Compact"/>
              <w:jc w:val="left"/>
            </w:pPr>
            <w:r>
              <w:t xml:space="preserve">Documented lessons-learned log</w:t>
            </w:r>
          </w:p>
        </w:tc>
        <w:tc>
          <w:tcPr/>
          <w:p>
            <w:pPr>
              <w:pStyle w:val="Compact"/>
              <w:jc w:val="left"/>
            </w:pPr>
            <w:r>
              <w:t xml:space="preserve">Handover documentation</w:t>
            </w:r>
          </w:p>
        </w:tc>
        <w:tc>
          <w:tcPr/>
          <w:p>
            <w:pPr>
              <w:pStyle w:val="Compact"/>
              <w:jc w:val="left"/>
            </w:pPr>
            <w:r>
              <w:t xml:space="preserve">Delivered handover package</w:t>
            </w:r>
          </w:p>
        </w:tc>
        <w:tc>
          <w:tcPr/>
          <w:p>
            <w:pPr>
              <w:pStyle w:val="Compact"/>
              <w:jc w:val="left"/>
            </w:pPr>
            <w:r>
              <w:t xml:space="preserve">Business-as-usual process owner; Executive Sponsor; future Change Management projects (lessons learned).</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70"/>
        <w:gridCol w:w="635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Handover documentation</w:t>
            </w:r>
          </w:p>
        </w:tc>
      </w:tr>
      <w:tr>
        <w:tc>
          <w:tcPr/>
          <w:p>
            <w:pPr>
              <w:pStyle w:val="Compact"/>
              <w:jc w:val="left"/>
            </w:pPr>
            <w:r>
              <w:t xml:space="preserve">Technique Goal</w:t>
            </w:r>
          </w:p>
        </w:tc>
        <w:tc>
          <w:tcPr/>
          <w:p>
            <w:pPr>
              <w:pStyle w:val="Compact"/>
              <w:jc w:val="left"/>
            </w:pPr>
            <w:r>
              <w:t xml:space="preserve">Give the business owner everything needed to sustain the process.</w:t>
            </w:r>
          </w:p>
        </w:tc>
      </w:tr>
      <w:tr>
        <w:tc>
          <w:tcPr/>
          <w:p>
            <w:pPr>
              <w:pStyle w:val="Compact"/>
              <w:jc w:val="left"/>
            </w:pPr>
            <w:r>
              <w:t xml:space="preserve">Technique Details</w:t>
            </w:r>
          </w:p>
        </w:tc>
        <w:tc>
          <w:tcPr/>
          <w:p>
            <w:pPr>
              <w:pStyle w:val="Compact"/>
              <w:jc w:val="left"/>
            </w:pPr>
            <w:r>
              <w:t xml:space="preserve">Package the reinforcement mechanisms, metric definitions and escalation path into a single handover document for the process owner.</w:t>
            </w:r>
          </w:p>
        </w:tc>
      </w:tr>
      <w:tr>
        <w:tc>
          <w:tcPr/>
          <w:p>
            <w:pPr>
              <w:pStyle w:val="Compact"/>
              <w:jc w:val="left"/>
            </w:pPr>
            <w:r>
              <w:t xml:space="preserve">Recommended Open-Source Tool</w:t>
            </w:r>
          </w:p>
        </w:tc>
        <w:tc>
          <w:tcPr/>
          <w:p>
            <w:pPr>
              <w:pStyle w:val="Compact"/>
              <w:jc w:val="left"/>
            </w:pPr>
            <w:r>
              <w:t xml:space="preserve">BookStack</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FPO</w:t>
            </w:r>
          </w:p>
        </w:tc>
        <w:tc>
          <w:tcPr/>
          <w:p>
            <w:pPr>
              <w:pStyle w:val="Compact"/>
              <w:jc w:val="left"/>
            </w:pPr>
            <w:r>
              <w:t xml:space="preserve">ES</w:t>
            </w:r>
          </w:p>
        </w:tc>
        <w:tc>
          <w:tcPr/>
          <w:p>
            <w:pPr>
              <w:pStyle w:val="Compact"/>
              <w:jc w:val="left"/>
            </w:pPr>
            <w:r>
              <w:t xml:space="preserve">PM</w:t>
            </w:r>
          </w:p>
        </w:tc>
        <w:tc>
          <w:tcPr/>
          <w:p>
            <w:pPr>
              <w:pStyle w:val="Compact"/>
              <w:jc w:val="left"/>
            </w:pPr>
            <w:r>
              <w:t xml:space="preserve">ITL</w:t>
            </w:r>
          </w:p>
        </w:tc>
        <w:tc>
          <w:tcPr/>
          <w:p>
            <w:pPr>
              <w:pStyle w:val="Compact"/>
              <w:jc w:val="left"/>
            </w:pPr>
            <w:r>
              <w:t xml:space="preserve">SUP, EU</w:t>
            </w:r>
          </w:p>
        </w:tc>
      </w:tr>
    </w:tbl>
    <w:p>
      <w:pPr>
        <w:pStyle w:val="BodyText"/>
      </w:pPr>
      <w:r>
        <w:rPr>
          <w:bCs/>
          <w:b/>
          <w:color w:val="1F4B45"/>
          <w:sz w:val="34"/>
        </w:rPr>
        <w:t xml:space="preserve">7. What to Track — By Cadence</w:t>
      </w:r>
    </w:p>
    <w:p>
      <w:pPr>
        <w:pStyle w:val="BodyText"/>
      </w:pPr>
      <w:r>
        <w:t xml:space="preserve">Tracking cadence matters as much as tracking content: some signals are meaningful daily, others only mean something over weeks. The four tables below set the cadence; the escalation table that follows sets the thresholds that turn a tracked signal into an action.</w:t>
      </w:r>
    </w:p>
    <w:p>
      <w:pPr>
        <w:pStyle w:val="BodyText"/>
      </w:pPr>
      <w:r>
        <w:rPr>
          <w:bCs/>
          <w:b/>
          <w:color w:val="275650"/>
          <w:sz w:val="27"/>
        </w:rPr>
        <w:t xml:space="preserve">7.1 Daily</w:t>
      </w:r>
    </w:p>
    <w:tbl>
      <w:tblPr>
        <w:tblStyle w:val="Table"/>
        <w:tblW w:type="pct" w:w="4915"/>
        <w:tblLook w:firstRow="1" w:lastRow="0" w:firstColumn="0" w:lastColumn="0" w:noHBand="0" w:noVBand="0" w:val="0020"/>
        <w:jc w:val="start"/>
      </w:tblPr>
      <w:tblGrid>
        <w:gridCol w:w="4061"/>
        <w:gridCol w:w="1353"/>
        <w:gridCol w:w="812"/>
        <w:gridCol w:w="1556"/>
      </w:tblGrid>
      <w:tr>
        <w:trPr>
          <w:tblHeader w:val="true"/>
        </w:trPr>
        <w:tc>
          <w:tcPr>
            <w:shd w:val="clear" w:fill="1F4B45"/>
          </w:tcPr>
          <w:p>
            <w:pPr>
              <w:pStyle w:val="Compact"/>
              <w:jc w:val="left"/>
            </w:pPr>
            <w:r>
              <w:rPr>
                <w:bCs/>
                <w:b/>
                <w:color w:val="FFFFFF"/>
              </w:rPr>
              <w:t xml:space="preserve">What to Track</w:t>
            </w:r>
          </w:p>
        </w:tc>
        <w:tc>
          <w:tcPr>
            <w:shd w:val="clear" w:fill="1F4B45"/>
          </w:tcPr>
          <w:p>
            <w:pPr>
              <w:pStyle w:val="Compact"/>
              <w:jc w:val="left"/>
            </w:pPr>
            <w:r>
              <w:rPr>
                <w:bCs/>
                <w:b/>
                <w:color w:val="FFFFFF"/>
              </w:rPr>
              <w:t xml:space="preserve">Where</w:t>
            </w:r>
          </w:p>
        </w:tc>
        <w:tc>
          <w:tcPr>
            <w:shd w:val="clear" w:fill="1F4B45"/>
          </w:tcPr>
          <w:p>
            <w:pPr>
              <w:pStyle w:val="Compact"/>
              <w:jc w:val="left"/>
            </w:pPr>
            <w:r>
              <w:rPr>
                <w:bCs/>
                <w:b/>
                <w:color w:val="FFFFFF"/>
              </w:rPr>
              <w:t xml:space="preserve">Owner</w:t>
            </w:r>
          </w:p>
        </w:tc>
        <w:tc>
          <w:tcPr>
            <w:shd w:val="clear" w:fill="1F4B45"/>
          </w:tcPr>
          <w:p>
            <w:pPr>
              <w:pStyle w:val="Compact"/>
              <w:jc w:val="left"/>
            </w:pPr>
            <w:r>
              <w:rPr>
                <w:bCs/>
                <w:b/>
                <w:color w:val="FFFFFF"/>
              </w:rPr>
              <w:t xml:space="preserve">Applies During</w:t>
            </w:r>
          </w:p>
        </w:tc>
      </w:tr>
      <w:tr>
        <w:tc>
          <w:tcPr/>
          <w:p>
            <w:pPr>
              <w:pStyle w:val="Compact"/>
              <w:jc w:val="left"/>
            </w:pPr>
            <w:r>
              <w:t xml:space="preserve">Old-process vs. new-process transaction / login volume</w:t>
            </w:r>
          </w:p>
        </w:tc>
        <w:tc>
          <w:tcPr/>
          <w:p>
            <w:pPr>
              <w:pStyle w:val="Compact"/>
              <w:jc w:val="left"/>
            </w:pPr>
            <w:r>
              <w:t xml:space="preserve">System dashboards</w:t>
            </w:r>
          </w:p>
        </w:tc>
        <w:tc>
          <w:tcPr/>
          <w:p>
            <w:pPr>
              <w:pStyle w:val="Compact"/>
              <w:jc w:val="left"/>
            </w:pPr>
            <w:r>
              <w:t xml:space="preserve">ITL</w:t>
            </w:r>
          </w:p>
        </w:tc>
        <w:tc>
          <w:tcPr/>
          <w:p>
            <w:pPr>
              <w:pStyle w:val="Compact"/>
              <w:jc w:val="left"/>
            </w:pPr>
            <w:r>
              <w:t xml:space="preserve">Phases 3, 6, 7</w:t>
            </w:r>
          </w:p>
        </w:tc>
      </w:tr>
      <w:tr>
        <w:tc>
          <w:tcPr/>
          <w:p>
            <w:pPr>
              <w:pStyle w:val="Compact"/>
              <w:jc w:val="left"/>
            </w:pPr>
            <w:r>
              <w:t xml:space="preserve">Help-desk ticket volume and</w:t>
            </w:r>
            <w:r>
              <w:t xml:space="preserve"> </w:t>
            </w:r>
            <w:r>
              <w:t xml:space="preserve">“</w:t>
            </w:r>
            <w:r>
              <w:t xml:space="preserve">how do I…</w:t>
            </w:r>
            <w:r>
              <w:t xml:space="preserve">”</w:t>
            </w:r>
            <w:r>
              <w:t xml:space="preserve"> </w:t>
            </w:r>
            <w:r>
              <w:t xml:space="preserve">question themes</w:t>
            </w:r>
          </w:p>
        </w:tc>
        <w:tc>
          <w:tcPr/>
          <w:p>
            <w:pPr>
              <w:pStyle w:val="Compact"/>
              <w:jc w:val="left"/>
            </w:pPr>
            <w:r>
              <w:t xml:space="preserve">Support desk log</w:t>
            </w:r>
          </w:p>
        </w:tc>
        <w:tc>
          <w:tcPr/>
          <w:p>
            <w:pPr>
              <w:pStyle w:val="Compact"/>
              <w:jc w:val="left"/>
            </w:pPr>
            <w:r>
              <w:t xml:space="preserve">ITL, CM</w:t>
            </w:r>
          </w:p>
        </w:tc>
        <w:tc>
          <w:tcPr/>
          <w:p>
            <w:pPr>
              <w:pStyle w:val="Compact"/>
              <w:jc w:val="left"/>
            </w:pPr>
            <w:r>
              <w:t xml:space="preserve">Phases 6, 7</w:t>
            </w:r>
          </w:p>
        </w:tc>
      </w:tr>
      <w:tr>
        <w:tc>
          <w:tcPr/>
          <w:p>
            <w:pPr>
              <w:pStyle w:val="Compact"/>
              <w:jc w:val="left"/>
            </w:pPr>
            <w:r>
              <w:t xml:space="preserve">Incident / defect log tied to adoption dips</w:t>
            </w:r>
          </w:p>
        </w:tc>
        <w:tc>
          <w:tcPr/>
          <w:p>
            <w:pPr>
              <w:pStyle w:val="Compact"/>
              <w:jc w:val="left"/>
            </w:pPr>
            <w:r>
              <w:t xml:space="preserve">Defect tracker</w:t>
            </w:r>
          </w:p>
        </w:tc>
        <w:tc>
          <w:tcPr/>
          <w:p>
            <w:pPr>
              <w:pStyle w:val="Compact"/>
              <w:jc w:val="left"/>
            </w:pPr>
            <w:r>
              <w:t xml:space="preserve">ITL</w:t>
            </w:r>
          </w:p>
        </w:tc>
        <w:tc>
          <w:tcPr/>
          <w:p>
            <w:pPr>
              <w:pStyle w:val="Compact"/>
              <w:jc w:val="left"/>
            </w:pPr>
            <w:r>
              <w:t xml:space="preserve">Phase 7</w:t>
            </w:r>
          </w:p>
        </w:tc>
      </w:tr>
    </w:tbl>
    <w:p>
      <w:pPr>
        <w:pStyle w:val="BodyText"/>
      </w:pPr>
      <w:r>
        <w:rPr>
          <w:bCs/>
          <w:b/>
          <w:color w:val="275650"/>
          <w:sz w:val="27"/>
        </w:rPr>
        <w:t xml:space="preserve">7.2 Weekly</w:t>
      </w:r>
    </w:p>
    <w:tbl>
      <w:tblPr>
        <w:tblStyle w:val="Table"/>
        <w:tblW w:type="pct" w:w="4924"/>
        <w:tblLook w:firstRow="1" w:lastRow="0" w:firstColumn="0" w:lastColumn="0" w:noHBand="0" w:noVBand="0" w:val="0020"/>
        <w:jc w:val="start"/>
      </w:tblPr>
      <w:tblGrid>
        <w:gridCol w:w="3240"/>
        <w:gridCol w:w="1920"/>
        <w:gridCol w:w="1260"/>
        <w:gridCol w:w="1380"/>
      </w:tblGrid>
      <w:tr>
        <w:trPr>
          <w:tblHeader w:val="true"/>
        </w:trPr>
        <w:tc>
          <w:tcPr>
            <w:shd w:val="clear" w:fill="1F4B45"/>
          </w:tcPr>
          <w:p>
            <w:pPr>
              <w:pStyle w:val="Compact"/>
              <w:jc w:val="left"/>
            </w:pPr>
            <w:r>
              <w:rPr>
                <w:bCs/>
                <w:b/>
                <w:color w:val="FFFFFF"/>
              </w:rPr>
              <w:t xml:space="preserve">What to Track</w:t>
            </w:r>
          </w:p>
        </w:tc>
        <w:tc>
          <w:tcPr>
            <w:shd w:val="clear" w:fill="1F4B45"/>
          </w:tcPr>
          <w:p>
            <w:pPr>
              <w:pStyle w:val="Compact"/>
              <w:jc w:val="left"/>
            </w:pPr>
            <w:r>
              <w:rPr>
                <w:bCs/>
                <w:b/>
                <w:color w:val="FFFFFF"/>
              </w:rPr>
              <w:t xml:space="preserve">Where</w:t>
            </w:r>
          </w:p>
        </w:tc>
        <w:tc>
          <w:tcPr>
            <w:shd w:val="clear" w:fill="1F4B45"/>
          </w:tcPr>
          <w:p>
            <w:pPr>
              <w:pStyle w:val="Compact"/>
              <w:jc w:val="left"/>
            </w:pPr>
            <w:r>
              <w:rPr>
                <w:bCs/>
                <w:b/>
                <w:color w:val="FFFFFF"/>
              </w:rPr>
              <w:t xml:space="preserve">Owner</w:t>
            </w:r>
          </w:p>
        </w:tc>
        <w:tc>
          <w:tcPr>
            <w:shd w:val="clear" w:fill="1F4B45"/>
          </w:tcPr>
          <w:p>
            <w:pPr>
              <w:pStyle w:val="Compact"/>
              <w:jc w:val="left"/>
            </w:pPr>
            <w:r>
              <w:rPr>
                <w:bCs/>
                <w:b/>
                <w:color w:val="FFFFFF"/>
              </w:rPr>
              <w:t xml:space="preserve">Applies During</w:t>
            </w:r>
          </w:p>
        </w:tc>
      </w:tr>
      <w:tr>
        <w:tc>
          <w:tcPr/>
          <w:p>
            <w:pPr>
              <w:pStyle w:val="Compact"/>
              <w:jc w:val="left"/>
            </w:pPr>
            <w:r>
              <w:t xml:space="preserve">Barrier-reason notes for any ADKAR block scored ≤ 2</w:t>
            </w:r>
          </w:p>
        </w:tc>
        <w:tc>
          <w:tcPr/>
          <w:p>
            <w:pPr>
              <w:pStyle w:val="Compact"/>
              <w:jc w:val="left"/>
            </w:pPr>
            <w:r>
              <w:t xml:space="preserve">M5 CM</w:t>
            </w:r>
          </w:p>
        </w:tc>
        <w:tc>
          <w:tcPr/>
          <w:p>
            <w:pPr>
              <w:pStyle w:val="Compact"/>
              <w:jc w:val="left"/>
            </w:pPr>
            <w:r>
              <w:t xml:space="preserve">All ph</w:t>
            </w:r>
          </w:p>
        </w:tc>
        <w:tc>
          <w:tcPr/>
          <w:p>
            <w:pPr>
              <w:pStyle w:val="Compact"/>
              <w:jc w:val="left"/>
            </w:pPr>
            <w:r>
              <w:t xml:space="preserve">ases</w:t>
            </w:r>
          </w:p>
        </w:tc>
      </w:tr>
      <w:tr>
        <w:tc>
          <w:tcPr/>
          <w:p>
            <w:pPr>
              <w:pStyle w:val="Compact"/>
              <w:jc w:val="left"/>
            </w:pPr>
            <w:r>
              <w:t xml:space="preserve">Champion network feedback themes</w:t>
            </w:r>
          </w:p>
        </w:tc>
        <w:tc>
          <w:tcPr/>
          <w:p>
            <w:pPr>
              <w:pStyle w:val="Compact"/>
              <w:jc w:val="left"/>
            </w:pPr>
            <w:r>
              <w:t xml:space="preserve">CM standup notes</w:t>
            </w:r>
          </w:p>
        </w:tc>
        <w:tc>
          <w:tcPr/>
          <w:p>
            <w:pPr>
              <w:pStyle w:val="Compact"/>
              <w:jc w:val="left"/>
            </w:pPr>
            <w:r>
              <w:t xml:space="preserve">CM</w:t>
            </w:r>
          </w:p>
        </w:tc>
        <w:tc>
          <w:tcPr/>
          <w:p>
            <w:pPr>
              <w:pStyle w:val="Compact"/>
              <w:jc w:val="left"/>
            </w:pPr>
            <w:r>
              <w:t xml:space="preserve">Phases 2–7</w:t>
            </w:r>
          </w:p>
        </w:tc>
      </w:tr>
      <w:tr>
        <w:tc>
          <w:tcPr/>
          <w:p>
            <w:pPr>
              <w:pStyle w:val="Compact"/>
              <w:jc w:val="left"/>
            </w:pPr>
            <w:r>
              <w:t xml:space="preserve">Training completion percentage</w:t>
            </w:r>
          </w:p>
        </w:tc>
        <w:tc>
          <w:tcPr/>
          <w:p>
            <w:pPr>
              <w:pStyle w:val="Compact"/>
              <w:jc w:val="left"/>
            </w:pPr>
            <w:r>
              <w:t xml:space="preserve">M5 (training curricula) CM (tr</w:t>
            </w:r>
          </w:p>
        </w:tc>
        <w:tc>
          <w:tcPr/>
          <w:p>
            <w:pPr>
              <w:pStyle w:val="Compact"/>
              <w:jc w:val="left"/>
            </w:pPr>
            <w:r>
              <w:t xml:space="preserve">aining lead) Phase</w:t>
            </w:r>
          </w:p>
        </w:tc>
        <w:tc>
          <w:tcPr/>
          <w:p>
            <w:pPr>
              <w:pStyle w:val="Compact"/>
              <w:jc w:val="left"/>
            </w:pPr>
            <w:r>
              <w:t xml:space="preserve">5</w:t>
            </w:r>
          </w:p>
        </w:tc>
      </w:tr>
      <w:tr>
        <w:tc>
          <w:tcPr/>
          <w:p>
            <w:pPr>
              <w:pStyle w:val="Compact"/>
              <w:jc w:val="left"/>
            </w:pPr>
            <w:r>
              <w:t xml:space="preserve">Open risk register items tied to framework readings</w:t>
            </w:r>
          </w:p>
        </w:tc>
        <w:tc>
          <w:tcPr/>
          <w:p>
            <w:pPr>
              <w:pStyle w:val="Compact"/>
              <w:jc w:val="left"/>
            </w:pPr>
            <w:r>
              <w:t xml:space="preserve">Risk register</w:t>
            </w:r>
          </w:p>
        </w:tc>
        <w:tc>
          <w:tcPr/>
          <w:p>
            <w:pPr>
              <w:pStyle w:val="Compact"/>
              <w:jc w:val="left"/>
            </w:pPr>
            <w:r>
              <w:t xml:space="preserve">CM, PM</w:t>
            </w:r>
          </w:p>
        </w:tc>
        <w:tc>
          <w:tcPr/>
          <w:p>
            <w:pPr>
              <w:pStyle w:val="Compact"/>
              <w:jc w:val="left"/>
            </w:pPr>
            <w:r>
              <w:t xml:space="preserve">All phases</w:t>
            </w:r>
          </w:p>
        </w:tc>
      </w:tr>
    </w:tbl>
    <w:p>
      <w:pPr>
        <w:pStyle w:val="BodyText"/>
      </w:pPr>
      <w:r>
        <w:rPr>
          <w:bCs/>
          <w:b/>
          <w:color w:val="275650"/>
          <w:sz w:val="27"/>
        </w:rPr>
        <w:t xml:space="preserve">7.3 Bi-Weekly</w:t>
      </w:r>
    </w:p>
    <w:tbl>
      <w:tblPr>
        <w:tblStyle w:val="Table"/>
        <w:tblW w:type="pct" w:w="4925"/>
        <w:tblLook w:firstRow="1" w:lastRow="0" w:firstColumn="0" w:lastColumn="0" w:noHBand="0" w:noVBand="0" w:val="0020"/>
        <w:jc w:val="start"/>
      </w:tblPr>
      <w:tblGrid>
        <w:gridCol w:w="3751"/>
        <w:gridCol w:w="1071"/>
        <w:gridCol w:w="714"/>
        <w:gridCol w:w="2262"/>
      </w:tblGrid>
      <w:tr>
        <w:trPr>
          <w:tblHeader w:val="true"/>
        </w:trPr>
        <w:tc>
          <w:tcPr>
            <w:shd w:val="clear" w:fill="1F4B45"/>
          </w:tcPr>
          <w:p>
            <w:pPr>
              <w:pStyle w:val="Compact"/>
              <w:jc w:val="left"/>
            </w:pPr>
            <w:r>
              <w:rPr>
                <w:bCs/>
                <w:b/>
                <w:color w:val="FFFFFF"/>
              </w:rPr>
              <w:t xml:space="preserve">What to Track</w:t>
            </w:r>
          </w:p>
        </w:tc>
        <w:tc>
          <w:tcPr>
            <w:shd w:val="clear" w:fill="1F4B45"/>
          </w:tcPr>
          <w:p>
            <w:pPr>
              <w:pStyle w:val="Compact"/>
              <w:jc w:val="left"/>
            </w:pPr>
            <w:r>
              <w:rPr>
                <w:bCs/>
                <w:b/>
                <w:color w:val="FFFFFF"/>
              </w:rPr>
              <w:t xml:space="preserve">Where</w:t>
            </w:r>
          </w:p>
        </w:tc>
        <w:tc>
          <w:tcPr>
            <w:shd w:val="clear" w:fill="1F4B45"/>
          </w:tcPr>
          <w:p>
            <w:pPr>
              <w:pStyle w:val="Compact"/>
              <w:jc w:val="left"/>
            </w:pPr>
            <w:r>
              <w:rPr>
                <w:bCs/>
                <w:b/>
                <w:color w:val="FFFFFF"/>
              </w:rPr>
              <w:t xml:space="preserve">Owner</w:t>
            </w:r>
          </w:p>
        </w:tc>
        <w:tc>
          <w:tcPr>
            <w:shd w:val="clear" w:fill="1F4B45"/>
          </w:tcPr>
          <w:p>
            <w:pPr>
              <w:pStyle w:val="Compact"/>
              <w:jc w:val="left"/>
            </w:pPr>
            <w:r>
              <w:rPr>
                <w:bCs/>
                <w:b/>
                <w:color w:val="FFFFFF"/>
              </w:rPr>
              <w:t xml:space="preserve">Applies During</w:t>
            </w:r>
          </w:p>
        </w:tc>
      </w:tr>
      <w:tr>
        <w:tc>
          <w:tcPr/>
          <w:p>
            <w:pPr>
              <w:pStyle w:val="Compact"/>
              <w:jc w:val="left"/>
            </w:pPr>
            <w:r>
              <w:t xml:space="preserve">Kübler-Ross / Bridges re-pulse</w:t>
            </w:r>
          </w:p>
        </w:tc>
        <w:tc>
          <w:tcPr/>
          <w:p>
            <w:pPr>
              <w:pStyle w:val="Compact"/>
              <w:jc w:val="left"/>
            </w:pPr>
            <w:r>
              <w:t xml:space="preserve">M6 CM</w:t>
            </w:r>
          </w:p>
        </w:tc>
        <w:tc>
          <w:tcPr/>
          <w:p>
            <w:pPr>
              <w:pStyle w:val="Compact"/>
              <w:jc w:val="left"/>
            </w:pPr>
            <w:r>
              <w:t xml:space="preserve">Phase</w:t>
            </w:r>
          </w:p>
        </w:tc>
        <w:tc>
          <w:tcPr/>
          <w:p>
            <w:pPr>
              <w:pStyle w:val="Compact"/>
              <w:jc w:val="left"/>
            </w:pPr>
            <w:r>
              <w:t xml:space="preserve">7 (weeks 2 &amp; 4 post go-live)</w:t>
            </w:r>
          </w:p>
        </w:tc>
      </w:tr>
      <w:tr>
        <w:tc>
          <w:tcPr/>
          <w:p>
            <w:pPr>
              <w:pStyle w:val="Compact"/>
              <w:jc w:val="left"/>
            </w:pPr>
            <w:r>
              <w:t xml:space="preserve">Divergence Pattern Detector review</w:t>
            </w:r>
          </w:p>
        </w:tc>
        <w:tc>
          <w:tcPr/>
          <w:p>
            <w:pPr>
              <w:pStyle w:val="Compact"/>
              <w:jc w:val="left"/>
            </w:pPr>
            <w:r>
              <w:t xml:space="preserve">M6 alerts CM</w:t>
            </w:r>
          </w:p>
        </w:tc>
        <w:tc>
          <w:tcPr/>
          <w:p>
            <w:pPr>
              <w:pStyle w:val="Compact"/>
              <w:jc w:val="left"/>
            </w:pPr>
            <w:r>
              <w:t xml:space="preserve">Phases</w:t>
            </w:r>
          </w:p>
        </w:tc>
        <w:tc>
          <w:tcPr/>
          <w:p>
            <w:pPr>
              <w:pStyle w:val="Compact"/>
              <w:jc w:val="left"/>
            </w:pPr>
            <w:r>
              <w:t xml:space="preserve">4–7</w:t>
            </w:r>
          </w:p>
        </w:tc>
      </w:tr>
      <w:tr>
        <w:tc>
          <w:tcPr/>
          <w:p>
            <w:pPr>
              <w:pStyle w:val="Compact"/>
              <w:jc w:val="left"/>
            </w:pPr>
            <w:r>
              <w:t xml:space="preserve">Cohort-level disaggregation of the Composite Readiness Index</w:t>
            </w:r>
          </w:p>
        </w:tc>
        <w:tc>
          <w:tcPr/>
          <w:p>
            <w:pPr>
              <w:pStyle w:val="Compact"/>
              <w:jc w:val="left"/>
            </w:pPr>
            <w:r>
              <w:t xml:space="preserve">M4 + M5–M6 CM</w:t>
            </w:r>
          </w:p>
        </w:tc>
        <w:tc>
          <w:tcPr/>
          <w:p>
            <w:pPr>
              <w:pStyle w:val="Compact"/>
              <w:jc w:val="left"/>
            </w:pPr>
            <w:r>
              <w:t xml:space="preserve">Phas</w:t>
            </w:r>
          </w:p>
        </w:tc>
        <w:tc>
          <w:tcPr/>
          <w:p>
            <w:pPr>
              <w:pStyle w:val="Compact"/>
              <w:jc w:val="left"/>
            </w:pPr>
            <w:r>
              <w:t xml:space="preserve">es 4–7 (before every go/no-go)</w:t>
            </w:r>
          </w:p>
        </w:tc>
      </w:tr>
    </w:tbl>
    <w:p>
      <w:pPr>
        <w:pStyle w:val="BodyText"/>
      </w:pPr>
      <w:r>
        <w:rPr>
          <w:bCs/>
          <w:b/>
          <w:color w:val="275650"/>
          <w:sz w:val="27"/>
        </w:rPr>
        <w:t xml:space="preserve">7.4 Monthly</w:t>
      </w:r>
    </w:p>
    <w:tbl>
      <w:tblPr>
        <w:tblStyle w:val="Table"/>
        <w:tblW w:type="pct" w:w="4907"/>
        <w:tblLook w:firstRow="1" w:lastRow="0" w:firstColumn="0" w:lastColumn="0" w:noHBand="0" w:noVBand="0" w:val="0020"/>
        <w:jc w:val="start"/>
      </w:tblPr>
      <w:tblGrid>
        <w:gridCol w:w="3886"/>
        <w:gridCol w:w="1320"/>
        <w:gridCol w:w="880"/>
        <w:gridCol w:w="1686"/>
      </w:tblGrid>
      <w:tr>
        <w:trPr>
          <w:tblHeader w:val="true"/>
        </w:trPr>
        <w:tc>
          <w:tcPr>
            <w:shd w:val="clear" w:fill="1F4B45"/>
          </w:tcPr>
          <w:p>
            <w:pPr>
              <w:pStyle w:val="Compact"/>
              <w:jc w:val="left"/>
            </w:pPr>
            <w:r>
              <w:rPr>
                <w:bCs/>
                <w:b/>
                <w:color w:val="FFFFFF"/>
              </w:rPr>
              <w:t xml:space="preserve">What to Track</w:t>
            </w:r>
          </w:p>
        </w:tc>
        <w:tc>
          <w:tcPr>
            <w:shd w:val="clear" w:fill="1F4B45"/>
          </w:tcPr>
          <w:p>
            <w:pPr>
              <w:pStyle w:val="Compact"/>
              <w:jc w:val="left"/>
            </w:pPr>
            <w:r>
              <w:rPr>
                <w:bCs/>
                <w:b/>
                <w:color w:val="FFFFFF"/>
              </w:rPr>
              <w:t xml:space="preserve">Where</w:t>
            </w:r>
          </w:p>
        </w:tc>
        <w:tc>
          <w:tcPr>
            <w:shd w:val="clear" w:fill="1F4B45"/>
          </w:tcPr>
          <w:p>
            <w:pPr>
              <w:pStyle w:val="Compact"/>
              <w:jc w:val="left"/>
            </w:pPr>
            <w:r>
              <w:rPr>
                <w:bCs/>
                <w:b/>
                <w:color w:val="FFFFFF"/>
              </w:rPr>
              <w:t xml:space="preserve">Owner</w:t>
            </w:r>
          </w:p>
        </w:tc>
        <w:tc>
          <w:tcPr>
            <w:shd w:val="clear" w:fill="1F4B45"/>
          </w:tcPr>
          <w:p>
            <w:pPr>
              <w:pStyle w:val="Compact"/>
              <w:jc w:val="left"/>
            </w:pPr>
            <w:r>
              <w:rPr>
                <w:bCs/>
                <w:b/>
                <w:color w:val="FFFFFF"/>
              </w:rPr>
              <w:t xml:space="preserve">Applies During</w:t>
            </w:r>
          </w:p>
        </w:tc>
      </w:tr>
      <w:tr>
        <w:tc>
          <w:tcPr/>
          <w:p>
            <w:pPr>
              <w:pStyle w:val="Compact"/>
              <w:jc w:val="left"/>
            </w:pPr>
            <w:r>
              <w:t xml:space="preserve">Composite Readiness Index trend line</w:t>
            </w:r>
          </w:p>
        </w:tc>
        <w:tc>
          <w:tcPr/>
          <w:p>
            <w:pPr>
              <w:pStyle w:val="Compact"/>
              <w:jc w:val="left"/>
            </w:pPr>
            <w:r>
              <w:t xml:space="preserve">M5–M6 CM</w:t>
            </w:r>
          </w:p>
        </w:tc>
        <w:tc>
          <w:tcPr/>
          <w:p>
            <w:pPr>
              <w:pStyle w:val="Compact"/>
              <w:jc w:val="left"/>
            </w:pPr>
            <w:r>
              <w:t xml:space="preserve">All p</w:t>
            </w:r>
          </w:p>
        </w:tc>
        <w:tc>
          <w:tcPr/>
          <w:p>
            <w:pPr>
              <w:pStyle w:val="Compact"/>
              <w:jc w:val="left"/>
            </w:pPr>
            <w:r>
              <w:t xml:space="preserve">hases</w:t>
            </w:r>
          </w:p>
        </w:tc>
      </w:tr>
      <w:tr>
        <w:tc>
          <w:tcPr/>
          <w:p>
            <w:pPr>
              <w:pStyle w:val="Compact"/>
              <w:jc w:val="left"/>
            </w:pPr>
            <w:r>
              <w:t xml:space="preserve">Lewin phase justification (evidence, not calendar)</w:t>
            </w:r>
          </w:p>
        </w:tc>
        <w:tc>
          <w:tcPr/>
          <w:p>
            <w:pPr>
              <w:pStyle w:val="Compact"/>
              <w:jc w:val="left"/>
            </w:pPr>
            <w:r>
              <w:t xml:space="preserve">M3 CM, ES</w:t>
            </w:r>
          </w:p>
        </w:tc>
        <w:tc>
          <w:tcPr/>
          <w:p>
            <w:pPr>
              <w:pStyle w:val="Compact"/>
              <w:jc w:val="left"/>
            </w:pPr>
            <w:r>
              <w:t xml:space="preserve">All ph</w:t>
            </w:r>
          </w:p>
        </w:tc>
        <w:tc>
          <w:tcPr/>
          <w:p>
            <w:pPr>
              <w:pStyle w:val="Compact"/>
              <w:jc w:val="left"/>
            </w:pPr>
            <w:r>
              <w:t xml:space="preserve">ases</w:t>
            </w:r>
          </w:p>
        </w:tc>
      </w:tr>
      <w:tr>
        <w:tc>
          <w:tcPr/>
          <w:p>
            <w:pPr>
              <w:pStyle w:val="Compact"/>
              <w:jc w:val="left"/>
            </w:pPr>
            <w:r>
              <w:t xml:space="preserve">Steering Committee readout on framework readings</w:t>
            </w:r>
          </w:p>
        </w:tc>
        <w:tc>
          <w:tcPr/>
          <w:p>
            <w:pPr>
              <w:pStyle w:val="Compact"/>
              <w:jc w:val="left"/>
            </w:pPr>
            <w:r>
              <w:t xml:space="preserve">Governance pack</w:t>
            </w:r>
          </w:p>
        </w:tc>
        <w:tc>
          <w:tcPr/>
          <w:p>
            <w:pPr>
              <w:pStyle w:val="Compact"/>
              <w:jc w:val="left"/>
            </w:pPr>
            <w:r>
              <w:t xml:space="preserve">CM</w:t>
            </w:r>
          </w:p>
        </w:tc>
        <w:tc>
          <w:tcPr/>
          <w:p>
            <w:pPr>
              <w:pStyle w:val="Compact"/>
              <w:jc w:val="left"/>
            </w:pPr>
            <w:r>
              <w:t xml:space="preserve">All phases</w:t>
            </w:r>
          </w:p>
        </w:tc>
      </w:tr>
      <w:tr>
        <w:tc>
          <w:tcPr/>
          <w:p>
            <w:pPr>
              <w:pStyle w:val="Compact"/>
              <w:jc w:val="left"/>
            </w:pPr>
            <w:r>
              <w:t xml:space="preserve">Reinforcement score trend as go-live recedes</w:t>
            </w:r>
          </w:p>
        </w:tc>
        <w:tc>
          <w:tcPr/>
          <w:p>
            <w:pPr>
              <w:pStyle w:val="Compact"/>
              <w:jc w:val="left"/>
            </w:pPr>
            <w:r>
              <w:t xml:space="preserve">M5 CM</w:t>
            </w:r>
          </w:p>
        </w:tc>
        <w:tc>
          <w:tcPr/>
          <w:p>
            <w:pPr>
              <w:pStyle w:val="Compact"/>
              <w:jc w:val="left"/>
            </w:pPr>
            <w:r>
              <w:t xml:space="preserve">Phases</w:t>
            </w:r>
          </w:p>
        </w:tc>
        <w:tc>
          <w:tcPr/>
          <w:p>
            <w:pPr>
              <w:pStyle w:val="Compact"/>
              <w:jc w:val="left"/>
            </w:pPr>
            <w:r>
              <w:t xml:space="preserve">7–8</w:t>
            </w:r>
          </w:p>
        </w:tc>
      </w:tr>
    </w:tbl>
    <w:p>
      <w:pPr>
        <w:pStyle w:val="BodyText"/>
      </w:pPr>
      <w:r>
        <w:rPr>
          <w:bCs/>
          <w:b/>
          <w:color w:val="275650"/>
          <w:sz w:val="27"/>
        </w:rPr>
        <w:t xml:space="preserve">7.5 Escalation Thresholds</w:t>
      </w:r>
    </w:p>
    <w:p>
      <w:pPr>
        <w:pStyle w:val="BodyText"/>
      </w:pPr>
      <w:r>
        <w:t xml:space="preserve">The table below is the bridge between</w:t>
      </w:r>
      <w:r>
        <w:t xml:space="preserve"> </w:t>
      </w:r>
      <w:r>
        <w:t xml:space="preserve">“</w:t>
      </w:r>
      <w:r>
        <w:t xml:space="preserve">what you're tracking</w:t>
      </w:r>
      <w:r>
        <w:t xml:space="preserve">”</w:t>
      </w:r>
      <w:r>
        <w:t xml:space="preserve"> </w:t>
      </w:r>
      <w:r>
        <w:t xml:space="preserve">and</w:t>
      </w:r>
      <w:r>
        <w:t xml:space="preserve"> </w:t>
      </w:r>
      <w:r>
        <w:t xml:space="preserve">“</w:t>
      </w:r>
      <w:r>
        <w:t xml:space="preserve">what you do about it.</w:t>
      </w:r>
      <w:r>
        <w:t xml:space="preserve">”</w:t>
      </w:r>
      <w:r>
        <w:t xml:space="preserve"> </w:t>
      </w:r>
      <w:r>
        <w:t xml:space="preserve">Each row links a signal to a threshold, a required action, and the exception in Section 9 that gives the full recovery playbook.</w:t>
      </w:r>
    </w:p>
    <w:tbl>
      <w:tblPr>
        <w:tblStyle w:val="Table"/>
        <w:tblW w:type="pct" w:w="4952"/>
        <w:tblLook w:firstRow="1" w:lastRow="0" w:firstColumn="0" w:lastColumn="0" w:noHBand="0" w:noVBand="0" w:val="0020"/>
        <w:jc w:val="start"/>
      </w:tblPr>
      <w:tblGrid>
        <w:gridCol w:w="2448"/>
        <w:gridCol w:w="2180"/>
        <w:gridCol w:w="2333"/>
        <w:gridCol w:w="880"/>
      </w:tblGrid>
      <w:tr>
        <w:trPr>
          <w:tblHeader w:val="true"/>
        </w:trPr>
        <w:tc>
          <w:tcPr>
            <w:shd w:val="clear" w:fill="1F4B45"/>
          </w:tcPr>
          <w:p>
            <w:pPr>
              <w:pStyle w:val="Compact"/>
              <w:jc w:val="left"/>
            </w:pPr>
            <w:r>
              <w:rPr>
                <w:bCs/>
                <w:b/>
                <w:color w:val="FFFFFF"/>
              </w:rPr>
              <w:t xml:space="preserve">Signal Observed</w:t>
            </w:r>
          </w:p>
        </w:tc>
        <w:tc>
          <w:tcPr>
            <w:shd w:val="clear" w:fill="1F4B45"/>
          </w:tcPr>
          <w:p>
            <w:pPr>
              <w:pStyle w:val="Compact"/>
              <w:jc w:val="left"/>
            </w:pPr>
            <w:r>
              <w:rPr>
                <w:bCs/>
                <w:b/>
                <w:color w:val="FFFFFF"/>
              </w:rPr>
              <w:t xml:space="preserve">Threshold</w:t>
            </w:r>
          </w:p>
        </w:tc>
        <w:tc>
          <w:tcPr>
            <w:shd w:val="clear" w:fill="1F4B45"/>
          </w:tcPr>
          <w:p>
            <w:pPr>
              <w:pStyle w:val="Compact"/>
              <w:jc w:val="left"/>
            </w:pPr>
            <w:r>
              <w:rPr>
                <w:bCs/>
                <w:b/>
                <w:color w:val="FFFFFF"/>
              </w:rPr>
              <w:t xml:space="preserve">Action Required</w:t>
            </w:r>
          </w:p>
        </w:tc>
        <w:tc>
          <w:tcPr>
            <w:shd w:val="clear" w:fill="1F4B45"/>
          </w:tcPr>
          <w:p>
            <w:pPr>
              <w:pStyle w:val="Compact"/>
              <w:jc w:val="left"/>
            </w:pPr>
            <w:r>
              <w:rPr>
                <w:bCs/>
                <w:b/>
                <w:color w:val="FFFFFF"/>
              </w:rPr>
              <w:t xml:space="preserve">Linked Exception</w:t>
            </w:r>
          </w:p>
        </w:tc>
      </w:tr>
      <w:tr>
        <w:tc>
          <w:tcPr/>
          <w:p>
            <w:pPr>
              <w:pStyle w:val="Compact"/>
              <w:jc w:val="left"/>
            </w:pPr>
            <w:r>
              <w:t xml:space="preserve">Passive-compliance language, low session turnout, no WIIFM</w:t>
            </w:r>
          </w:p>
        </w:tc>
        <w:tc>
          <w:tcPr/>
          <w:p>
            <w:pPr>
              <w:pStyle w:val="Compact"/>
              <w:jc w:val="left"/>
            </w:pPr>
            <w:r>
              <w:t xml:space="preserve">Desire ≤ 2</w:t>
            </w:r>
          </w:p>
        </w:tc>
        <w:tc>
          <w:tcPr/>
          <w:p>
            <w:pPr>
              <w:pStyle w:val="Compact"/>
              <w:jc w:val="left"/>
            </w:pPr>
            <w:r>
              <w:t xml:space="preserve">Log barrier-reason note; auto-escalates in M5 E1</w:t>
            </w:r>
          </w:p>
        </w:tc>
        <w:tc>
          <w:tcPr/>
          <w:p>
            <w:pPr>
              <w:pStyle w:val="Compact"/>
            </w:pPr>
          </w:p>
        </w:tc>
      </w:tr>
      <w:tr>
        <w:tc>
          <w:tcPr/>
          <w:p>
            <w:pPr>
              <w:pStyle w:val="Compact"/>
              <w:jc w:val="left"/>
            </w:pPr>
            <w:r>
              <w:t xml:space="preserve">Strong Knowledge/Ability scores, no emotional movement</w:t>
            </w:r>
          </w:p>
        </w:tc>
        <w:tc>
          <w:tcPr/>
          <w:p>
            <w:pPr>
              <w:pStyle w:val="Compact"/>
              <w:jc w:val="left"/>
            </w:pPr>
            <w:r>
              <w:t xml:space="preserve">Bridges =</w:t>
            </w:r>
            <w:r>
              <w:t xml:space="preserve"> </w:t>
            </w:r>
            <w:r>
              <w:t xml:space="preserve">“</w:t>
            </w:r>
            <w:r>
              <w:t xml:space="preserve">Ending</w:t>
            </w:r>
            <w:r>
              <w:t xml:space="preserve">”</w:t>
            </w:r>
            <w:r>
              <w:t xml:space="preserve"> </w:t>
            </w:r>
            <w:r>
              <w:t xml:space="preserve">with Knowledge ≥ 3 and Ability ≥ 3</w:t>
            </w:r>
          </w:p>
        </w:tc>
        <w:tc>
          <w:tcPr/>
          <w:p>
            <w:pPr>
              <w:pStyle w:val="Compact"/>
              <w:jc w:val="left"/>
            </w:pPr>
            <w:r>
              <w:t xml:space="preserve">Divergence Pattern fires — hold an identity-focused 1:1</w:t>
            </w:r>
          </w:p>
        </w:tc>
        <w:tc>
          <w:tcPr/>
          <w:p>
            <w:pPr>
              <w:pStyle w:val="Compact"/>
              <w:jc w:val="left"/>
            </w:pPr>
            <w:r>
              <w:t xml:space="preserve">E2</w:t>
            </w:r>
          </w:p>
        </w:tc>
      </w:tr>
      <w:tr>
        <w:tc>
          <w:tcPr/>
          <w:p>
            <w:pPr>
              <w:pStyle w:val="Compact"/>
              <w:jc w:val="left"/>
            </w:pPr>
            <w:r>
              <w:t xml:space="preserve">Lewin phase set from the go-live date rather than evidence</w:t>
            </w:r>
          </w:p>
        </w:tc>
        <w:tc>
          <w:tcPr/>
          <w:p>
            <w:pPr>
              <w:pStyle w:val="Compact"/>
              <w:jc w:val="left"/>
            </w:pPr>
            <w:r>
              <w:t xml:space="preserve">Lewin called same day as technical cutover</w:t>
            </w:r>
          </w:p>
        </w:tc>
        <w:tc>
          <w:tcPr/>
          <w:p>
            <w:pPr>
              <w:pStyle w:val="Compact"/>
              <w:jc w:val="left"/>
            </w:pPr>
            <w:r>
              <w:t xml:space="preserve">Mark Lewin</w:t>
            </w:r>
            <w:r>
              <w:t xml:space="preserve"> </w:t>
            </w:r>
            <w:r>
              <w:t xml:space="preserve">“</w:t>
            </w:r>
            <w:r>
              <w:t xml:space="preserve">provisional</w:t>
            </w:r>
            <w:r>
              <w:t xml:space="preserve">”</w:t>
            </w:r>
            <w:r>
              <w:t xml:space="preserve"> </w:t>
            </w:r>
            <w:r>
              <w:t xml:space="preserve">until re-pulse confirms</w:t>
            </w:r>
          </w:p>
        </w:tc>
        <w:tc>
          <w:tcPr/>
          <w:p>
            <w:pPr>
              <w:pStyle w:val="Compact"/>
              <w:jc w:val="left"/>
            </w:pPr>
            <w:r>
              <w:t xml:space="preserve">E3</w:t>
            </w:r>
          </w:p>
        </w:tc>
      </w:tr>
      <w:tr>
        <w:tc>
          <w:tcPr/>
          <w:p>
            <w:pPr>
              <w:pStyle w:val="Compact"/>
              <w:jc w:val="left"/>
            </w:pPr>
            <w:r>
              <w:t xml:space="preserve">Kübler-Ross or Bridges reading moves backward after a setback</w:t>
            </w:r>
          </w:p>
        </w:tc>
        <w:tc>
          <w:tcPr/>
          <w:p>
            <w:pPr>
              <w:pStyle w:val="Compact"/>
              <w:jc w:val="left"/>
            </w:pPr>
            <w:r>
              <w:t xml:space="preserve">Any regression following an identifiable incident</w:t>
            </w:r>
          </w:p>
        </w:tc>
        <w:tc>
          <w:tcPr/>
          <w:p>
            <w:pPr>
              <w:pStyle w:val="Compact"/>
              <w:jc w:val="left"/>
            </w:pPr>
            <w:r>
              <w:t xml:space="preserve">Confirm incident linkage; targeted, localized coaching</w:t>
            </w:r>
          </w:p>
        </w:tc>
        <w:tc>
          <w:tcPr/>
          <w:p>
            <w:pPr>
              <w:pStyle w:val="Compact"/>
              <w:jc w:val="left"/>
            </w:pPr>
            <w:r>
              <w:t xml:space="preserve">E4</w:t>
            </w:r>
          </w:p>
        </w:tc>
      </w:tr>
      <w:tr>
        <w:tc>
          <w:tcPr/>
          <w:p>
            <w:pPr>
              <w:pStyle w:val="Compact"/>
              <w:jc w:val="left"/>
            </w:pPr>
            <w:r>
              <w:t xml:space="preserve">Reinforcement score plateaus with no forcing deadline</w:t>
            </w:r>
          </w:p>
        </w:tc>
        <w:tc>
          <w:tcPr/>
          <w:p>
            <w:pPr>
              <w:pStyle w:val="Compact"/>
              <w:jc w:val="left"/>
            </w:pPr>
            <w:r>
              <w:t xml:space="preserve">Reinforcement &lt; 3 approaching planned closure</w:t>
            </w:r>
          </w:p>
        </w:tc>
        <w:tc>
          <w:tcPr/>
          <w:p>
            <w:pPr>
              <w:pStyle w:val="Compact"/>
              <w:jc w:val="left"/>
            </w:pPr>
            <w:r>
              <w:t xml:space="preserve">Reconvene Sponsor; delay Refreeze call until evidenced</w:t>
            </w:r>
          </w:p>
        </w:tc>
        <w:tc>
          <w:tcPr/>
          <w:p>
            <w:pPr>
              <w:pStyle w:val="Compact"/>
              <w:jc w:val="left"/>
            </w:pPr>
            <w:r>
              <w:t xml:space="preserve">E5</w:t>
            </w:r>
          </w:p>
        </w:tc>
      </w:tr>
      <w:tr>
        <w:tc>
          <w:tcPr/>
          <w:p>
            <w:pPr>
              <w:pStyle w:val="Compact"/>
              <w:jc w:val="left"/>
            </w:pPr>
            <w:r>
              <w:t xml:space="preserve">A blended score masks real variation between sites/cohorts</w:t>
            </w:r>
          </w:p>
        </w:tc>
        <w:tc>
          <w:tcPr/>
          <w:p>
            <w:pPr>
              <w:pStyle w:val="Compact"/>
              <w:jc w:val="left"/>
            </w:pPr>
            <w:r>
              <w:t xml:space="preserve">Wide spread between best- and worst-performing cohorts</w:t>
            </w:r>
          </w:p>
        </w:tc>
        <w:tc>
          <w:tcPr/>
          <w:p>
            <w:pPr>
              <w:pStyle w:val="Compact"/>
              <w:jc w:val="left"/>
            </w:pPr>
            <w:r>
              <w:t xml:space="preserve">Disaggregate Composite Readiness Index before any go/no-go</w:t>
            </w:r>
          </w:p>
        </w:tc>
        <w:tc>
          <w:tcPr/>
          <w:p>
            <w:pPr>
              <w:pStyle w:val="Compact"/>
              <w:jc w:val="left"/>
            </w:pPr>
            <w:r>
              <w:t xml:space="preserve">E6</w:t>
            </w:r>
          </w:p>
        </w:tc>
      </w:tr>
    </w:tbl>
    <w:p>
      <w:pPr>
        <w:pStyle w:val="BodyText"/>
      </w:pPr>
      <w:r>
        <w:rPr>
          <w:iCs/>
          <w:i/>
        </w:rPr>
        <w:t xml:space="preserve">Table 7.5 — Escalation thresholds and their linked exception playbooks.</w:t>
      </w:r>
    </w:p>
    <w:p>
      <w:pPr>
        <w:pStyle w:val="BodyText"/>
      </w:pPr>
      <w:r>
        <w:rPr>
          <w:bCs/>
          <w:b/>
          <w:color w:val="275650"/>
          <w:sz w:val="27"/>
        </w:rPr>
        <w:t xml:space="preserve">7.6 Weekly Dashboard — What a Healthy Week Looks Like</w:t>
      </w:r>
    </w:p>
    <w:tbl>
      <w:tblPr>
        <w:tblStyle w:val="Table"/>
        <w:tblW w:type="pct" w:w="4932"/>
        <w:tblLook w:firstRow="1" w:lastRow="0" w:firstColumn="0" w:lastColumn="0" w:noHBand="0" w:noVBand="0" w:val="0020"/>
        <w:jc w:val="start"/>
      </w:tblPr>
      <w:tblGrid>
        <w:gridCol w:w="1627"/>
        <w:gridCol w:w="976"/>
        <w:gridCol w:w="5207"/>
      </w:tblGrid>
      <w:tr>
        <w:trPr>
          <w:tblHeader w:val="true"/>
        </w:trPr>
        <w:tc>
          <w:tcPr>
            <w:shd w:val="clear" w:fill="1F4B45"/>
          </w:tcPr>
          <w:p>
            <w:pPr>
              <w:pStyle w:val="Compact"/>
              <w:jc w:val="left"/>
            </w:pPr>
            <w:r>
              <w:rPr>
                <w:bCs/>
                <w:b/>
                <w:color w:val="FFFFFF"/>
              </w:rPr>
              <w:t xml:space="preserve">Metric</w:t>
            </w:r>
          </w:p>
        </w:tc>
        <w:tc>
          <w:tcPr>
            <w:shd w:val="clear" w:fill="1F4B45"/>
          </w:tcPr>
          <w:p>
            <w:pPr>
              <w:pStyle w:val="Compact"/>
              <w:jc w:val="left"/>
            </w:pPr>
            <w:r>
              <w:rPr>
                <w:bCs/>
                <w:b/>
                <w:color w:val="FFFFFF"/>
              </w:rPr>
              <w:t xml:space="preserve">Reviewed By</w:t>
            </w:r>
          </w:p>
        </w:tc>
        <w:tc>
          <w:tcPr>
            <w:shd w:val="clear" w:fill="1F4B45"/>
          </w:tcPr>
          <w:p>
            <w:pPr>
              <w:pStyle w:val="Compact"/>
              <w:jc w:val="left"/>
            </w:pPr>
            <w:r>
              <w:rPr>
                <w:bCs/>
                <w:b/>
                <w:color w:val="FFFFFF"/>
              </w:rPr>
              <w:t xml:space="preserve">Healthy Signal</w:t>
            </w:r>
          </w:p>
        </w:tc>
      </w:tr>
      <w:tr>
        <w:tc>
          <w:tcPr/>
          <w:p>
            <w:pPr>
              <w:pStyle w:val="Compact"/>
              <w:jc w:val="left"/>
            </w:pPr>
            <w:r>
              <w:t xml:space="preserve">Composite Readiness Index</w:t>
            </w:r>
          </w:p>
        </w:tc>
        <w:tc>
          <w:tcPr/>
          <w:p>
            <w:pPr>
              <w:pStyle w:val="Compact"/>
              <w:jc w:val="left"/>
            </w:pPr>
            <w:r>
              <w:t xml:space="preserve">CM</w:t>
            </w:r>
          </w:p>
        </w:tc>
        <w:tc>
          <w:tcPr/>
          <w:p>
            <w:pPr>
              <w:pStyle w:val="Compact"/>
              <w:jc w:val="left"/>
            </w:pPr>
            <w:r>
              <w:t xml:space="preserve">Trending up or stable; no unexplained week-over-week drop.</w:t>
            </w:r>
          </w:p>
        </w:tc>
      </w:tr>
      <w:tr>
        <w:tc>
          <w:tcPr/>
          <w:p>
            <w:pPr>
              <w:pStyle w:val="Compact"/>
              <w:jc w:val="left"/>
            </w:pPr>
            <w:r>
              <w:t xml:space="preserve">ADKAR block scores (5)</w:t>
            </w:r>
          </w:p>
        </w:tc>
        <w:tc>
          <w:tcPr/>
          <w:p>
            <w:pPr>
              <w:pStyle w:val="Compact"/>
              <w:jc w:val="left"/>
            </w:pPr>
            <w:r>
              <w:t xml:space="preserve">CM</w:t>
            </w:r>
          </w:p>
        </w:tc>
        <w:tc>
          <w:tcPr/>
          <w:p>
            <w:pPr>
              <w:pStyle w:val="Compact"/>
              <w:jc w:val="left"/>
            </w:pPr>
            <w:r>
              <w:t xml:space="preserve">No block ≤ 2 without a logged, actioned barrier reason.</w:t>
            </w:r>
          </w:p>
        </w:tc>
      </w:tr>
      <w:tr>
        <w:tc>
          <w:tcPr/>
          <w:p>
            <w:pPr>
              <w:pStyle w:val="Compact"/>
              <w:jc w:val="left"/>
            </w:pPr>
            <w:r>
              <w:t xml:space="preserve">Divergence Pattern alerts</w:t>
            </w:r>
          </w:p>
        </w:tc>
        <w:tc>
          <w:tcPr/>
          <w:p>
            <w:pPr>
              <w:pStyle w:val="Compact"/>
              <w:jc w:val="left"/>
            </w:pPr>
            <w:r>
              <w:t xml:space="preserve">CM</w:t>
            </w:r>
          </w:p>
        </w:tc>
        <w:tc>
          <w:tcPr/>
          <w:p>
            <w:pPr>
              <w:pStyle w:val="Compact"/>
              <w:jc w:val="left"/>
            </w:pPr>
            <w:r>
              <w:t xml:space="preserve">Zero open alerts, or each open alert has a scheduled 1:1.</w:t>
            </w:r>
          </w:p>
        </w:tc>
      </w:tr>
      <w:tr>
        <w:tc>
          <w:tcPr/>
          <w:p>
            <w:pPr>
              <w:pStyle w:val="Compact"/>
              <w:jc w:val="left"/>
            </w:pPr>
            <w:r>
              <w:t xml:space="preserve">Help-desk ticket volume</w:t>
            </w:r>
          </w:p>
        </w:tc>
        <w:tc>
          <w:tcPr/>
          <w:p>
            <w:pPr>
              <w:pStyle w:val="Compact"/>
              <w:jc w:val="left"/>
            </w:pPr>
            <w:r>
              <w:t xml:space="preserve">ITL, CM</w:t>
            </w:r>
          </w:p>
        </w:tc>
        <w:tc>
          <w:tcPr/>
          <w:p>
            <w:pPr>
              <w:pStyle w:val="Compact"/>
              <w:jc w:val="left"/>
            </w:pPr>
            <w:r>
              <w:t xml:space="preserve">Following the expected learning-curve bump and decline — not an unexplained sustained rise.</w:t>
            </w:r>
          </w:p>
        </w:tc>
      </w:tr>
      <w:tr>
        <w:tc>
          <w:tcPr/>
          <w:p>
            <w:pPr>
              <w:pStyle w:val="Compact"/>
              <w:jc w:val="left"/>
            </w:pPr>
            <w:r>
              <w:t xml:space="preserve">Champion network engagement</w:t>
            </w:r>
          </w:p>
        </w:tc>
        <w:tc>
          <w:tcPr/>
          <w:p>
            <w:pPr>
              <w:pStyle w:val="Compact"/>
              <w:jc w:val="left"/>
            </w:pPr>
            <w:r>
              <w:t xml:space="preserve">CM</w:t>
            </w:r>
          </w:p>
        </w:tc>
        <w:tc>
          <w:tcPr/>
          <w:p>
            <w:pPr>
              <w:pStyle w:val="Compact"/>
              <w:jc w:val="left"/>
            </w:pPr>
            <w:r>
              <w:t xml:space="preserve">Champions actively reporting, not silent.</w:t>
            </w:r>
          </w:p>
        </w:tc>
      </w:tr>
    </w:tbl>
    <w:p>
      <w:pPr>
        <w:pStyle w:val="BodyText"/>
      </w:pPr>
      <w:r>
        <w:rPr>
          <w:iCs/>
          <w:i/>
        </w:rPr>
        <w:t xml:space="preserve">Table 7.6 — The Change Manager's weekly dashboard scan.</w:t>
      </w:r>
    </w:p>
    <w:p>
      <w:pPr>
        <w:pStyle w:val="BodyText"/>
      </w:pPr>
      <w:r>
        <w:rPr>
          <w:bCs/>
          <w:b/>
          <w:color w:val="1F4B45"/>
          <w:sz w:val="34"/>
        </w:rPr>
        <w:t xml:space="preserve">8. Simulated Data Walkthrough — Project Meridian</w:t>
      </w:r>
    </w:p>
    <w:p>
      <w:pPr>
        <w:pStyle w:val="BodyText"/>
      </w:pPr>
      <w:r>
        <w:t xml:space="preserve">Project Meridian is a fictional, vendor-agnostic finance-and-procurement ERP implementation at a mid-sized manufacturer (≈700 employees across a headquarters Finance cohort and a regional Distribution site). All scores below are simulated for illustration. The walkthrough deliberately includes one instance of Exceptions E1 through E5, so the reader can see what each exception looks like in the actual monthly data — not just in the abstract playbook.</w:t>
      </w:r>
    </w:p>
    <w:tbl>
      <w:tblPr>
        <w:tblStyle w:val="Table"/>
        <w:tblW w:type="pct" w:w="4964"/>
        <w:tblLook w:firstRow="1" w:lastRow="0" w:firstColumn="0" w:lastColumn="0" w:noHBand="0" w:noVBand="0" w:val="0020"/>
        <w:jc w:val="start"/>
      </w:tblPr>
      <w:tblGrid>
        <w:gridCol w:w="346"/>
        <w:gridCol w:w="982"/>
        <w:gridCol w:w="1127"/>
        <w:gridCol w:w="1474"/>
        <w:gridCol w:w="1358"/>
        <w:gridCol w:w="289"/>
        <w:gridCol w:w="2283"/>
      </w:tblGrid>
      <w:tr>
        <w:trPr>
          <w:tblHeader w:val="true"/>
        </w:trPr>
        <w:tc>
          <w:tcPr>
            <w:shd w:val="clear" w:fill="1F4B45"/>
          </w:tcPr>
          <w:p>
            <w:pPr>
              <w:pStyle w:val="Compact"/>
              <w:jc w:val="left"/>
            </w:pPr>
            <w:r>
              <w:rPr>
                <w:bCs/>
                <w:b/>
                <w:color w:val="FFFFFF"/>
              </w:rPr>
              <w:t xml:space="preserve">Month</w:t>
            </w:r>
          </w:p>
        </w:tc>
        <w:tc>
          <w:tcPr>
            <w:shd w:val="clear" w:fill="1F4B45"/>
          </w:tcPr>
          <w:p>
            <w:pPr>
              <w:pStyle w:val="Compact"/>
              <w:jc w:val="left"/>
            </w:pPr>
            <w:r>
              <w:rPr>
                <w:bCs/>
                <w:b/>
                <w:color w:val="FFFFFF"/>
              </w:rPr>
              <w:t xml:space="preserve">Lewin</w:t>
            </w:r>
          </w:p>
        </w:tc>
        <w:tc>
          <w:tcPr>
            <w:shd w:val="clear" w:fill="1F4B45"/>
          </w:tcPr>
          <w:p>
            <w:pPr>
              <w:pStyle w:val="Compact"/>
              <w:jc w:val="left"/>
            </w:pPr>
            <w:r>
              <w:rPr>
                <w:bCs/>
                <w:b/>
                <w:color w:val="FFFFFF"/>
              </w:rPr>
              <w:t xml:space="preserve">ADKAR (weakest block)</w:t>
            </w:r>
          </w:p>
        </w:tc>
        <w:tc>
          <w:tcPr>
            <w:shd w:val="clear" w:fill="1F4B45"/>
          </w:tcPr>
          <w:p>
            <w:pPr>
              <w:pStyle w:val="Compact"/>
              <w:jc w:val="left"/>
            </w:pPr>
            <w:r>
              <w:rPr>
                <w:bCs/>
                <w:b/>
                <w:color w:val="FFFFFF"/>
              </w:rPr>
              <w:t xml:space="preserve">Bridges</w:t>
            </w:r>
          </w:p>
        </w:tc>
        <w:tc>
          <w:tcPr>
            <w:shd w:val="clear" w:fill="1F4B45"/>
          </w:tcPr>
          <w:p>
            <w:pPr>
              <w:pStyle w:val="Compact"/>
              <w:jc w:val="left"/>
            </w:pPr>
            <w:r>
              <w:rPr>
                <w:bCs/>
                <w:b/>
                <w:color w:val="FFFFFF"/>
              </w:rPr>
              <w:t xml:space="preserve">Kübler-Ross</w:t>
            </w:r>
          </w:p>
        </w:tc>
        <w:tc>
          <w:tcPr>
            <w:shd w:val="clear" w:fill="1F4B45"/>
          </w:tcPr>
          <w:p>
            <w:pPr>
              <w:pStyle w:val="Compact"/>
              <w:jc w:val="left"/>
            </w:pPr>
            <w:r>
              <w:rPr>
                <w:bCs/>
                <w:b/>
                <w:color w:val="FFFFFF"/>
              </w:rPr>
              <w:t xml:space="preserve">CRI</w:t>
            </w:r>
          </w:p>
        </w:tc>
        <w:tc>
          <w:tcPr>
            <w:shd w:val="clear" w:fill="1F4B45"/>
          </w:tcPr>
          <w:p>
            <w:pPr>
              <w:pStyle w:val="Compact"/>
              <w:jc w:val="left"/>
            </w:pPr>
            <w:r>
              <w:rPr>
                <w:bCs/>
                <w:b/>
                <w:color w:val="FFFFFF"/>
              </w:rPr>
              <w:t xml:space="preserve">Notable Event</w:t>
            </w:r>
          </w:p>
        </w:tc>
      </w:tr>
      <w:tr>
        <w:tc>
          <w:tcPr/>
          <w:p>
            <w:pPr>
              <w:pStyle w:val="Compact"/>
              <w:jc w:val="left"/>
            </w:pPr>
            <w:r>
              <w:t xml:space="preserve">M0</w:t>
            </w:r>
          </w:p>
        </w:tc>
        <w:tc>
          <w:tcPr/>
          <w:p>
            <w:pPr>
              <w:pStyle w:val="Compact"/>
              <w:jc w:val="left"/>
            </w:pPr>
            <w:r>
              <w:t xml:space="preserve">Unfreeze</w:t>
            </w:r>
          </w:p>
        </w:tc>
        <w:tc>
          <w:tcPr/>
          <w:p>
            <w:pPr>
              <w:pStyle w:val="Compact"/>
              <w:jc w:val="left"/>
            </w:pPr>
            <w:r>
              <w:t xml:space="preserve">Awareness — 2.0</w:t>
            </w:r>
          </w:p>
        </w:tc>
        <w:tc>
          <w:tcPr/>
          <w:p>
            <w:pPr>
              <w:pStyle w:val="Compact"/>
              <w:jc w:val="left"/>
            </w:pPr>
            <w:r>
              <w:t xml:space="preserve">Ending</w:t>
            </w:r>
          </w:p>
        </w:tc>
        <w:tc>
          <w:tcPr/>
          <w:p>
            <w:pPr>
              <w:pStyle w:val="Compact"/>
              <w:jc w:val="left"/>
            </w:pPr>
            <w:r>
              <w:t xml:space="preserve">Denial</w:t>
            </w:r>
          </w:p>
        </w:tc>
        <w:tc>
          <w:tcPr/>
          <w:p>
            <w:pPr>
              <w:pStyle w:val="Compact"/>
              <w:jc w:val="left"/>
            </w:pPr>
            <w:r>
              <w:t xml:space="preserve">28</w:t>
            </w:r>
          </w:p>
        </w:tc>
        <w:tc>
          <w:tcPr/>
          <w:p>
            <w:pPr>
              <w:pStyle w:val="Compact"/>
              <w:jc w:val="left"/>
            </w:pPr>
            <w:r>
              <w:t xml:space="preserve">Baseline pulse (all cohorts)</w:t>
            </w:r>
          </w:p>
        </w:tc>
      </w:tr>
      <w:tr>
        <w:tc>
          <w:tcPr/>
          <w:p>
            <w:pPr>
              <w:pStyle w:val="Compact"/>
              <w:jc w:val="left"/>
            </w:pPr>
            <w:r>
              <w:t xml:space="preserve">M1</w:t>
            </w:r>
          </w:p>
        </w:tc>
        <w:tc>
          <w:tcPr/>
          <w:p>
            <w:pPr>
              <w:pStyle w:val="Compact"/>
              <w:jc w:val="left"/>
            </w:pPr>
            <w:r>
              <w:t xml:space="preserve">Unfreeze</w:t>
            </w:r>
          </w:p>
        </w:tc>
        <w:tc>
          <w:tcPr/>
          <w:p>
            <w:pPr>
              <w:pStyle w:val="Compact"/>
              <w:jc w:val="left"/>
            </w:pPr>
            <w:r>
              <w:t xml:space="preserve">Awareness — 3.0</w:t>
            </w:r>
          </w:p>
        </w:tc>
        <w:tc>
          <w:tcPr/>
          <w:p>
            <w:pPr>
              <w:pStyle w:val="Compact"/>
              <w:jc w:val="left"/>
            </w:pPr>
            <w:r>
              <w:t xml:space="preserve">Ending</w:t>
            </w:r>
          </w:p>
        </w:tc>
        <w:tc>
          <w:tcPr/>
          <w:p>
            <w:pPr>
              <w:pStyle w:val="Compact"/>
              <w:jc w:val="left"/>
            </w:pPr>
            <w:r>
              <w:t xml:space="preserve">Denial → Resistance</w:t>
            </w:r>
          </w:p>
        </w:tc>
        <w:tc>
          <w:tcPr/>
          <w:p>
            <w:pPr>
              <w:pStyle w:val="Compact"/>
              <w:jc w:val="left"/>
            </w:pPr>
            <w:r>
              <w:t xml:space="preserve">34</w:t>
            </w:r>
          </w:p>
        </w:tc>
        <w:tc>
          <w:tcPr/>
          <w:p>
            <w:pPr>
              <w:pStyle w:val="Compact"/>
              <w:jc w:val="left"/>
            </w:pPr>
            <w:r>
              <w:t xml:space="preserve">Comms wave 1 launched</w:t>
            </w:r>
          </w:p>
        </w:tc>
      </w:tr>
      <w:tr>
        <w:tc>
          <w:tcPr/>
          <w:p>
            <w:pPr>
              <w:pStyle w:val="Compact"/>
              <w:jc w:val="left"/>
            </w:pPr>
            <w:r>
              <w:t xml:space="preserve">M2</w:t>
            </w:r>
          </w:p>
        </w:tc>
        <w:tc>
          <w:tcPr/>
          <w:p>
            <w:pPr>
              <w:pStyle w:val="Compact"/>
              <w:jc w:val="left"/>
            </w:pPr>
            <w:r>
              <w:t xml:space="preserve">Unfreeze</w:t>
            </w:r>
          </w:p>
        </w:tc>
        <w:tc>
          <w:tcPr/>
          <w:p>
            <w:pPr>
              <w:pStyle w:val="Compact"/>
              <w:jc w:val="left"/>
            </w:pPr>
            <w:r>
              <w:t xml:space="preserve">Desire — 2.0</w:t>
            </w:r>
          </w:p>
        </w:tc>
        <w:tc>
          <w:tcPr/>
          <w:p>
            <w:pPr>
              <w:pStyle w:val="Compact"/>
              <w:jc w:val="left"/>
            </w:pPr>
            <w:r>
              <w:t xml:space="preserve">Ending</w:t>
            </w:r>
          </w:p>
        </w:tc>
        <w:tc>
          <w:tcPr/>
          <w:p>
            <w:pPr>
              <w:pStyle w:val="Compact"/>
              <w:jc w:val="left"/>
            </w:pPr>
            <w:r>
              <w:t xml:space="preserve">Resistance</w:t>
            </w:r>
          </w:p>
        </w:tc>
        <w:tc>
          <w:tcPr/>
          <w:p>
            <w:pPr>
              <w:pStyle w:val="Compact"/>
              <w:jc w:val="left"/>
            </w:pPr>
            <w:r>
              <w:t xml:space="preserve">38</w:t>
            </w:r>
          </w:p>
        </w:tc>
        <w:tc>
          <w:tcPr/>
          <w:p>
            <w:pPr>
              <w:pStyle w:val="Compact"/>
              <w:jc w:val="left"/>
            </w:pPr>
            <w:r>
              <w:t xml:space="preserve">Champion network recruited</w:t>
            </w:r>
          </w:p>
        </w:tc>
      </w:tr>
      <w:tr>
        <w:tc>
          <w:tcPr/>
          <w:p>
            <w:pPr>
              <w:pStyle w:val="Compact"/>
              <w:jc w:val="left"/>
            </w:pPr>
            <w:r>
              <w:t xml:space="preserve">M3</w:t>
            </w:r>
          </w:p>
        </w:tc>
        <w:tc>
          <w:tcPr/>
          <w:p>
            <w:pPr>
              <w:pStyle w:val="Compact"/>
              <w:jc w:val="left"/>
            </w:pPr>
            <w:r>
              <w:t xml:space="preserve">Unfreeze → Change</w:t>
            </w:r>
          </w:p>
        </w:tc>
        <w:tc>
          <w:tcPr/>
          <w:p>
            <w:pPr>
              <w:pStyle w:val="Compact"/>
              <w:jc w:val="left"/>
            </w:pPr>
            <w:r>
              <w:t xml:space="preserve">Desire — 2.0 (flagged)</w:t>
            </w:r>
          </w:p>
        </w:tc>
        <w:tc>
          <w:tcPr/>
          <w:p>
            <w:pPr>
              <w:pStyle w:val="Compact"/>
              <w:jc w:val="left"/>
            </w:pPr>
            <w:r>
              <w:t xml:space="preserve">Ending</w:t>
            </w:r>
          </w:p>
        </w:tc>
        <w:tc>
          <w:tcPr/>
          <w:p>
            <w:pPr>
              <w:pStyle w:val="Compact"/>
              <w:jc w:val="left"/>
            </w:pPr>
            <w:r>
              <w:t xml:space="preserve">Resistance</w:t>
            </w:r>
          </w:p>
        </w:tc>
        <w:tc>
          <w:tcPr/>
          <w:p>
            <w:pPr>
              <w:pStyle w:val="Compact"/>
              <w:jc w:val="left"/>
            </w:pPr>
            <w:r>
              <w:t xml:space="preserve">40</w:t>
            </w:r>
          </w:p>
        </w:tc>
        <w:tc>
          <w:tcPr/>
          <w:p>
            <w:pPr>
              <w:pStyle w:val="Compact"/>
              <w:jc w:val="left"/>
            </w:pPr>
            <w:r>
              <w:t xml:space="preserve">E1: Desire stall — migration work invisible to end users</w:t>
            </w:r>
          </w:p>
        </w:tc>
      </w:tr>
      <w:tr>
        <w:tc>
          <w:tcPr/>
          <w:p>
            <w:pPr>
              <w:pStyle w:val="Compact"/>
              <w:jc w:val="left"/>
            </w:pPr>
            <w:r>
              <w:t xml:space="preserve">M4</w:t>
            </w:r>
          </w:p>
        </w:tc>
        <w:tc>
          <w:tcPr/>
          <w:p>
            <w:pPr>
              <w:pStyle w:val="Compact"/>
              <w:jc w:val="left"/>
            </w:pPr>
            <w:r>
              <w:t xml:space="preserve">Change</w:t>
            </w:r>
          </w:p>
        </w:tc>
        <w:tc>
          <w:tcPr/>
          <w:p>
            <w:pPr>
              <w:pStyle w:val="Compact"/>
              <w:jc w:val="left"/>
            </w:pPr>
            <w:r>
              <w:t xml:space="preserve">Desire — 3.0</w:t>
            </w:r>
          </w:p>
        </w:tc>
        <w:tc>
          <w:tcPr/>
          <w:p>
            <w:pPr>
              <w:pStyle w:val="Compact"/>
              <w:jc w:val="left"/>
            </w:pPr>
            <w:r>
              <w:t xml:space="preserve">Ending</w:t>
            </w:r>
          </w:p>
        </w:tc>
        <w:tc>
          <w:tcPr/>
          <w:p>
            <w:pPr>
              <w:pStyle w:val="Compact"/>
              <w:jc w:val="left"/>
            </w:pPr>
            <w:r>
              <w:t xml:space="preserve">Resistance → Exploration</w:t>
            </w:r>
          </w:p>
        </w:tc>
        <w:tc>
          <w:tcPr/>
          <w:p>
            <w:pPr>
              <w:pStyle w:val="Compact"/>
              <w:jc w:val="left"/>
            </w:pPr>
            <w:r>
              <w:t xml:space="preserve">47</w:t>
            </w:r>
          </w:p>
        </w:tc>
        <w:tc>
          <w:tcPr/>
          <w:p>
            <w:pPr>
              <w:pStyle w:val="Compact"/>
              <w:jc w:val="left"/>
            </w:pPr>
            <w:r>
              <w:t xml:space="preserve">E1 resolved — Sponsor addresses redeployment fears directly</w:t>
            </w:r>
          </w:p>
        </w:tc>
      </w:tr>
      <w:tr>
        <w:tc>
          <w:tcPr/>
          <w:p>
            <w:pPr>
              <w:pStyle w:val="Compact"/>
              <w:jc w:val="left"/>
            </w:pPr>
            <w:r>
              <w:t xml:space="preserve">M5</w:t>
            </w:r>
          </w:p>
        </w:tc>
        <w:tc>
          <w:tcPr/>
          <w:p>
            <w:pPr>
              <w:pStyle w:val="Compact"/>
              <w:jc w:val="left"/>
            </w:pPr>
            <w:r>
              <w:t xml:space="preserve">Change</w:t>
            </w:r>
          </w:p>
        </w:tc>
        <w:tc>
          <w:tcPr/>
          <w:p>
            <w:pPr>
              <w:pStyle w:val="Compact"/>
              <w:jc w:val="left"/>
            </w:pPr>
            <w:r>
              <w:t xml:space="preserve">Knowledge — 3.0</w:t>
            </w:r>
          </w:p>
        </w:tc>
        <w:tc>
          <w:tcPr/>
          <w:p>
            <w:pPr>
              <w:pStyle w:val="Compact"/>
              <w:jc w:val="left"/>
            </w:pPr>
            <w:r>
              <w:t xml:space="preserve">Neutral Zone</w:t>
            </w:r>
          </w:p>
        </w:tc>
        <w:tc>
          <w:tcPr/>
          <w:p>
            <w:pPr>
              <w:pStyle w:val="Compact"/>
              <w:jc w:val="left"/>
            </w:pPr>
            <w:r>
              <w:t xml:space="preserve">Exploration</w:t>
            </w:r>
          </w:p>
        </w:tc>
        <w:tc>
          <w:tcPr/>
          <w:p>
            <w:pPr>
              <w:pStyle w:val="Compact"/>
              <w:jc w:val="left"/>
            </w:pPr>
            <w:r>
              <w:t xml:space="preserve">52</w:t>
            </w:r>
          </w:p>
        </w:tc>
        <w:tc>
          <w:tcPr/>
          <w:p>
            <w:pPr>
              <w:pStyle w:val="Compact"/>
              <w:jc w:val="left"/>
            </w:pPr>
            <w:r>
              <w:t xml:space="preserve">UAT begins</w:t>
            </w:r>
          </w:p>
        </w:tc>
      </w:tr>
      <w:tr>
        <w:tc>
          <w:tcPr/>
          <w:p>
            <w:pPr>
              <w:pStyle w:val="Compact"/>
              <w:jc w:val="left"/>
            </w:pPr>
            <w:r>
              <w:t xml:space="preserve">M6</w:t>
            </w:r>
          </w:p>
        </w:tc>
        <w:tc>
          <w:tcPr/>
          <w:p>
            <w:pPr>
              <w:pStyle w:val="Compact"/>
              <w:jc w:val="left"/>
            </w:pPr>
            <w:r>
              <w:t xml:space="preserve">Change</w:t>
            </w:r>
          </w:p>
        </w:tc>
        <w:tc>
          <w:tcPr/>
          <w:p>
            <w:pPr>
              <w:pStyle w:val="Compact"/>
              <w:jc w:val="left"/>
            </w:pPr>
            <w:r>
              <w:t xml:space="preserve">Knowledge/Ability — 4.0</w:t>
            </w:r>
          </w:p>
        </w:tc>
        <w:tc>
          <w:tcPr/>
          <w:p>
            <w:pPr>
              <w:pStyle w:val="Compact"/>
              <w:jc w:val="left"/>
            </w:pPr>
            <w:r>
              <w:t xml:space="preserve">Ending (Finance cohort)</w:t>
            </w:r>
          </w:p>
        </w:tc>
        <w:tc>
          <w:tcPr/>
          <w:p>
            <w:pPr>
              <w:pStyle w:val="Compact"/>
              <w:jc w:val="left"/>
            </w:pPr>
            <w:r>
              <w:t xml:space="preserve">Exploration</w:t>
            </w:r>
          </w:p>
        </w:tc>
        <w:tc>
          <w:tcPr/>
          <w:p>
            <w:pPr>
              <w:pStyle w:val="Compact"/>
              <w:jc w:val="left"/>
            </w:pPr>
            <w:r>
              <w:t xml:space="preserve">58</w:t>
            </w:r>
          </w:p>
        </w:tc>
        <w:tc>
          <w:tcPr/>
          <w:p>
            <w:pPr>
              <w:pStyle w:val="Compact"/>
              <w:jc w:val="left"/>
            </w:pPr>
            <w:r>
              <w:t xml:space="preserve">E2: Divergence Pattern — Finance cohort strong on skill, stuck on Ending</w:t>
            </w:r>
          </w:p>
        </w:tc>
      </w:tr>
      <w:tr>
        <w:tc>
          <w:tcPr/>
          <w:p>
            <w:pPr>
              <w:pStyle w:val="Compact"/>
              <w:jc w:val="left"/>
            </w:pPr>
            <w:r>
              <w:t xml:space="preserve">M7</w:t>
            </w:r>
          </w:p>
        </w:tc>
        <w:tc>
          <w:tcPr/>
          <w:p>
            <w:pPr>
              <w:pStyle w:val="Compact"/>
              <w:jc w:val="left"/>
            </w:pPr>
            <w:r>
              <w:t xml:space="preserve">Change</w:t>
            </w:r>
          </w:p>
        </w:tc>
        <w:tc>
          <w:tcPr/>
          <w:p>
            <w:pPr>
              <w:pStyle w:val="Compact"/>
              <w:jc w:val="left"/>
            </w:pPr>
            <w:r>
              <w:t xml:space="preserve">Ability — 4.0</w:t>
            </w:r>
          </w:p>
        </w:tc>
        <w:tc>
          <w:tcPr/>
          <w:p>
            <w:pPr>
              <w:pStyle w:val="Compact"/>
              <w:jc w:val="left"/>
            </w:pPr>
            <w:r>
              <w:t xml:space="preserve">Neutral Zone (Finance)</w:t>
            </w:r>
          </w:p>
        </w:tc>
        <w:tc>
          <w:tcPr/>
          <w:p>
            <w:pPr>
              <w:pStyle w:val="Compact"/>
              <w:jc w:val="left"/>
            </w:pPr>
            <w:r>
              <w:t xml:space="preserve">Exploration</w:t>
            </w:r>
          </w:p>
        </w:tc>
        <w:tc>
          <w:tcPr/>
          <w:p>
            <w:pPr>
              <w:pStyle w:val="Compact"/>
              <w:jc w:val="left"/>
            </w:pPr>
            <w:r>
              <w:t xml:space="preserve">61</w:t>
            </w:r>
          </w:p>
        </w:tc>
        <w:tc>
          <w:tcPr/>
          <w:p>
            <w:pPr>
              <w:pStyle w:val="Compact"/>
              <w:jc w:val="left"/>
            </w:pPr>
            <w:r>
              <w:t xml:space="preserve">E2 resolved — 1:1s surface genuine loss of legacy reports</w:t>
            </w:r>
          </w:p>
        </w:tc>
      </w:tr>
      <w:tr>
        <w:tc>
          <w:tcPr/>
          <w:p>
            <w:pPr>
              <w:pStyle w:val="Compact"/>
              <w:jc w:val="left"/>
            </w:pPr>
            <w:r>
              <w:t xml:space="preserve">M8</w:t>
            </w:r>
          </w:p>
        </w:tc>
        <w:tc>
          <w:tcPr/>
          <w:p>
            <w:pPr>
              <w:pStyle w:val="Compact"/>
              <w:jc w:val="left"/>
            </w:pPr>
            <w:r>
              <w:t xml:space="preserve">Change</w:t>
            </w:r>
          </w:p>
        </w:tc>
        <w:tc>
          <w:tcPr/>
          <w:p>
            <w:pPr>
              <w:pStyle w:val="Compact"/>
              <w:jc w:val="left"/>
            </w:pPr>
            <w:r>
              <w:t xml:space="preserve">Ability — 4.0</w:t>
            </w:r>
          </w:p>
        </w:tc>
        <w:tc>
          <w:tcPr/>
          <w:p>
            <w:pPr>
              <w:pStyle w:val="Compact"/>
              <w:jc w:val="left"/>
            </w:pPr>
            <w:r>
              <w:t xml:space="preserve">Neutral Zone</w:t>
            </w:r>
          </w:p>
        </w:tc>
        <w:tc>
          <w:tcPr/>
          <w:p>
            <w:pPr>
              <w:pStyle w:val="Compact"/>
              <w:jc w:val="left"/>
            </w:pPr>
            <w:r>
              <w:t xml:space="preserve">Exploration → Commitment</w:t>
            </w:r>
          </w:p>
        </w:tc>
        <w:tc>
          <w:tcPr/>
          <w:p>
            <w:pPr>
              <w:pStyle w:val="Compact"/>
              <w:jc w:val="left"/>
            </w:pPr>
            <w:r>
              <w:t xml:space="preserve">66</w:t>
            </w:r>
          </w:p>
        </w:tc>
        <w:tc>
          <w:tcPr/>
          <w:p>
            <w:pPr>
              <w:pStyle w:val="Compact"/>
              <w:jc w:val="left"/>
            </w:pPr>
            <w:r>
              <w:t xml:space="preserve">Training wave 2 complete</w:t>
            </w:r>
          </w:p>
        </w:tc>
      </w:tr>
      <w:tr>
        <w:tc>
          <w:tcPr/>
          <w:p>
            <w:pPr>
              <w:pStyle w:val="Compact"/>
              <w:jc w:val="left"/>
            </w:pPr>
            <w:r>
              <w:t xml:space="preserve">M9</w:t>
            </w:r>
          </w:p>
        </w:tc>
        <w:tc>
          <w:tcPr/>
          <w:p>
            <w:pPr>
              <w:pStyle w:val="Compact"/>
              <w:jc w:val="left"/>
            </w:pPr>
            <w:r>
              <w:t xml:space="preserve">Change → Refreeze (provisional)</w:t>
            </w:r>
          </w:p>
        </w:tc>
        <w:tc>
          <w:tcPr/>
          <w:p>
            <w:pPr>
              <w:pStyle w:val="Compact"/>
              <w:jc w:val="left"/>
            </w:pPr>
            <w:r>
              <w:t xml:space="preserve">Ability — 4.0</w:t>
            </w:r>
          </w:p>
        </w:tc>
        <w:tc>
          <w:tcPr/>
          <w:p>
            <w:pPr>
              <w:pStyle w:val="Compact"/>
              <w:jc w:val="left"/>
            </w:pPr>
            <w:r>
              <w:t xml:space="preserve">Neutral Zone (peak discomfort)</w:t>
            </w:r>
          </w:p>
        </w:tc>
        <w:tc>
          <w:tcPr/>
          <w:p>
            <w:pPr>
              <w:pStyle w:val="Compact"/>
              <w:jc w:val="left"/>
            </w:pPr>
            <w:r>
              <w:t xml:space="preserve">Exploration (anxiety spike)</w:t>
            </w:r>
          </w:p>
        </w:tc>
        <w:tc>
          <w:tcPr/>
          <w:p>
            <w:pPr>
              <w:pStyle w:val="Compact"/>
              <w:jc w:val="left"/>
            </w:pPr>
            <w:r>
              <w:t xml:space="preserve">64</w:t>
            </w:r>
          </w:p>
        </w:tc>
        <w:tc>
          <w:tcPr/>
          <w:p>
            <w:pPr>
              <w:pStyle w:val="Compact"/>
              <w:jc w:val="left"/>
            </w:pPr>
            <w:r>
              <w:t xml:space="preserve">Go-live. E3: Lewin marked provisional pending emotional evidence</w:t>
            </w:r>
          </w:p>
        </w:tc>
      </w:tr>
      <w:tr>
        <w:tc>
          <w:tcPr/>
          <w:p>
            <w:pPr>
              <w:pStyle w:val="Compact"/>
              <w:jc w:val="left"/>
            </w:pPr>
            <w:r>
              <w:t xml:space="preserve">M9 +2wk</w:t>
            </w:r>
          </w:p>
        </w:tc>
        <w:tc>
          <w:tcPr/>
          <w:p>
            <w:pPr>
              <w:pStyle w:val="Compact"/>
              <w:jc w:val="left"/>
            </w:pPr>
            <w:r>
              <w:t xml:space="preserve">Refreeze (provisional)</w:t>
            </w:r>
          </w:p>
        </w:tc>
        <w:tc>
          <w:tcPr/>
          <w:p>
            <w:pPr>
              <w:pStyle w:val="Compact"/>
              <w:jc w:val="left"/>
            </w:pPr>
            <w:r>
              <w:t xml:space="preserve">Reinforcement — 3.0</w:t>
            </w:r>
          </w:p>
        </w:tc>
        <w:tc>
          <w:tcPr/>
          <w:p>
            <w:pPr>
              <w:pStyle w:val="Compact"/>
              <w:jc w:val="left"/>
            </w:pPr>
            <w:r>
              <w:t xml:space="preserve">Neutral Zone</w:t>
            </w:r>
          </w:p>
        </w:tc>
        <w:tc>
          <w:tcPr/>
          <w:p>
            <w:pPr>
              <w:pStyle w:val="Compact"/>
              <w:jc w:val="left"/>
            </w:pPr>
            <w:r>
              <w:t xml:space="preserve">Resistance (Distribution site)</w:t>
            </w:r>
          </w:p>
        </w:tc>
        <w:tc>
          <w:tcPr/>
          <w:p>
            <w:pPr>
              <w:pStyle w:val="Compact"/>
              <w:jc w:val="left"/>
            </w:pPr>
            <w:r>
              <w:t xml:space="preserve">60</w:t>
            </w:r>
          </w:p>
        </w:tc>
        <w:tc>
          <w:tcPr/>
          <w:p>
            <w:pPr>
              <w:pStyle w:val="Compact"/>
              <w:jc w:val="left"/>
            </w:pPr>
            <w:r>
              <w:t xml:space="preserve">E4: Distribution site regresses after a data-quality incident</w:t>
            </w:r>
          </w:p>
        </w:tc>
      </w:tr>
      <w:tr>
        <w:tc>
          <w:tcPr/>
          <w:p>
            <w:pPr>
              <w:pStyle w:val="Compact"/>
              <w:jc w:val="left"/>
            </w:pPr>
            <w:r>
              <w:t xml:space="preserve">M10</w:t>
            </w:r>
          </w:p>
        </w:tc>
        <w:tc>
          <w:tcPr/>
          <w:p>
            <w:pPr>
              <w:pStyle w:val="Compact"/>
              <w:jc w:val="left"/>
            </w:pPr>
            <w:r>
              <w:t xml:space="preserve">Refreeze (provisional)</w:t>
            </w:r>
          </w:p>
        </w:tc>
        <w:tc>
          <w:tcPr/>
          <w:p>
            <w:pPr>
              <w:pStyle w:val="Compact"/>
              <w:jc w:val="left"/>
            </w:pPr>
            <w:r>
              <w:t xml:space="preserve">Reinforcement — 3.0</w:t>
            </w:r>
          </w:p>
        </w:tc>
        <w:tc>
          <w:tcPr/>
          <w:p>
            <w:pPr>
              <w:pStyle w:val="Compact"/>
              <w:jc w:val="left"/>
            </w:pPr>
            <w:r>
              <w:t xml:space="preserve">New Beginning (HQ) / Neutral Zone (Distribution)</w:t>
            </w:r>
          </w:p>
        </w:tc>
        <w:tc>
          <w:tcPr/>
          <w:p>
            <w:pPr>
              <w:pStyle w:val="Compact"/>
              <w:jc w:val="left"/>
            </w:pPr>
            <w:r>
              <w:t xml:space="preserve">Commitment (HQ) / Exploration (Distribution)</w:t>
            </w:r>
          </w:p>
        </w:tc>
        <w:tc>
          <w:tcPr/>
          <w:p>
            <w:pPr>
              <w:pStyle w:val="Compact"/>
              <w:jc w:val="left"/>
            </w:pPr>
            <w:r>
              <w:t xml:space="preserve">68</w:t>
            </w:r>
          </w:p>
        </w:tc>
        <w:tc>
          <w:tcPr/>
          <w:p>
            <w:pPr>
              <w:pStyle w:val="Compact"/>
              <w:jc w:val="left"/>
            </w:pPr>
            <w:r>
              <w:t xml:space="preserve">E4 resolved — targeted, incident-linked coaching at Distribution</w:t>
            </w:r>
          </w:p>
        </w:tc>
      </w:tr>
      <w:tr>
        <w:tc>
          <w:tcPr/>
          <w:p>
            <w:pPr>
              <w:pStyle w:val="Compact"/>
              <w:jc w:val="left"/>
            </w:pPr>
            <w:r>
              <w:t xml:space="preserve">M11</w:t>
            </w:r>
          </w:p>
        </w:tc>
        <w:tc>
          <w:tcPr/>
          <w:p>
            <w:pPr>
              <w:pStyle w:val="Compact"/>
              <w:jc w:val="left"/>
            </w:pPr>
            <w:r>
              <w:t xml:space="preserve">Refreeze (provisional)</w:t>
            </w:r>
          </w:p>
        </w:tc>
        <w:tc>
          <w:tcPr/>
          <w:p>
            <w:pPr>
              <w:pStyle w:val="Compact"/>
              <w:jc w:val="left"/>
            </w:pPr>
            <w:r>
              <w:t xml:space="preserve">Reinforcement — 3.0 (plateau risk)</w:t>
            </w:r>
          </w:p>
        </w:tc>
        <w:tc>
          <w:tcPr/>
          <w:p>
            <w:pPr>
              <w:pStyle w:val="Compact"/>
              <w:jc w:val="left"/>
            </w:pPr>
            <w:r>
              <w:t xml:space="preserve">New Beginning</w:t>
            </w:r>
          </w:p>
        </w:tc>
        <w:tc>
          <w:tcPr/>
          <w:p>
            <w:pPr>
              <w:pStyle w:val="Compact"/>
              <w:jc w:val="left"/>
            </w:pPr>
            <w:r>
              <w:t xml:space="preserve">Commitment</w:t>
            </w:r>
          </w:p>
        </w:tc>
        <w:tc>
          <w:tcPr/>
          <w:p>
            <w:pPr>
              <w:pStyle w:val="Compact"/>
              <w:jc w:val="left"/>
            </w:pPr>
            <w:r>
              <w:t xml:space="preserve">71</w:t>
            </w:r>
          </w:p>
        </w:tc>
        <w:tc>
          <w:tcPr/>
          <w:p>
            <w:pPr>
              <w:pStyle w:val="Compact"/>
              <w:jc w:val="left"/>
            </w:pPr>
            <w:r>
              <w:t xml:space="preserve">E5 watch — Reinforcement plateauing as attention shifts to next initiative</w:t>
            </w:r>
          </w:p>
        </w:tc>
      </w:tr>
      <w:tr>
        <w:tc>
          <w:tcPr/>
          <w:p>
            <w:pPr>
              <w:pStyle w:val="Compact"/>
              <w:jc w:val="left"/>
            </w:pPr>
            <w:r>
              <w:t xml:space="preserve">M12</w:t>
            </w:r>
          </w:p>
        </w:tc>
        <w:tc>
          <w:tcPr/>
          <w:p>
            <w:pPr>
              <w:pStyle w:val="Compact"/>
              <w:jc w:val="left"/>
            </w:pPr>
            <w:r>
              <w:t xml:space="preserve">Refreeze (confirmed)</w:t>
            </w:r>
          </w:p>
        </w:tc>
        <w:tc>
          <w:tcPr/>
          <w:p>
            <w:pPr>
              <w:pStyle w:val="Compact"/>
              <w:jc w:val="left"/>
            </w:pPr>
            <w:r>
              <w:t xml:space="preserve">Reinforcement — 4.0</w:t>
            </w:r>
          </w:p>
        </w:tc>
        <w:tc>
          <w:tcPr/>
          <w:p>
            <w:pPr>
              <w:pStyle w:val="Compact"/>
              <w:jc w:val="left"/>
            </w:pPr>
            <w:r>
              <w:t xml:space="preserve">New Beginning</w:t>
            </w:r>
          </w:p>
        </w:tc>
        <w:tc>
          <w:tcPr/>
          <w:p>
            <w:pPr>
              <w:pStyle w:val="Compact"/>
              <w:jc w:val="left"/>
            </w:pPr>
            <w:r>
              <w:t xml:space="preserve">Commitment</w:t>
            </w:r>
          </w:p>
        </w:tc>
        <w:tc>
          <w:tcPr/>
          <w:p>
            <w:pPr>
              <w:pStyle w:val="Compact"/>
              <w:jc w:val="left"/>
            </w:pPr>
            <w:r>
              <w:t xml:space="preserve">76</w:t>
            </w:r>
          </w:p>
        </w:tc>
        <w:tc>
          <w:tcPr/>
          <w:p>
            <w:pPr>
              <w:pStyle w:val="Compact"/>
              <w:jc w:val="left"/>
            </w:pPr>
            <w:r>
              <w:t xml:space="preserve">Two consecutive healthy checkpoints — Refreeze confirmed, project closed</w:t>
            </w:r>
          </w:p>
        </w:tc>
      </w:tr>
    </w:tbl>
    <w:p>
      <w:pPr>
        <w:pStyle w:val="BodyText"/>
      </w:pPr>
      <w:r>
        <w:rPr>
          <w:iCs/>
          <w:i/>
        </w:rPr>
        <w:t xml:space="preserve">Table 8.1 — Project Meridian: simulated month-by-month framework readings and Composite Readiness Index (CRI).</w:t>
      </w:r>
    </w:p>
    <w:p>
      <w:pPr>
        <w:pStyle w:val="BodyText"/>
      </w:pPr>
      <w:r>
        <w:rPr>
          <w:bCs/>
          <w:b/>
          <w:color w:val="275650"/>
          <w:sz w:val="27"/>
        </w:rPr>
        <w:t xml:space="preserve">8.1 Reading the Simulation</w:t>
      </w:r>
    </w:p>
    <w:p>
      <w:pPr>
        <w:pStyle w:val="BodyText"/>
      </w:pPr>
      <w:r>
        <w:t xml:space="preserve">Months 0–2 (Denial, low Awareness climbing off a low base): the baseline pulse at M0 shows Awareness at only 2.0 and Desire untested — typical for a program that has just been announced. By M2, Awareness has strengthened through the communications wave, but Desire remains flat at 2.0, exactly as journi's own data most often shows.</w:t>
      </w:r>
    </w:p>
    <w:p>
      <w:pPr>
        <w:pStyle w:val="BodyText"/>
      </w:pPr>
      <w:r>
        <w:t xml:space="preserve">Month 3 (Exception E1): Desire stalls at 2.0 with an auto-escalated barrier-reason note citing low visibility into the (invisible, technical) migration work. The Change Manager runs the E1 playbook — clustering barrier reasons, listening sessions, and a sponsor-delivered response to the specific fear (in this case, redeployment anxiety) rather than generic reassurance. By M4, Desire has moved to 3.0 and Kübler-Ross has begun shifting from Resistance toward Exploration in the same reporting cycle — the pattern journi's data shows when Desire and sentiment unstick together.</w:t>
      </w:r>
    </w:p>
    <w:p>
      <w:pPr>
        <w:pStyle w:val="BodyText"/>
      </w:pPr>
      <w:r>
        <w:t xml:space="preserve">Month 6 (Exception E2): UAT surfaces a textbook Divergence Pattern in the Finance cohort — Knowledge and Ability both score 4.0, but Bridges still reads</w:t>
      </w:r>
      <w:r>
        <w:t xml:space="preserve"> </w:t>
      </w:r>
      <w:r>
        <w:t xml:space="preserve">“</w:t>
      </w:r>
      <w:r>
        <w:t xml:space="preserve">Ending</w:t>
      </w:r>
      <w:r>
        <w:t xml:space="preserve">”</w:t>
      </w:r>
      <w:r>
        <w:t xml:space="preserve"> </w:t>
      </w:r>
      <w:r>
        <w:t xml:space="preserve">for that same cohort. The Divergence Pattern Detector fires automatically. Identity-focused 1:1s (not more skills training) reveal that Finance staff are genuinely grieving the retirement of a legacy reporting suite they built their careers around. By M7, Bridges has moved to Neutral Zone for that cohort.</w:t>
      </w:r>
    </w:p>
    <w:p>
      <w:pPr>
        <w:pStyle w:val="BodyText"/>
      </w:pPr>
      <w:r>
        <w:t xml:space="preserve">Month 9 (Exception E3): go-live is technically successful and Lewin is provisionally marked</w:t>
      </w:r>
      <w:r>
        <w:t xml:space="preserve"> </w:t>
      </w:r>
      <w:r>
        <w:t xml:space="preserve">“</w:t>
      </w:r>
      <w:r>
        <w:t xml:space="preserve">Change → Refreeze,</w:t>
      </w:r>
      <w:r>
        <w:t xml:space="preserve">”</w:t>
      </w:r>
      <w:r>
        <w:t xml:space="preserve"> </w:t>
      </w:r>
      <w:r>
        <w:t xml:space="preserve">but Bridges reads its peak discomfort (Neutral Zone) and Kübler-Ross shows an anxiety spike, not resolution — the two-clock problem in its sharpest form. The Change Manager keeps the provisional flag active and does not let the go-live date alone confirm Refreeze.</w:t>
      </w:r>
    </w:p>
    <w:p>
      <w:pPr>
        <w:pStyle w:val="BodyText"/>
      </w:pPr>
      <w:r>
        <w:t xml:space="preserve">Two weeks post go-live (Exception E4): the Distribution site — not Finance — regresses from Exploration back to Resistance after a data-quality incident disrupts a shipment run. Because the regression is confirmed as incident-linked, the response is localized: incident communication, supervisor acknowledgment, and targeted coaching for that site only. Distribution recovers by M10.</w:t>
      </w:r>
    </w:p>
    <w:p>
      <w:pPr>
        <w:pStyle w:val="BodyText"/>
      </w:pPr>
      <w:r>
        <w:t xml:space="preserve">Month 11 (Exception E5 — caught early): with go-live now three months behind the team and attention shifting to the next initiative, Reinforcement plateaus at 3.0 with no natural forcing deadline to push it further. The Change Manager flags the plateau explicitly rather than letting the project close on schedule with an unresolved gap, and reconvenes the Sponsor to re-authorize checkpoint cadence. Two consecutive healthy checkpoints later, at M12, Reinforcement reaches 4.0 and Refreeze is formally confirmed — by evidence, not the calendar.</w:t>
      </w:r>
    </w:p>
    <w:p>
      <w:pPr>
        <w:pStyle w:val="BodyText"/>
      </w:pPr>
      <w:r>
        <w:t xml:space="preserve">Note also the running E6 thread: Finance and Distribution are visibly in different places on all four frameworks from Month 6 onward. The blended Composite Readiness Index in Table 8.1 is a project-level average — in a live program, M4's disaggregated cohort view would show this spread explicitly at every go/no-go checkpoint, exactly as Section 7.3 and Exception E6 require.</w:t>
      </w:r>
    </w:p>
    <w:p>
      <w:pPr>
        <w:pStyle w:val="BodyText"/>
      </w:pPr>
      <w:r>
        <w:rPr>
          <w:bCs/>
          <w:b/>
          <w:color w:val="1F4B45"/>
          <w:sz w:val="34"/>
        </w:rPr>
        <w:t xml:space="preserve">9. Exception Playbook — Detailed SIPOC, Tasks, Steps &amp; RACSI</w:t>
      </w:r>
    </w:p>
    <w:p>
      <w:pPr>
        <w:pStyle w:val="BodyText"/>
      </w:pPr>
      <w:r>
        <w:t xml:space="preserve">Each exception below follows the same structure as the phase playbooks in Section 6: trigger and timeline impact, a full SIPOC, and every recovery Task broken into Steps with technique, goal, execution detail, recommended open-source tool, journi cross-references, and RACSI (multiple Responsible roles allowed, exactly one Accountable role).</w:t>
      </w:r>
    </w:p>
    <w:p>
      <w:pPr>
        <w:pStyle w:val="BodyText"/>
      </w:pPr>
      <w:r>
        <w:rPr>
          <w:bCs/>
          <w:b/>
          <w:color w:val="275650"/>
          <w:sz w:val="27"/>
        </w:rPr>
        <w:t xml:space="preserve">9.1 E1 — Desire Stall During Data Migration &amp; Integration</w:t>
      </w:r>
    </w:p>
    <w:p>
      <w:pPr>
        <w:pStyle w:val="BodyText"/>
      </w:pPr>
      <w:r>
        <w:rPr>
          <w:iCs/>
          <w:i/>
        </w:rPr>
        <w:t xml:space="preserve">Related to Phase 3</w:t>
      </w:r>
    </w:p>
    <w:tbl>
      <w:tblPr>
        <w:tblStyle w:val="Table"/>
        <w:tblW w:type="pct" w:w="4953"/>
        <w:tblLook w:firstRow="1" w:lastRow="0" w:firstColumn="0" w:lastColumn="0" w:noHBand="0" w:noVBand="0" w:val="0020"/>
        <w:jc w:val="start"/>
      </w:tblPr>
      <w:tblGrid>
        <w:gridCol w:w="669"/>
        <w:gridCol w:w="717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Trigger</w:t>
            </w:r>
          </w:p>
        </w:tc>
        <w:tc>
          <w:tcPr/>
          <w:p>
            <w:pPr>
              <w:pStyle w:val="Compact"/>
              <w:jc w:val="left"/>
            </w:pPr>
            <w:r>
              <w:t xml:space="preserve">ADKAR Desire score logged at 2 or below on M5, auto-escalating; barrier-reason notes cite low visibility into progress and/or unresolved fear.</w:t>
            </w:r>
          </w:p>
        </w:tc>
      </w:tr>
      <w:tr>
        <w:tc>
          <w:tcPr/>
          <w:p>
            <w:pPr>
              <w:pStyle w:val="Compact"/>
              <w:jc w:val="left"/>
            </w:pPr>
            <w:r>
              <w:t xml:space="preserve">Timeline Impact</w:t>
            </w:r>
          </w:p>
        </w:tc>
        <w:tc>
          <w:tcPr/>
          <w:p>
            <w:pPr>
              <w:pStyle w:val="Compact"/>
              <w:jc w:val="left"/>
            </w:pPr>
            <w:r>
              <w:t xml:space="preserve">Typically inserted as a 2–4 week parallel track within the Data Migration &amp; Integration window; a training or testing entry gate should not open for a cohort whose Desire remains escalated.</w:t>
            </w:r>
          </w:p>
        </w:tc>
      </w:tr>
    </w:tbl>
    <w:p>
      <w:pPr>
        <w:pStyle w:val="BodyText"/>
      </w:pPr>
      <w:r>
        <w:rPr>
          <w:iCs/>
          <w:i/>
        </w:rPr>
        <w:t xml:space="preserve">Trigger and timeline impact for E1.</w:t>
      </w:r>
    </w:p>
    <w:p>
      <w:pPr>
        <w:pStyle w:val="BodyText"/>
      </w:pPr>
      <w:r>
        <w:rPr>
          <w:bCs/>
          <w:b/>
        </w:rPr>
        <w:t xml:space="preserve">SIPOC</w:t>
      </w:r>
    </w:p>
    <w:tbl>
      <w:tblPr>
        <w:tblStyle w:val="Table"/>
        <w:tblW w:type="pct" w:w="4968"/>
        <w:tblLook w:firstRow="1" w:lastRow="0" w:firstColumn="0" w:lastColumn="0" w:noHBand="0" w:noVBand="0" w:val="0020"/>
        <w:jc w:val="start"/>
      </w:tblPr>
      <w:tblGrid>
        <w:gridCol w:w="1019"/>
        <w:gridCol w:w="1835"/>
        <w:gridCol w:w="1393"/>
        <w:gridCol w:w="2107"/>
        <w:gridCol w:w="151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Frontline Supervisors.</w:t>
            </w:r>
          </w:p>
        </w:tc>
        <w:tc>
          <w:tcPr/>
          <w:p>
            <w:pPr>
              <w:pStyle w:val="Compact"/>
              <w:jc w:val="left"/>
            </w:pPr>
            <w:r>
              <w:t xml:space="preserve">Escalated Desire score and barrier-reason note; Kübler-Ross re-pulse results; root-cause interview notes.</w:t>
            </w:r>
          </w:p>
        </w:tc>
        <w:tc>
          <w:tcPr/>
          <w:p>
            <w:pPr>
              <w:jc w:val="left"/>
            </w:pPr>
            <w:r>
              <w:t xml:space="preserve">1. Cluster barrier-reason notes by root cause</w:t>
            </w:r>
          </w:p>
          <w:p>
            <w:pPr>
              <w:jc w:val="left"/>
            </w:pPr>
            <w:r>
              <w:t xml:space="preserve">2. Run targeted listening sessions to validate the root cause</w:t>
            </w:r>
          </w:p>
          <w:p>
            <w:pPr>
              <w:jc w:val="left"/>
            </w:pPr>
            <w:r>
              <w:t xml:space="preserve">3. Design a specific, credible response to the concrete fear identified</w:t>
            </w:r>
          </w:p>
          <w:p>
            <w:pPr>
              <w:jc w:val="left"/>
            </w:pPr>
            <w:r>
              <w:t xml:space="preserve">4. Have the Sponsor deliver the response personally to the affected cohort</w:t>
            </w:r>
          </w:p>
          <w:p>
            <w:pPr>
              <w:jc w:val="left"/>
            </w:pPr>
            <w:r>
              <w:t xml:space="preserve">5. Re-score Desire and Kübler-Ross sentiment 2–4 weeks after the intervention</w:t>
            </w:r>
          </w:p>
        </w:tc>
        <w:tc>
          <w:tcPr/>
          <w:p>
            <w:pPr>
              <w:pStyle w:val="Compact"/>
              <w:jc w:val="left"/>
            </w:pPr>
            <w:r>
              <w:t xml:space="preserve">Root-cause clustering of the Desire stall; a specific, sponsor-delivered response; updated Desire and Kübler-Ross scores.</w:t>
            </w:r>
          </w:p>
        </w:tc>
        <w:tc>
          <w:tcPr/>
          <w:p>
            <w:pPr>
              <w:pStyle w:val="Compact"/>
              <w:jc w:val="left"/>
            </w:pPr>
            <w:r>
              <w:t xml:space="preserve">Change Manager (readiness index); Steering Committee (risk register); affected cohort.</w:t>
            </w:r>
          </w:p>
        </w:tc>
      </w:tr>
    </w:tbl>
    <w:p>
      <w:pPr>
        <w:pStyle w:val="BodyText"/>
      </w:pPr>
      <w:r>
        <w:rPr>
          <w:iCs/>
          <w:i/>
        </w:rPr>
        <w:t xml:space="preserve">SIPOC for E1 — Desire Stall During Data Migration &amp; Integration. The Process column lists this exception's five recovery Tasks in sequence.</w:t>
      </w:r>
    </w:p>
    <w:p>
      <w:pPr>
        <w:pStyle w:val="BodyText"/>
      </w:pPr>
      <w:r>
        <w:rPr>
          <w:bCs/>
          <w:b/>
        </w:rPr>
        <w:t xml:space="preserve">Tasks, Steps, Techniques &amp; RACSI</w:t>
      </w:r>
    </w:p>
    <w:p>
      <w:pPr>
        <w:pStyle w:val="BodyText"/>
      </w:pPr>
      <w:r>
        <w:rPr>
          <w:bCs/>
          <w:b/>
          <w:color w:val="3F827B"/>
          <w:sz w:val="24"/>
        </w:rPr>
        <w:t xml:space="preserve">Task 1 — [CHANGE] Cluster barrier-reason notes by root cause</w:t>
      </w:r>
    </w:p>
    <w:p>
      <w:pPr>
        <w:pStyle w:val="BodyText"/>
      </w:pPr>
      <w:r>
        <w:rPr>
          <w:bCs/>
          <w:b/>
        </w:rPr>
        <w:t xml:space="preserve">journi:</w:t>
      </w:r>
      <w:r>
        <w:t xml:space="preserve"> </w:t>
      </w:r>
      <w:r>
        <w:rPr>
          <w:iCs/>
          <w:i/>
        </w:rPr>
        <w:t xml:space="preserve">This is entered/updated in journi — M5.</w:t>
      </w:r>
    </w:p>
    <w:p>
      <w:pPr>
        <w:pStyle w:val="BodyText"/>
      </w:pPr>
      <w:r>
        <w:rPr>
          <w:bCs/>
          <w:b/>
          <w:color w:val="5A8F89"/>
          <w:sz w:val="22"/>
        </w:rPr>
        <w:t xml:space="preserve">Step 1 — Cluster the barrier reasons</w:t>
      </w:r>
    </w:p>
    <w:p>
      <w:pPr>
        <w:pStyle w:val="BodyText"/>
      </w:pPr>
      <w:r>
        <w:t xml:space="preserve">This is the same clustering discipline started proactively in Phase 3; here it is run with more time and focus, now that a genuine stall has been confirmed.</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542"/>
        <w:gridCol w:w="2777"/>
        <w:gridCol w:w="488"/>
        <w:gridCol w:w="771"/>
        <w:gridCol w:w="228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Frontline Supervisors.</w:t>
            </w:r>
          </w:p>
        </w:tc>
        <w:tc>
          <w:tcPr/>
          <w:p>
            <w:pPr>
              <w:pStyle w:val="Compact"/>
              <w:jc w:val="left"/>
            </w:pPr>
            <w:r>
              <w:t xml:space="preserve">Escalated Desire score and barrier-reason note; Kübler-Ross re-pulse results; root-cause interview notes.</w:t>
            </w:r>
          </w:p>
        </w:tc>
        <w:tc>
          <w:tcPr/>
          <w:p>
            <w:pPr>
              <w:pStyle w:val="Compact"/>
              <w:jc w:val="left"/>
            </w:pPr>
            <w:r>
              <w:t xml:space="preserve">Affinity mapping</w:t>
            </w:r>
          </w:p>
        </w:tc>
        <w:tc>
          <w:tcPr/>
          <w:p>
            <w:pPr>
              <w:pStyle w:val="Compact"/>
              <w:jc w:val="left"/>
            </w:pPr>
            <w:r>
              <w:t xml:space="preserve">Clustered root-cause themes</w:t>
            </w:r>
          </w:p>
        </w:tc>
        <w:tc>
          <w:tcPr/>
          <w:p>
            <w:pPr>
              <w:pStyle w:val="Compact"/>
              <w:jc w:val="left"/>
            </w:pPr>
            <w:r>
              <w:t xml:space="preserve">Change Manager (readiness index); Steering Committee (risk register); affected cohort.</w:t>
            </w:r>
          </w:p>
        </w:tc>
      </w:tr>
    </w:tbl>
    <w:p>
      <w:pPr>
        <w:pStyle w:val="BodyText"/>
      </w:pPr>
      <w:r>
        <w:rPr>
          <w:iCs/>
          <w:i/>
        </w:rPr>
        <w:t xml:space="preserve">Technique detail for this step.</w:t>
      </w:r>
    </w:p>
    <w:tbl>
      <w:tblPr>
        <w:tblStyle w:val="Table"/>
        <w:tblW w:type="pct" w:w="4925"/>
        <w:tblLook w:firstRow="1" w:lastRow="0" w:firstColumn="0" w:lastColumn="0" w:noHBand="0" w:noVBand="0" w:val="0020"/>
        <w:jc w:val="start"/>
      </w:tblPr>
      <w:tblGrid>
        <w:gridCol w:w="1846"/>
        <w:gridCol w:w="595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Affinity mapping</w:t>
            </w:r>
          </w:p>
        </w:tc>
      </w:tr>
      <w:tr>
        <w:tc>
          <w:tcPr/>
          <w:p>
            <w:pPr>
              <w:pStyle w:val="Compact"/>
              <w:jc w:val="left"/>
            </w:pPr>
            <w:r>
              <w:t xml:space="preserve">Technique Goal</w:t>
            </w:r>
          </w:p>
        </w:tc>
        <w:tc>
          <w:tcPr/>
          <w:p>
            <w:pPr>
              <w:pStyle w:val="Compact"/>
              <w:jc w:val="left"/>
            </w:pPr>
            <w:r>
              <w:t xml:space="preserve">Group barrier reasons into named root-cause themes.</w:t>
            </w:r>
          </w:p>
        </w:tc>
      </w:tr>
      <w:tr>
        <w:tc>
          <w:tcPr/>
          <w:p>
            <w:pPr>
              <w:pStyle w:val="Compact"/>
              <w:jc w:val="left"/>
            </w:pPr>
            <w:r>
              <w:t xml:space="preserve">Technique Details</w:t>
            </w:r>
          </w:p>
        </w:tc>
        <w:tc>
          <w:tcPr/>
          <w:p>
            <w:pPr>
              <w:pStyle w:val="Compact"/>
              <w:jc w:val="left"/>
            </w:pPr>
            <w:r>
              <w:t xml:space="preserve">Cluster every open barrier-reason note into 3–5 named themes on a shared board with the CM team.</w:t>
            </w:r>
          </w:p>
        </w:tc>
      </w:tr>
      <w:tr>
        <w:tc>
          <w:tcPr/>
          <w:p>
            <w:pPr>
              <w:pStyle w:val="Compact"/>
              <w:jc w:val="left"/>
            </w:pPr>
            <w:r>
              <w:t xml:space="preserve">Recommended Open-Source Tool</w:t>
            </w:r>
          </w:p>
        </w:tc>
        <w:tc>
          <w:tcPr/>
          <w:p>
            <w:pPr>
              <w:pStyle w:val="Compact"/>
              <w:jc w:val="left"/>
            </w:pPr>
            <w:r>
              <w:t xml:space="preserve">draw.io</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SUP</w:t>
            </w:r>
          </w:p>
        </w:tc>
        <w:tc>
          <w:tcPr/>
          <w:p>
            <w:pPr>
              <w:pStyle w:val="Compact"/>
              <w:jc w:val="left"/>
            </w:pPr>
            <w:r>
              <w:t xml:space="preserve">PM</w:t>
            </w:r>
          </w:p>
        </w:tc>
        <w:tc>
          <w:tcPr/>
          <w:p>
            <w:pPr>
              <w:pStyle w:val="Compact"/>
              <w:jc w:val="left"/>
            </w:pPr>
            <w:r>
              <w:t xml:space="preserve">ES, FPO, ITL, EU</w:t>
            </w:r>
          </w:p>
        </w:tc>
      </w:tr>
    </w:tbl>
    <w:p>
      <w:pPr>
        <w:pStyle w:val="BodyText"/>
      </w:pPr>
      <w:r>
        <w:rPr>
          <w:bCs/>
          <w:b/>
          <w:color w:val="3F827B"/>
          <w:sz w:val="24"/>
        </w:rPr>
        <w:t xml:space="preserve">Task 2 — [CHANGE] Run targeted listening sessions to validate the root cause</w:t>
      </w:r>
    </w:p>
    <w:p>
      <w:pPr>
        <w:pStyle w:val="BodyText"/>
      </w:pPr>
      <w:r>
        <w:rPr>
          <w:bCs/>
          <w:b/>
          <w:color w:val="5A8F89"/>
          <w:sz w:val="22"/>
        </w:rPr>
        <w:t xml:space="preserve">Step 1 — Validate the root cause with a focus group</w:t>
      </w:r>
    </w:p>
    <w:p>
      <w:pPr>
        <w:pStyle w:val="BodyText"/>
      </w:pPr>
      <w:r>
        <w:t xml:space="preserve">A clustering exercise done by the CM team alone is still a guess until it is checked against the actual people experiencing the concern.</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1600"/>
        <w:gridCol w:w="2880"/>
        <w:gridCol w:w="400"/>
        <w:gridCol w:w="613"/>
        <w:gridCol w:w="237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Frontline Supervisors.</w:t>
            </w:r>
          </w:p>
        </w:tc>
        <w:tc>
          <w:tcPr/>
          <w:p>
            <w:pPr>
              <w:pStyle w:val="Compact"/>
              <w:jc w:val="left"/>
            </w:pPr>
            <w:r>
              <w:t xml:space="preserve">Escalated Desire score and barrier-reason note; Kübler-Ross re-pulse results; root-cause interview notes.</w:t>
            </w:r>
          </w:p>
        </w:tc>
        <w:tc>
          <w:tcPr/>
          <w:p>
            <w:pPr>
              <w:pStyle w:val="Compact"/>
              <w:jc w:val="left"/>
            </w:pPr>
            <w:r>
              <w:t xml:space="preserve">Focus group</w:t>
            </w:r>
          </w:p>
        </w:tc>
        <w:tc>
          <w:tcPr/>
          <w:p>
            <w:pPr>
              <w:pStyle w:val="Compact"/>
              <w:jc w:val="left"/>
            </w:pPr>
            <w:r>
              <w:t xml:space="preserve">Validated root cause</w:t>
            </w:r>
          </w:p>
        </w:tc>
        <w:tc>
          <w:tcPr/>
          <w:p>
            <w:pPr>
              <w:pStyle w:val="Compact"/>
              <w:jc w:val="left"/>
            </w:pPr>
            <w:r>
              <w:t xml:space="preserve">Change Manager (readiness index); Steering Committee (risk register); affected cohort.</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73"/>
        <w:gridCol w:w="624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Focus group</w:t>
            </w:r>
          </w:p>
        </w:tc>
      </w:tr>
      <w:tr>
        <w:tc>
          <w:tcPr/>
          <w:p>
            <w:pPr>
              <w:pStyle w:val="Compact"/>
              <w:jc w:val="left"/>
            </w:pPr>
            <w:r>
              <w:t xml:space="preserve">Technique Goal</w:t>
            </w:r>
          </w:p>
        </w:tc>
        <w:tc>
          <w:tcPr/>
          <w:p>
            <w:pPr>
              <w:pStyle w:val="Compact"/>
              <w:jc w:val="left"/>
            </w:pPr>
            <w:r>
              <w:t xml:space="preserve">Validate the root cause directly with the affected cohort.</w:t>
            </w:r>
          </w:p>
        </w:tc>
      </w:tr>
      <w:tr>
        <w:tc>
          <w:tcPr/>
          <w:p>
            <w:pPr>
              <w:pStyle w:val="Compact"/>
              <w:jc w:val="left"/>
            </w:pPr>
            <w:r>
              <w:t xml:space="preserve">Technique Details</w:t>
            </w:r>
          </w:p>
        </w:tc>
        <w:tc>
          <w:tcPr/>
          <w:p>
            <w:pPr>
              <w:pStyle w:val="Compact"/>
              <w:jc w:val="left"/>
            </w:pPr>
            <w:r>
              <w:t xml:space="preserve">A 45-minute, psychologically safe focus group with 6–8 affected employees to confirm which root cause actually applies.</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PM</w:t>
            </w:r>
          </w:p>
        </w:tc>
        <w:tc>
          <w:tcPr/>
          <w:p>
            <w:pPr>
              <w:pStyle w:val="Compact"/>
              <w:jc w:val="left"/>
            </w:pPr>
            <w:r>
              <w:t xml:space="preserve">ES, ITL, EU</w:t>
            </w:r>
          </w:p>
        </w:tc>
      </w:tr>
    </w:tbl>
    <w:p>
      <w:pPr>
        <w:pStyle w:val="BodyText"/>
      </w:pPr>
      <w:r>
        <w:rPr>
          <w:bCs/>
          <w:b/>
          <w:color w:val="3F827B"/>
          <w:sz w:val="24"/>
        </w:rPr>
        <w:t xml:space="preserve">Task 3 — [CHANGE] Design a specific, credible response to the concrete fear identified</w:t>
      </w:r>
    </w:p>
    <w:p>
      <w:pPr>
        <w:pStyle w:val="BodyText"/>
      </w:pPr>
      <w:r>
        <w:rPr>
          <w:bCs/>
          <w:b/>
          <w:color w:val="5A8F89"/>
          <w:sz w:val="22"/>
        </w:rPr>
        <w:t xml:space="preserve">Step 1 — Map the root cause to a response</w:t>
      </w:r>
    </w:p>
    <w:p>
      <w:pPr>
        <w:pStyle w:val="BodyText"/>
      </w:pPr>
      <w:r>
        <w:t xml:space="preserve">A specific, checkable commitment addresses the fear directly; a general reassurance addresses nothing and is usually what causes a Desire stall to recur later.</w:t>
      </w:r>
    </w:p>
    <w:p>
      <w:pPr>
        <w:pStyle w:val="BodyText"/>
      </w:pPr>
      <w:r>
        <w:rPr>
          <w:iCs/>
          <w:i/>
        </w:rPr>
        <w:t xml:space="preserve">SIPOC for this step.</w:t>
      </w:r>
    </w:p>
    <w:tbl>
      <w:tblPr>
        <w:tblStyle w:val="Table"/>
        <w:tblW w:type="pct" w:w="4969"/>
        <w:tblLook w:firstRow="1" w:lastRow="0" w:firstColumn="0" w:lastColumn="0" w:noHBand="0" w:noVBand="0" w:val="0020"/>
        <w:jc w:val="start"/>
      </w:tblPr>
      <w:tblGrid>
        <w:gridCol w:w="1480"/>
        <w:gridCol w:w="2664"/>
        <w:gridCol w:w="814"/>
        <w:gridCol w:w="715"/>
        <w:gridCol w:w="219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Frontline Supervisors.</w:t>
            </w:r>
          </w:p>
        </w:tc>
        <w:tc>
          <w:tcPr/>
          <w:p>
            <w:pPr>
              <w:pStyle w:val="Compact"/>
              <w:jc w:val="left"/>
            </w:pPr>
            <w:r>
              <w:t xml:space="preserve">Escalated Desire score and barrier-reason note; Kübler-Ross re-pulse results; root-cause interview notes.</w:t>
            </w:r>
          </w:p>
        </w:tc>
        <w:tc>
          <w:tcPr/>
          <w:p>
            <w:pPr>
              <w:pStyle w:val="Compact"/>
              <w:jc w:val="left"/>
            </w:pPr>
            <w:r>
              <w:t xml:space="preserve">Root-cause-to-response mapping</w:t>
            </w:r>
          </w:p>
        </w:tc>
        <w:tc>
          <w:tcPr/>
          <w:p>
            <w:pPr>
              <w:pStyle w:val="Compact"/>
              <w:jc w:val="left"/>
            </w:pPr>
            <w:r>
              <w:t xml:space="preserve">Drafted, specific response</w:t>
            </w:r>
          </w:p>
        </w:tc>
        <w:tc>
          <w:tcPr/>
          <w:p>
            <w:pPr>
              <w:pStyle w:val="Compact"/>
              <w:jc w:val="left"/>
            </w:pPr>
            <w:r>
              <w:t xml:space="preserve">Change Manager (readiness index); Steering Committee (risk register); affected cohort.</w:t>
            </w:r>
          </w:p>
        </w:tc>
      </w:tr>
    </w:tbl>
    <w:p>
      <w:pPr>
        <w:pStyle w:val="BodyText"/>
      </w:pPr>
      <w:r>
        <w:rPr>
          <w:iCs/>
          <w:i/>
        </w:rPr>
        <w:t xml:space="preserve">Technique detail for this step.</w:t>
      </w:r>
    </w:p>
    <w:tbl>
      <w:tblPr>
        <w:tblStyle w:val="Table"/>
        <w:tblW w:type="pct" w:w="4942"/>
        <w:tblLook w:firstRow="1" w:lastRow="0" w:firstColumn="0" w:lastColumn="0" w:noHBand="0" w:noVBand="0" w:val="0020"/>
        <w:jc w:val="start"/>
      </w:tblPr>
      <w:tblGrid>
        <w:gridCol w:w="1419"/>
        <w:gridCol w:w="640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Root-cause-to-response mapping</w:t>
            </w:r>
          </w:p>
        </w:tc>
      </w:tr>
      <w:tr>
        <w:tc>
          <w:tcPr/>
          <w:p>
            <w:pPr>
              <w:pStyle w:val="Compact"/>
              <w:jc w:val="left"/>
            </w:pPr>
            <w:r>
              <w:t xml:space="preserve">Technique Goal</w:t>
            </w:r>
          </w:p>
        </w:tc>
        <w:tc>
          <w:tcPr/>
          <w:p>
            <w:pPr>
              <w:pStyle w:val="Compact"/>
              <w:jc w:val="left"/>
            </w:pPr>
            <w:r>
              <w:t xml:space="preserve">Match a credible action to the exact fear identified.</w:t>
            </w:r>
          </w:p>
        </w:tc>
      </w:tr>
      <w:tr>
        <w:tc>
          <w:tcPr/>
          <w:p>
            <w:pPr>
              <w:pStyle w:val="Compact"/>
              <w:jc w:val="left"/>
            </w:pPr>
            <w:r>
              <w:t xml:space="preserve">Technique Details</w:t>
            </w:r>
          </w:p>
        </w:tc>
        <w:tc>
          <w:tcPr/>
          <w:p>
            <w:pPr>
              <w:pStyle w:val="Compact"/>
              <w:jc w:val="left"/>
            </w:pPr>
            <w:r>
              <w:t xml:space="preserve">Map the validated root cause to a specific, checkable commitment (e.g. a named redeployment guarantee) rather than a general reassurance.</w:t>
            </w:r>
          </w:p>
        </w:tc>
      </w:tr>
      <w:tr>
        <w:tc>
          <w:tcPr/>
          <w:p>
            <w:pPr>
              <w:pStyle w:val="Compact"/>
              <w:jc w:val="left"/>
            </w:pPr>
            <w:r>
              <w:t xml:space="preserve">Recommended Open-Source Tool</w:t>
            </w:r>
          </w:p>
        </w:tc>
        <w:tc>
          <w:tcPr/>
          <w:p>
            <w:pPr>
              <w:pStyle w:val="Compact"/>
              <w:jc w:val="left"/>
            </w:pPr>
            <w:r>
              <w:t xml:space="preserve">OpenProject (decision log)</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ES</w:t>
            </w:r>
          </w:p>
        </w:tc>
        <w:tc>
          <w:tcPr/>
          <w:p>
            <w:pPr>
              <w:pStyle w:val="Compact"/>
              <w:jc w:val="left"/>
            </w:pPr>
            <w:r>
              <w:t xml:space="preserve">FPO, PM</w:t>
            </w:r>
          </w:p>
        </w:tc>
        <w:tc>
          <w:tcPr/>
          <w:p>
            <w:pPr>
              <w:pStyle w:val="Compact"/>
              <w:jc w:val="left"/>
            </w:pPr>
            <w:r>
              <w:t xml:space="preserve">ITL</w:t>
            </w:r>
          </w:p>
        </w:tc>
        <w:tc>
          <w:tcPr/>
          <w:p>
            <w:pPr>
              <w:pStyle w:val="Compact"/>
              <w:jc w:val="left"/>
            </w:pPr>
            <w:r>
              <w:t xml:space="preserve">SUP, EU</w:t>
            </w:r>
          </w:p>
        </w:tc>
      </w:tr>
    </w:tbl>
    <w:p>
      <w:pPr>
        <w:pStyle w:val="BodyText"/>
      </w:pPr>
      <w:r>
        <w:rPr>
          <w:bCs/>
          <w:b/>
          <w:color w:val="3F827B"/>
          <w:sz w:val="24"/>
        </w:rPr>
        <w:t xml:space="preserve">Task 4 — [CHANGE] Have the Sponsor deliver the response personally to the affected cohort</w:t>
      </w:r>
    </w:p>
    <w:p>
      <w:pPr>
        <w:pStyle w:val="BodyText"/>
      </w:pPr>
      <w:r>
        <w:rPr>
          <w:bCs/>
          <w:b/>
          <w:color w:val="5A8F89"/>
          <w:sz w:val="22"/>
        </w:rPr>
        <w:t xml:space="preserve">Step 1 — Deliver the response as sponsor</w:t>
      </w:r>
    </w:p>
    <w:p>
      <w:pPr>
        <w:pStyle w:val="BodyText"/>
      </w:pPr>
      <w:r>
        <w:t xml:space="preserve">The same commitment lands differently depending on who says it; hearing it directly from the Sponsor, live, with room for questions, is what makes it credible.</w:t>
      </w:r>
    </w:p>
    <w:p>
      <w:pPr>
        <w:pStyle w:val="BodyText"/>
      </w:pPr>
      <w:r>
        <w:rPr>
          <w:iCs/>
          <w:i/>
        </w:rPr>
        <w:t xml:space="preserve">SIPOC for this step.</w:t>
      </w:r>
    </w:p>
    <w:tbl>
      <w:tblPr>
        <w:tblStyle w:val="Table"/>
        <w:tblW w:type="pct" w:w="4969"/>
        <w:tblLook w:firstRow="1" w:lastRow="0" w:firstColumn="0" w:lastColumn="0" w:noHBand="0" w:noVBand="0" w:val="0020"/>
        <w:jc w:val="start"/>
      </w:tblPr>
      <w:tblGrid>
        <w:gridCol w:w="1466"/>
        <w:gridCol w:w="2640"/>
        <w:gridCol w:w="757"/>
        <w:gridCol w:w="831"/>
        <w:gridCol w:w="217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Frontline Supervisors.</w:t>
            </w:r>
          </w:p>
        </w:tc>
        <w:tc>
          <w:tcPr/>
          <w:p>
            <w:pPr>
              <w:pStyle w:val="Compact"/>
              <w:jc w:val="left"/>
            </w:pPr>
            <w:r>
              <w:t xml:space="preserve">Escalated Desire score and barrier-reason note; Kübler-Ross re-pulse results; root-cause interview notes.</w:t>
            </w:r>
          </w:p>
        </w:tc>
        <w:tc>
          <w:tcPr/>
          <w:p>
            <w:pPr>
              <w:pStyle w:val="Compact"/>
              <w:jc w:val="left"/>
            </w:pPr>
            <w:r>
              <w:t xml:space="preserve">Direct sponsor communication</w:t>
            </w:r>
          </w:p>
        </w:tc>
        <w:tc>
          <w:tcPr/>
          <w:p>
            <w:pPr>
              <w:pStyle w:val="Compact"/>
              <w:jc w:val="left"/>
            </w:pPr>
            <w:r>
              <w:t xml:space="preserve">Delivered sponsor communication</w:t>
            </w:r>
          </w:p>
        </w:tc>
        <w:tc>
          <w:tcPr/>
          <w:p>
            <w:pPr>
              <w:pStyle w:val="Compact"/>
              <w:jc w:val="left"/>
            </w:pPr>
            <w:r>
              <w:t xml:space="preserve">Change Manager (readiness index); Steering Committee (risk register); affected cohort.</w:t>
            </w:r>
          </w:p>
        </w:tc>
      </w:tr>
    </w:tbl>
    <w:p>
      <w:pPr>
        <w:pStyle w:val="BodyText"/>
      </w:pPr>
      <w:r>
        <w:rPr>
          <w:iCs/>
          <w:i/>
        </w:rPr>
        <w:t xml:space="preserve">Technique detail for this step.</w:t>
      </w:r>
    </w:p>
    <w:tbl>
      <w:tblPr>
        <w:tblStyle w:val="Table"/>
        <w:tblW w:type="pct" w:w="4931"/>
        <w:tblLook w:firstRow="1" w:lastRow="0" w:firstColumn="0" w:lastColumn="0" w:noHBand="0" w:noVBand="0" w:val="0020"/>
        <w:jc w:val="start"/>
      </w:tblPr>
      <w:tblGrid>
        <w:gridCol w:w="1705"/>
        <w:gridCol w:w="610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Direct sponsor communication</w:t>
            </w:r>
          </w:p>
        </w:tc>
      </w:tr>
      <w:tr>
        <w:tc>
          <w:tcPr/>
          <w:p>
            <w:pPr>
              <w:pStyle w:val="Compact"/>
              <w:jc w:val="left"/>
            </w:pPr>
            <w:r>
              <w:t xml:space="preserve">Technique Goal</w:t>
            </w:r>
          </w:p>
        </w:tc>
        <w:tc>
          <w:tcPr/>
          <w:p>
            <w:pPr>
              <w:pStyle w:val="Compact"/>
              <w:jc w:val="left"/>
            </w:pPr>
            <w:r>
              <w:t xml:space="preserve">Increase credibility of the response via visible seniority.</w:t>
            </w:r>
          </w:p>
        </w:tc>
      </w:tr>
      <w:tr>
        <w:tc>
          <w:tcPr/>
          <w:p>
            <w:pPr>
              <w:pStyle w:val="Compact"/>
              <w:jc w:val="left"/>
            </w:pPr>
            <w:r>
              <w:t xml:space="preserve">Technique Details</w:t>
            </w:r>
          </w:p>
        </w:tc>
        <w:tc>
          <w:tcPr/>
          <w:p>
            <w:pPr>
              <w:pStyle w:val="Compact"/>
              <w:jc w:val="left"/>
            </w:pPr>
            <w:r>
              <w:t xml:space="preserve">The Sponsor personally delivers the specific response to the affected cohort, live, with time for questions.</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ES</w:t>
            </w:r>
          </w:p>
        </w:tc>
        <w:tc>
          <w:tcPr/>
          <w:p>
            <w:pPr>
              <w:pStyle w:val="Compact"/>
              <w:jc w:val="left"/>
            </w:pPr>
            <w:r>
              <w:t xml:space="preserve">ES</w:t>
            </w:r>
          </w:p>
        </w:tc>
        <w:tc>
          <w:tcPr/>
          <w:p>
            <w:pPr>
              <w:pStyle w:val="Compact"/>
              <w:jc w:val="left"/>
            </w:pPr>
            <w:r>
              <w:t xml:space="preserve">CM</w:t>
            </w:r>
          </w:p>
        </w:tc>
        <w:tc>
          <w:tcPr/>
          <w:p>
            <w:pPr>
              <w:pStyle w:val="Compact"/>
              <w:jc w:val="left"/>
            </w:pPr>
            <w:r>
              <w:t xml:space="preserve">SUP</w:t>
            </w:r>
          </w:p>
        </w:tc>
        <w:tc>
          <w:tcPr/>
          <w:p>
            <w:pPr>
              <w:pStyle w:val="Compact"/>
              <w:jc w:val="left"/>
            </w:pPr>
            <w:r>
              <w:t xml:space="preserve">PM, FPO, ITL, EU</w:t>
            </w:r>
          </w:p>
        </w:tc>
      </w:tr>
    </w:tbl>
    <w:p>
      <w:pPr>
        <w:pStyle w:val="BodyText"/>
      </w:pPr>
      <w:r>
        <w:rPr>
          <w:bCs/>
          <w:b/>
          <w:color w:val="3F827B"/>
          <w:sz w:val="24"/>
        </w:rPr>
        <w:t xml:space="preserve">Task 5 — [CHANGE] Re-score Desire and Kübler-Ross sentiment 2–4 weeks after the intervention</w:t>
      </w:r>
    </w:p>
    <w:p>
      <w:pPr>
        <w:pStyle w:val="BodyText"/>
      </w:pPr>
      <w:r>
        <w:rPr>
          <w:bCs/>
          <w:b/>
        </w:rPr>
        <w:t xml:space="preserve">journi:</w:t>
      </w:r>
      <w:r>
        <w:t xml:space="preserve"> </w:t>
      </w:r>
      <w:r>
        <w:rPr>
          <w:iCs/>
          <w:i/>
        </w:rPr>
        <w:t xml:space="preserve">This is entered/updated in journi — M5–M6.</w:t>
      </w:r>
    </w:p>
    <w:p>
      <w:pPr>
        <w:pStyle w:val="BodyText"/>
      </w:pPr>
      <w:r>
        <w:rPr>
          <w:bCs/>
          <w:b/>
          <w:color w:val="5A8F89"/>
          <w:sz w:val="22"/>
        </w:rPr>
        <w:t xml:space="preserve">Step 1 — Re-score after the intervention</w:t>
      </w:r>
    </w:p>
    <w:p>
      <w:pPr>
        <w:pStyle w:val="BodyText"/>
      </w:pPr>
      <w:r>
        <w:t xml:space="preserve">Waiting 2–4 weeks, rather than checking immediately, gives the sponsor's commitment time to be tested against reality before the score is taken as confirmed.</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503"/>
        <w:gridCol w:w="2706"/>
        <w:gridCol w:w="651"/>
        <w:gridCol w:w="776"/>
        <w:gridCol w:w="223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Frontline Supervisors.</w:t>
            </w:r>
          </w:p>
        </w:tc>
        <w:tc>
          <w:tcPr/>
          <w:p>
            <w:pPr>
              <w:pStyle w:val="Compact"/>
              <w:jc w:val="left"/>
            </w:pPr>
            <w:r>
              <w:t xml:space="preserve">Escalated Desire score and barrier-reason note; Kübler-Ross re-pulse results; root-cause interview notes.</w:t>
            </w:r>
          </w:p>
        </w:tc>
        <w:tc>
          <w:tcPr/>
          <w:p>
            <w:pPr>
              <w:pStyle w:val="Compact"/>
              <w:jc w:val="left"/>
            </w:pPr>
            <w:r>
              <w:t xml:space="preserve">Pulse survey (re-score)</w:t>
            </w:r>
          </w:p>
        </w:tc>
        <w:tc>
          <w:tcPr/>
          <w:p>
            <w:pPr>
              <w:pStyle w:val="Compact"/>
              <w:jc w:val="left"/>
            </w:pPr>
            <w:r>
              <w:t xml:space="preserve">Re-scored Desire / sentiment</w:t>
            </w:r>
          </w:p>
        </w:tc>
        <w:tc>
          <w:tcPr/>
          <w:p>
            <w:pPr>
              <w:pStyle w:val="Compact"/>
              <w:jc w:val="left"/>
            </w:pPr>
            <w:r>
              <w:t xml:space="preserve">Change Manager (readiness index); Steering Committee (risk register); affected cohort.</w:t>
            </w:r>
          </w:p>
        </w:tc>
      </w:tr>
    </w:tbl>
    <w:p>
      <w:pPr>
        <w:pStyle w:val="BodyText"/>
      </w:pPr>
      <w:r>
        <w:rPr>
          <w:iCs/>
          <w:i/>
        </w:rPr>
        <w:t xml:space="preserve">Technique detail for this step.</w:t>
      </w:r>
    </w:p>
    <w:tbl>
      <w:tblPr>
        <w:tblStyle w:val="Table"/>
        <w:tblW w:type="pct" w:w="4931"/>
        <w:tblLook w:firstRow="1" w:lastRow="0" w:firstColumn="0" w:lastColumn="0" w:noHBand="0" w:noVBand="0" w:val="0020"/>
        <w:jc w:val="start"/>
      </w:tblPr>
      <w:tblGrid>
        <w:gridCol w:w="1693"/>
        <w:gridCol w:w="611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Pulse survey (re-score)</w:t>
            </w:r>
          </w:p>
        </w:tc>
      </w:tr>
      <w:tr>
        <w:tc>
          <w:tcPr/>
          <w:p>
            <w:pPr>
              <w:pStyle w:val="Compact"/>
              <w:jc w:val="left"/>
            </w:pPr>
            <w:r>
              <w:t xml:space="preserve">Technique Goal</w:t>
            </w:r>
          </w:p>
        </w:tc>
        <w:tc>
          <w:tcPr/>
          <w:p>
            <w:pPr>
              <w:pStyle w:val="Compact"/>
              <w:jc w:val="left"/>
            </w:pPr>
            <w:r>
              <w:t xml:space="preserve">Confirm the intervention moved the score.</w:t>
            </w:r>
          </w:p>
        </w:tc>
      </w:tr>
      <w:tr>
        <w:tc>
          <w:tcPr/>
          <w:p>
            <w:pPr>
              <w:pStyle w:val="Compact"/>
              <w:jc w:val="left"/>
            </w:pPr>
            <w:r>
              <w:t xml:space="preserve">Technique Details</w:t>
            </w:r>
          </w:p>
        </w:tc>
        <w:tc>
          <w:tcPr/>
          <w:p>
            <w:pPr>
              <w:pStyle w:val="Compact"/>
              <w:jc w:val="left"/>
            </w:pPr>
            <w:r>
              <w:t xml:space="preserve">Re-issue a short Desire/Kübler-Ross instrument to the same cohort 2–4 weeks after the sponsor communication.</w:t>
            </w:r>
          </w:p>
        </w:tc>
      </w:tr>
      <w:tr>
        <w:tc>
          <w:tcPr/>
          <w:p>
            <w:pPr>
              <w:pStyle w:val="Compact"/>
              <w:jc w:val="left"/>
            </w:pPr>
            <w:r>
              <w:t xml:space="preserve">Recommended Open-Source Tool</w:t>
            </w:r>
          </w:p>
        </w:tc>
        <w:tc>
          <w:tcPr/>
          <w:p>
            <w:pPr>
              <w:pStyle w:val="Compact"/>
              <w:jc w:val="left"/>
            </w:pPr>
            <w:r>
              <w:t xml:space="preserve">LimeSurvey</w:t>
            </w:r>
          </w:p>
        </w:tc>
      </w:tr>
    </w:tbl>
    <w:p>
      <w:pPr>
        <w:pStyle w:val="BodyText"/>
      </w:pPr>
      <w:r>
        <w:rPr>
          <w:bCs/>
          <w:b/>
        </w:rPr>
        <w:t xml:space="preserve">journi:</w:t>
      </w:r>
      <w:r>
        <w:t xml:space="preserve"> </w:t>
      </w:r>
      <w:r>
        <w:rPr>
          <w:iCs/>
          <w:i/>
        </w:rPr>
        <w:t xml:space="preserve">This is entered/updated in journi — M5–M6.</w:t>
      </w:r>
    </w:p>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EU</w:t>
            </w:r>
          </w:p>
        </w:tc>
        <w:tc>
          <w:tcPr/>
          <w:p>
            <w:pPr>
              <w:pStyle w:val="Compact"/>
              <w:jc w:val="left"/>
            </w:pPr>
            <w:r>
              <w:t xml:space="preserve">CM</w:t>
            </w:r>
          </w:p>
        </w:tc>
        <w:tc>
          <w:tcPr/>
          <w:p>
            <w:pPr>
              <w:pStyle w:val="Compact"/>
              <w:jc w:val="left"/>
            </w:pPr>
            <w:r>
              <w:t xml:space="preserve">SUP</w:t>
            </w:r>
          </w:p>
        </w:tc>
        <w:tc>
          <w:tcPr/>
          <w:p>
            <w:pPr>
              <w:pStyle w:val="Compact"/>
              <w:jc w:val="left"/>
            </w:pPr>
            <w:r>
              <w:t xml:space="preserve">FPO</w:t>
            </w:r>
          </w:p>
        </w:tc>
        <w:tc>
          <w:tcPr/>
          <w:p>
            <w:pPr>
              <w:pStyle w:val="Compact"/>
              <w:jc w:val="left"/>
            </w:pPr>
            <w:r>
              <w:t xml:space="preserve">ES, PM, ITL</w:t>
            </w:r>
          </w:p>
        </w:tc>
      </w:tr>
    </w:tbl>
    <w:p>
      <w:pPr>
        <w:pStyle w:val="BodyText"/>
      </w:pPr>
      <w:r>
        <w:rPr>
          <w:bCs/>
          <w:b/>
          <w:color w:val="275650"/>
          <w:sz w:val="27"/>
        </w:rPr>
        <w:t xml:space="preserve">9.2 E2 — Divergence Pattern Detected During Testing / Training</w:t>
      </w:r>
    </w:p>
    <w:p>
      <w:pPr>
        <w:pStyle w:val="BodyText"/>
      </w:pPr>
      <w:r>
        <w:rPr>
          <w:iCs/>
          <w:i/>
        </w:rPr>
        <w:t xml:space="preserve">Related to Phases 4–5</w:t>
      </w:r>
    </w:p>
    <w:tbl>
      <w:tblPr>
        <w:tblStyle w:val="Table"/>
        <w:tblW w:type="pct" w:w="4944"/>
        <w:tblLook w:firstRow="1" w:lastRow="0" w:firstColumn="0" w:lastColumn="0" w:noHBand="0" w:noVBand="0" w:val="0020"/>
        <w:jc w:val="start"/>
      </w:tblPr>
      <w:tblGrid>
        <w:gridCol w:w="796"/>
        <w:gridCol w:w="703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Trigger</w:t>
            </w:r>
          </w:p>
        </w:tc>
        <w:tc>
          <w:tcPr/>
          <w:p>
            <w:pPr>
              <w:pStyle w:val="Compact"/>
              <w:jc w:val="left"/>
            </w:pPr>
            <w:r>
              <w:t xml:space="preserve">Knowledge ≥ 3 and Ability ≥ 3 while Bridges reads exactly</w:t>
            </w:r>
            <w:r>
              <w:t xml:space="preserve"> </w:t>
            </w:r>
            <w:r>
              <w:t xml:space="preserve">“</w:t>
            </w:r>
            <w:r>
              <w:t xml:space="preserve">Ending</w:t>
            </w:r>
            <w:r>
              <w:t xml:space="preserve">”</w:t>
            </w:r>
            <w:r>
              <w:t xml:space="preserve"> </w:t>
            </w:r>
            <w:r>
              <w:t xml:space="preserve">for the same individual or cohort.</w:t>
            </w:r>
          </w:p>
        </w:tc>
      </w:tr>
      <w:tr>
        <w:tc>
          <w:tcPr/>
          <w:p>
            <w:pPr>
              <w:pStyle w:val="Compact"/>
              <w:jc w:val="left"/>
            </w:pPr>
            <w:r>
              <w:t xml:space="preserve">Timeline Impact</w:t>
            </w:r>
          </w:p>
        </w:tc>
        <w:tc>
          <w:tcPr/>
          <w:p>
            <w:pPr>
              <w:pStyle w:val="Compact"/>
              <w:jc w:val="left"/>
            </w:pPr>
            <w:r>
              <w:t xml:space="preserve">A targeted, individual/cohort-level intervention alongside Training; flagged individuals should not count toward</w:t>
            </w:r>
            <w:r>
              <w:t xml:space="preserve"> </w:t>
            </w:r>
            <w:r>
              <w:t xml:space="preserve">“</w:t>
            </w:r>
            <w:r>
              <w:t xml:space="preserve">readiness</w:t>
            </w:r>
            <w:r>
              <w:t xml:space="preserve">”</w:t>
            </w:r>
            <w:r>
              <w:t xml:space="preserve"> </w:t>
            </w:r>
            <w:r>
              <w:t xml:space="preserve">until Bridges moves off Ending.</w:t>
            </w:r>
          </w:p>
        </w:tc>
      </w:tr>
    </w:tbl>
    <w:p>
      <w:pPr>
        <w:pStyle w:val="BodyText"/>
      </w:pPr>
      <w:r>
        <w:rPr>
          <w:iCs/>
          <w:i/>
        </w:rPr>
        <w:t xml:space="preserve">Trigger and timeline impact for E2.</w:t>
      </w:r>
    </w:p>
    <w:p>
      <w:pPr>
        <w:pStyle w:val="BodyText"/>
      </w:pPr>
      <w:r>
        <w:rPr>
          <w:bCs/>
          <w:b/>
        </w:rPr>
        <w:t xml:space="preserve">SIPOC</w:t>
      </w:r>
    </w:p>
    <w:tbl>
      <w:tblPr>
        <w:tblStyle w:val="Table"/>
        <w:tblW w:type="pct" w:w="4970"/>
        <w:tblLook w:firstRow="1" w:lastRow="0" w:firstColumn="0" w:lastColumn="0" w:noHBand="0" w:noVBand="0" w:val="0020"/>
        <w:jc w:val="start"/>
      </w:tblPr>
      <w:tblGrid>
        <w:gridCol w:w="1558"/>
        <w:gridCol w:w="1783"/>
        <w:gridCol w:w="1253"/>
        <w:gridCol w:w="1831"/>
        <w:gridCol w:w="144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Frontline Supervisor; HR Business Partner (if identity/role concerns surface).</w:t>
            </w:r>
          </w:p>
        </w:tc>
        <w:tc>
          <w:tcPr/>
          <w:p>
            <w:pPr>
              <w:pStyle w:val="Compact"/>
              <w:jc w:val="left"/>
            </w:pPr>
            <w:r>
              <w:t xml:space="preserve">Divergence Pattern Detector alert; individual/cohort ADKAR and Bridges scores; supervisor observation notes.</w:t>
            </w:r>
          </w:p>
        </w:tc>
        <w:tc>
          <w:tcPr/>
          <w:p>
            <w:pPr>
              <w:jc w:val="left"/>
            </w:pPr>
            <w:r>
              <w:t xml:space="preserve">1. Review the alert and confirm it against supervisor observation</w:t>
            </w:r>
          </w:p>
          <w:p>
            <w:pPr>
              <w:jc w:val="left"/>
            </w:pPr>
            <w:r>
              <w:t xml:space="preserve">2. Hold a 1:1 focused explicitly on what is being let go of, not on skills</w:t>
            </w:r>
          </w:p>
          <w:p>
            <w:pPr>
              <w:jc w:val="left"/>
            </w:pPr>
            <w:r>
              <w:t xml:space="preserve">3. Distinguish a genuine identity/loss concern from simple reluctance</w:t>
            </w:r>
          </w:p>
          <w:p>
            <w:pPr>
              <w:jc w:val="left"/>
            </w:pPr>
            <w:r>
              <w:t xml:space="preserve">4. Provide an explicit closure moment if a genuine loss is identified</w:t>
            </w:r>
          </w:p>
          <w:p>
            <w:pPr>
              <w:jc w:val="left"/>
            </w:pPr>
            <w:r>
              <w:t xml:space="preserve">5. Re-check the Bridges reading only, at the next scheduled pulse</w:t>
            </w:r>
          </w:p>
        </w:tc>
        <w:tc>
          <w:tcPr/>
          <w:p>
            <w:pPr>
              <w:pStyle w:val="Compact"/>
              <w:jc w:val="left"/>
            </w:pPr>
            <w:r>
              <w:t xml:space="preserve">Confirmed or dismissed divergence case; documented identity/loss concern (if genuine); updated Bridges reading.</w:t>
            </w:r>
          </w:p>
        </w:tc>
        <w:tc>
          <w:tcPr/>
          <w:p>
            <w:pPr>
              <w:pStyle w:val="Compact"/>
              <w:jc w:val="left"/>
            </w:pPr>
            <w:r>
              <w:t xml:space="preserve">Change Manager (Divergence Pattern log); Steering Committee (regression risk register).</w:t>
            </w:r>
          </w:p>
        </w:tc>
      </w:tr>
    </w:tbl>
    <w:p>
      <w:pPr>
        <w:pStyle w:val="BodyText"/>
      </w:pPr>
      <w:r>
        <w:rPr>
          <w:iCs/>
          <w:i/>
        </w:rPr>
        <w:t xml:space="preserve">SIPOC for E2 — Divergence Pattern Detected During Testing / Training. The Process column lists this exception's five recovery Tasks in sequence.</w:t>
      </w:r>
    </w:p>
    <w:p>
      <w:pPr>
        <w:pStyle w:val="BodyText"/>
      </w:pPr>
      <w:r>
        <w:rPr>
          <w:bCs/>
          <w:b/>
        </w:rPr>
        <w:t xml:space="preserve">Tasks, Steps, Techniques &amp; RACSI</w:t>
      </w:r>
    </w:p>
    <w:p>
      <w:pPr>
        <w:pStyle w:val="BodyText"/>
      </w:pPr>
      <w:r>
        <w:rPr>
          <w:bCs/>
          <w:b/>
          <w:color w:val="3F827B"/>
          <w:sz w:val="24"/>
        </w:rPr>
        <w:t xml:space="preserve">Task 1 — [CHANGE] Review the alert and confirm it against supervisor observation</w:t>
      </w:r>
    </w:p>
    <w:p>
      <w:pPr>
        <w:pStyle w:val="BodyText"/>
      </w:pPr>
      <w:r>
        <w:rPr>
          <w:bCs/>
          <w:b/>
        </w:rPr>
        <w:t xml:space="preserve">journi:</w:t>
      </w:r>
      <w:r>
        <w:t xml:space="preserve"> </w:t>
      </w:r>
      <w:r>
        <w:rPr>
          <w:iCs/>
          <w:i/>
        </w:rPr>
        <w:t xml:space="preserve">This is entered/updated in journi — M6.</w:t>
      </w:r>
    </w:p>
    <w:p>
      <w:pPr>
        <w:pStyle w:val="BodyText"/>
      </w:pPr>
      <w:r>
        <w:rPr>
          <w:bCs/>
          <w:b/>
          <w:color w:val="5A8F89"/>
          <w:sz w:val="22"/>
        </w:rPr>
        <w:t xml:space="preserve">Step 1 — Triage the automated alert</w:t>
      </w:r>
    </w:p>
    <w:p>
      <w:pPr>
        <w:pStyle w:val="BodyText"/>
      </w:pPr>
      <w:r>
        <w:t xml:space="preserve">An automated boolean alert tells you a pattern is possible, not that it is real for this specific person; a supervisor's own observation is the first sanity check.</w:t>
      </w:r>
    </w:p>
    <w:p>
      <w:pPr>
        <w:pStyle w:val="BodyText"/>
      </w:pPr>
      <w:r>
        <w:rPr>
          <w:iCs/>
          <w:i/>
        </w:rPr>
        <w:t xml:space="preserve">SIPOC for this step.</w:t>
      </w:r>
    </w:p>
    <w:tbl>
      <w:tblPr>
        <w:tblStyle w:val="Table"/>
        <w:tblW w:type="pct" w:w="4970"/>
        <w:tblLook w:firstRow="1" w:lastRow="0" w:firstColumn="0" w:lastColumn="0" w:noHBand="0" w:noVBand="0" w:val="0020"/>
        <w:jc w:val="start"/>
      </w:tblPr>
      <w:tblGrid>
        <w:gridCol w:w="2286"/>
        <w:gridCol w:w="2616"/>
        <w:gridCol w:w="353"/>
        <w:gridCol w:w="495"/>
        <w:gridCol w:w="212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Frontline Supervisor; HR Business Partner (if identity/role concerns surface).</w:t>
            </w:r>
          </w:p>
        </w:tc>
        <w:tc>
          <w:tcPr/>
          <w:p>
            <w:pPr>
              <w:pStyle w:val="Compact"/>
              <w:jc w:val="left"/>
            </w:pPr>
            <w:r>
              <w:t xml:space="preserve">Divergence Pattern Detector alert; individual/cohort ADKAR and Bridges scores; supervisor observation notes.</w:t>
            </w:r>
          </w:p>
        </w:tc>
        <w:tc>
          <w:tcPr/>
          <w:p>
            <w:pPr>
              <w:pStyle w:val="Compact"/>
              <w:jc w:val="left"/>
            </w:pPr>
            <w:r>
              <w:t xml:space="preserve">Alert triage</w:t>
            </w:r>
          </w:p>
        </w:tc>
        <w:tc>
          <w:tcPr/>
          <w:p>
            <w:pPr>
              <w:pStyle w:val="Compact"/>
              <w:jc w:val="left"/>
            </w:pPr>
            <w:r>
              <w:t xml:space="preserve">Triaged alert list</w:t>
            </w:r>
          </w:p>
        </w:tc>
        <w:tc>
          <w:tcPr/>
          <w:p>
            <w:pPr>
              <w:pStyle w:val="Compact"/>
              <w:jc w:val="left"/>
            </w:pPr>
            <w:r>
              <w:t xml:space="preserve">Change Manager (Divergence Pattern log); Steering Committee (regression risk register).</w:t>
            </w:r>
          </w:p>
        </w:tc>
      </w:tr>
    </w:tbl>
    <w:p>
      <w:pPr>
        <w:pStyle w:val="BodyText"/>
      </w:pPr>
      <w:r>
        <w:rPr>
          <w:iCs/>
          <w:i/>
        </w:rPr>
        <w:t xml:space="preserve">Technique detail for this step.</w:t>
      </w:r>
    </w:p>
    <w:tbl>
      <w:tblPr>
        <w:tblStyle w:val="Table"/>
        <w:tblW w:type="pct" w:w="4938"/>
        <w:tblLook w:firstRow="1" w:lastRow="0" w:firstColumn="0" w:lastColumn="0" w:noHBand="0" w:noVBand="0" w:val="0020"/>
        <w:jc w:val="start"/>
      </w:tblPr>
      <w:tblGrid>
        <w:gridCol w:w="1534"/>
        <w:gridCol w:w="628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Alert triage</w:t>
            </w:r>
          </w:p>
        </w:tc>
      </w:tr>
      <w:tr>
        <w:tc>
          <w:tcPr/>
          <w:p>
            <w:pPr>
              <w:pStyle w:val="Compact"/>
              <w:jc w:val="left"/>
            </w:pPr>
            <w:r>
              <w:t xml:space="preserve">Technique Goal</w:t>
            </w:r>
          </w:p>
        </w:tc>
        <w:tc>
          <w:tcPr/>
          <w:p>
            <w:pPr>
              <w:pStyle w:val="Compact"/>
              <w:jc w:val="left"/>
            </w:pPr>
            <w:r>
              <w:t xml:space="preserve">Avoid acting on a dashboard alert alone.</w:t>
            </w:r>
          </w:p>
        </w:tc>
      </w:tr>
      <w:tr>
        <w:tc>
          <w:tcPr/>
          <w:p>
            <w:pPr>
              <w:pStyle w:val="Compact"/>
              <w:jc w:val="left"/>
            </w:pPr>
            <w:r>
              <w:t xml:space="preserve">Technique Details</w:t>
            </w:r>
          </w:p>
        </w:tc>
        <w:tc>
          <w:tcPr/>
          <w:p>
            <w:pPr>
              <w:pStyle w:val="Compact"/>
              <w:jc w:val="left"/>
            </w:pPr>
            <w:r>
              <w:t xml:space="preserve">Cross-check every automated Divergence alert against the supervisor's own observation of that individual before proceeding.</w:t>
            </w:r>
          </w:p>
        </w:tc>
      </w:tr>
      <w:tr>
        <w:tc>
          <w:tcPr/>
          <w:p>
            <w:pPr>
              <w:pStyle w:val="Compact"/>
              <w:jc w:val="left"/>
            </w:pPr>
            <w:r>
              <w:t xml:space="preserve">Recommended Open-Source Tool</w:t>
            </w:r>
          </w:p>
        </w:tc>
        <w:tc>
          <w:tcPr/>
          <w:p>
            <w:pPr>
              <w:pStyle w:val="Compact"/>
              <w:jc w:val="left"/>
            </w:pPr>
            <w:r>
              <w:t xml:space="preserve">Metabase</w:t>
            </w:r>
          </w:p>
        </w:tc>
      </w:tr>
    </w:tbl>
    <w:p>
      <w:pPr>
        <w:pStyle w:val="BodyText"/>
      </w:pPr>
      <w:r>
        <w:rPr>
          <w:bCs/>
          <w:b/>
        </w:rPr>
        <w:t xml:space="preserve">journi:</w:t>
      </w:r>
      <w:r>
        <w:t xml:space="preserve"> </w:t>
      </w:r>
      <w:r>
        <w:rPr>
          <w:iCs/>
          <w:i/>
        </w:rPr>
        <w:t xml:space="preserve">This is entered/updated in journi — M6 — Emotional &amp; Transition Layer. (The Divergence Pattern Detector surfaces as Notification Center alert ALT-001, computed live from M5 + M6 data, not as a separate sub-page of M6.)</w:t>
      </w:r>
    </w:p>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ITL</w:t>
            </w:r>
          </w:p>
        </w:tc>
        <w:tc>
          <w:tcPr/>
          <w:p>
            <w:pPr>
              <w:pStyle w:val="Compact"/>
              <w:jc w:val="left"/>
            </w:pPr>
            <w:r>
              <w:t xml:space="preserve">ES, PM, EU</w:t>
            </w:r>
          </w:p>
        </w:tc>
      </w:tr>
    </w:tbl>
    <w:p>
      <w:pPr>
        <w:pStyle w:val="BodyText"/>
      </w:pPr>
      <w:r>
        <w:rPr>
          <w:bCs/>
          <w:b/>
          <w:color w:val="3F827B"/>
          <w:sz w:val="24"/>
        </w:rPr>
        <w:t xml:space="preserve">Task 2 — [CHANGE] Hold a 1:1 focused explicitly on what is being let go of, not on skills</w:t>
      </w:r>
    </w:p>
    <w:p>
      <w:pPr>
        <w:pStyle w:val="BodyText"/>
      </w:pPr>
      <w:r>
        <w:rPr>
          <w:bCs/>
          <w:b/>
          <w:color w:val="5A8F89"/>
          <w:sz w:val="22"/>
        </w:rPr>
        <w:t xml:space="preserve">Step 1 — Interview on what is being lost</w:t>
      </w:r>
    </w:p>
    <w:p>
      <w:pPr>
        <w:pStyle w:val="BodyText"/>
      </w:pPr>
      <w:r>
        <w:t xml:space="preserve">Asking about skills when the real issue is identity produces a reassuring but useless answer; the question has to be about what feels different or lost.</w:t>
      </w:r>
    </w:p>
    <w:p>
      <w:pPr>
        <w:pStyle w:val="BodyText"/>
      </w:pPr>
      <w:r>
        <w:rPr>
          <w:iCs/>
          <w:i/>
        </w:rPr>
        <w:t xml:space="preserve">SIPOC for this step.</w:t>
      </w:r>
    </w:p>
    <w:tbl>
      <w:tblPr>
        <w:tblStyle w:val="Table"/>
        <w:tblW w:type="pct" w:w="4971"/>
        <w:tblLook w:firstRow="1" w:lastRow="0" w:firstColumn="0" w:lastColumn="0" w:noHBand="0" w:noVBand="0" w:val="0020"/>
        <w:jc w:val="start"/>
      </w:tblPr>
      <w:tblGrid>
        <w:gridCol w:w="2220"/>
        <w:gridCol w:w="2540"/>
        <w:gridCol w:w="526"/>
        <w:gridCol w:w="526"/>
        <w:gridCol w:w="206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Frontline Supervisor; HR Business Partner (if identity/role concerns surface).</w:t>
            </w:r>
          </w:p>
        </w:tc>
        <w:tc>
          <w:tcPr/>
          <w:p>
            <w:pPr>
              <w:pStyle w:val="Compact"/>
              <w:jc w:val="left"/>
            </w:pPr>
            <w:r>
              <w:t xml:space="preserve">Divergence Pattern Detector alert; individual/cohort ADKAR and Bridges scores; supervisor observation notes.</w:t>
            </w:r>
          </w:p>
        </w:tc>
        <w:tc>
          <w:tcPr/>
          <w:p>
            <w:pPr>
              <w:pStyle w:val="Compact"/>
              <w:jc w:val="left"/>
            </w:pPr>
            <w:r>
              <w:t xml:space="preserve">Structured interview</w:t>
            </w:r>
          </w:p>
        </w:tc>
        <w:tc>
          <w:tcPr/>
          <w:p>
            <w:pPr>
              <w:pStyle w:val="Compact"/>
              <w:jc w:val="left"/>
            </w:pPr>
            <w:r>
              <w:t xml:space="preserve">Documented 1:1 notes</w:t>
            </w:r>
          </w:p>
        </w:tc>
        <w:tc>
          <w:tcPr/>
          <w:p>
            <w:pPr>
              <w:pStyle w:val="Compact"/>
              <w:jc w:val="left"/>
            </w:pPr>
            <w:r>
              <w:t xml:space="preserve">Change Manager (Divergence Pattern log); Steering Committee (regression risk register).</w:t>
            </w:r>
          </w:p>
        </w:tc>
      </w:tr>
    </w:tbl>
    <w:p>
      <w:pPr>
        <w:pStyle w:val="BodyText"/>
      </w:pPr>
      <w:r>
        <w:rPr>
          <w:iCs/>
          <w:i/>
        </w:rPr>
        <w:t xml:space="preserve">Technique detail for this step.</w:t>
      </w:r>
    </w:p>
    <w:tbl>
      <w:tblPr>
        <w:tblStyle w:val="Table"/>
        <w:tblW w:type="pct" w:w="4939"/>
        <w:tblLook w:firstRow="1" w:lastRow="0" w:firstColumn="0" w:lastColumn="0" w:noHBand="0" w:noVBand="0" w:val="0020"/>
        <w:jc w:val="start"/>
      </w:tblPr>
      <w:tblGrid>
        <w:gridCol w:w="1506"/>
        <w:gridCol w:w="631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Structured interview</w:t>
            </w:r>
          </w:p>
        </w:tc>
      </w:tr>
      <w:tr>
        <w:tc>
          <w:tcPr/>
          <w:p>
            <w:pPr>
              <w:pStyle w:val="Compact"/>
              <w:jc w:val="left"/>
            </w:pPr>
            <w:r>
              <w:t xml:space="preserve">Technique Goal</w:t>
            </w:r>
          </w:p>
        </w:tc>
        <w:tc>
          <w:tcPr/>
          <w:p>
            <w:pPr>
              <w:pStyle w:val="Compact"/>
              <w:jc w:val="left"/>
            </w:pPr>
            <w:r>
              <w:t xml:space="preserve">Surface what is being let go of, not skills.</w:t>
            </w:r>
          </w:p>
        </w:tc>
      </w:tr>
      <w:tr>
        <w:tc>
          <w:tcPr/>
          <w:p>
            <w:pPr>
              <w:pStyle w:val="Compact"/>
              <w:jc w:val="left"/>
            </w:pPr>
            <w:r>
              <w:t xml:space="preserve">Technique Details</w:t>
            </w:r>
          </w:p>
        </w:tc>
        <w:tc>
          <w:tcPr/>
          <w:p>
            <w:pPr>
              <w:pStyle w:val="Compact"/>
              <w:jc w:val="left"/>
            </w:pPr>
            <w:r>
              <w:t xml:space="preserve">A supervisor-led 1:1 using open questions about what feels different or lost, deliberately avoiding any skills-testing framing.</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w:t>
            </w:r>
          </w:p>
        </w:tc>
        <w:tc>
          <w:tcPr/>
          <w:p>
            <w:pPr>
              <w:pStyle w:val="Compact"/>
              <w:jc w:val="left"/>
            </w:pPr>
            <w:r>
              <w:t xml:space="preserve">CM</w:t>
            </w:r>
          </w:p>
        </w:tc>
        <w:tc>
          <w:tcPr/>
          <w:p>
            <w:pPr>
              <w:pStyle w:val="Compact"/>
              <w:jc w:val="left"/>
            </w:pPr>
            <w:r>
              <w:t xml:space="preserve">EU</w:t>
            </w:r>
          </w:p>
        </w:tc>
        <w:tc>
          <w:tcPr/>
          <w:p>
            <w:pPr>
              <w:pStyle w:val="Compact"/>
              <w:jc w:val="left"/>
            </w:pPr>
            <w:r>
              <w:t xml:space="preserve">FPO</w:t>
            </w:r>
          </w:p>
        </w:tc>
        <w:tc>
          <w:tcPr/>
          <w:p>
            <w:pPr>
              <w:pStyle w:val="Compact"/>
              <w:jc w:val="left"/>
            </w:pPr>
            <w:r>
              <w:t xml:space="preserve">ES, PM, ITL</w:t>
            </w:r>
          </w:p>
        </w:tc>
      </w:tr>
    </w:tbl>
    <w:p>
      <w:pPr>
        <w:pStyle w:val="BodyText"/>
      </w:pPr>
      <w:r>
        <w:rPr>
          <w:bCs/>
          <w:b/>
          <w:color w:val="3F827B"/>
          <w:sz w:val="24"/>
        </w:rPr>
        <w:t xml:space="preserve">Task 3 — [CHANGE] Distinguish a genuine identity/loss concern from simple reluctance</w:t>
      </w:r>
    </w:p>
    <w:p>
      <w:pPr>
        <w:pStyle w:val="BodyText"/>
      </w:pPr>
      <w:r>
        <w:rPr>
          <w:bCs/>
          <w:b/>
          <w:color w:val="5A8F89"/>
          <w:sz w:val="22"/>
        </w:rPr>
        <w:t xml:space="preserve">Step 1 — Apply a 5-Whys root-cause pass</w:t>
      </w:r>
    </w:p>
    <w:p>
      <w:pPr>
        <w:pStyle w:val="BodyText"/>
      </w:pPr>
      <w:r>
        <w:t xml:space="preserve">Not every case that trips the alert is genuine grief — some are simple preference for a familiar routine, and the response to each is completely different.</w:t>
      </w:r>
    </w:p>
    <w:p>
      <w:pPr>
        <w:pStyle w:val="BodyText"/>
      </w:pPr>
      <w:r>
        <w:rPr>
          <w:iCs/>
          <w:i/>
        </w:rPr>
        <w:t xml:space="preserve">SIPOC for this step.</w:t>
      </w:r>
    </w:p>
    <w:tbl>
      <w:tblPr>
        <w:tblStyle w:val="Table"/>
        <w:tblW w:type="pct" w:w="4974"/>
        <w:tblLook w:firstRow="1" w:lastRow="0" w:firstColumn="0" w:lastColumn="0" w:noHBand="0" w:noVBand="0" w:val="0020"/>
        <w:jc w:val="start"/>
      </w:tblPr>
      <w:tblGrid>
        <w:gridCol w:w="1980"/>
        <w:gridCol w:w="2265"/>
        <w:gridCol w:w="632"/>
        <w:gridCol w:w="1163"/>
        <w:gridCol w:w="183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Frontline Supervisor; HR Business Partner (if identity/role concerns surface).</w:t>
            </w:r>
          </w:p>
        </w:tc>
        <w:tc>
          <w:tcPr/>
          <w:p>
            <w:pPr>
              <w:pStyle w:val="Compact"/>
              <w:jc w:val="left"/>
            </w:pPr>
            <w:r>
              <w:t xml:space="preserve">Divergence Pattern Detector alert; individual/cohort ADKAR and Bridges scores; supervisor observation notes.</w:t>
            </w:r>
          </w:p>
        </w:tc>
        <w:tc>
          <w:tcPr/>
          <w:p>
            <w:pPr>
              <w:pStyle w:val="Compact"/>
              <w:jc w:val="left"/>
            </w:pPr>
            <w:r>
              <w:t xml:space="preserve">Root-cause analysis (5 Whys)</w:t>
            </w:r>
          </w:p>
        </w:tc>
        <w:tc>
          <w:tcPr/>
          <w:p>
            <w:pPr>
              <w:pStyle w:val="Compact"/>
              <w:jc w:val="left"/>
            </w:pPr>
            <w:r>
              <w:t xml:space="preserve">Classified concern (genuine loss / routine preference)</w:t>
            </w:r>
          </w:p>
        </w:tc>
        <w:tc>
          <w:tcPr/>
          <w:p>
            <w:pPr>
              <w:pStyle w:val="Compact"/>
              <w:jc w:val="left"/>
            </w:pPr>
            <w:r>
              <w:t xml:space="preserve">Change Manager (Divergence Pattern log); Steering Committee (regression risk register).</w:t>
            </w:r>
          </w:p>
        </w:tc>
      </w:tr>
    </w:tbl>
    <w:p>
      <w:pPr>
        <w:pStyle w:val="BodyText"/>
      </w:pPr>
      <w:r>
        <w:rPr>
          <w:iCs/>
          <w:i/>
        </w:rPr>
        <w:t xml:space="preserve">Technique detail for this step.</w:t>
      </w:r>
    </w:p>
    <w:tbl>
      <w:tblPr>
        <w:tblStyle w:val="Table"/>
        <w:tblW w:type="pct" w:w="4939"/>
        <w:tblLook w:firstRow="1" w:lastRow="0" w:firstColumn="0" w:lastColumn="0" w:noHBand="0" w:noVBand="0" w:val="0020"/>
        <w:jc w:val="start"/>
      </w:tblPr>
      <w:tblGrid>
        <w:gridCol w:w="1497"/>
        <w:gridCol w:w="632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Root-cause analysis (5 Whys)</w:t>
            </w:r>
          </w:p>
        </w:tc>
      </w:tr>
      <w:tr>
        <w:tc>
          <w:tcPr/>
          <w:p>
            <w:pPr>
              <w:pStyle w:val="Compact"/>
              <w:jc w:val="left"/>
            </w:pPr>
            <w:r>
              <w:t xml:space="preserve">Technique Goal</w:t>
            </w:r>
          </w:p>
        </w:tc>
        <w:tc>
          <w:tcPr/>
          <w:p>
            <w:pPr>
              <w:pStyle w:val="Compact"/>
              <w:jc w:val="left"/>
            </w:pPr>
            <w:r>
              <w:t xml:space="preserve">Separate genuine grief from simple routine-resistance.</w:t>
            </w:r>
          </w:p>
        </w:tc>
      </w:tr>
      <w:tr>
        <w:tc>
          <w:tcPr/>
          <w:p>
            <w:pPr>
              <w:pStyle w:val="Compact"/>
              <w:jc w:val="left"/>
            </w:pPr>
            <w:r>
              <w:t xml:space="preserve">Technique Details</w:t>
            </w:r>
          </w:p>
        </w:tc>
        <w:tc>
          <w:tcPr/>
          <w:p>
            <w:pPr>
              <w:pStyle w:val="Compact"/>
              <w:jc w:val="left"/>
            </w:pPr>
            <w:r>
              <w:t xml:space="preserve">Apply a light 5-Whys pass to the 1:1 notes to test whether the concern is genuine loss or simple preference for the old routine.</w:t>
            </w:r>
          </w:p>
        </w:tc>
      </w:tr>
      <w:tr>
        <w:tc>
          <w:tcPr/>
          <w:p>
            <w:pPr>
              <w:pStyle w:val="Compact"/>
              <w:jc w:val="left"/>
            </w:pPr>
            <w:r>
              <w:t xml:space="preserve">Recommended Open-Source Tool</w:t>
            </w:r>
          </w:p>
        </w:tc>
        <w:tc>
          <w:tcPr/>
          <w:p>
            <w:pPr>
              <w:pStyle w:val="Compact"/>
              <w:jc w:val="left"/>
            </w:pPr>
            <w:r>
              <w:t xml:space="preserve">draw.io</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ITL</w:t>
            </w:r>
          </w:p>
        </w:tc>
        <w:tc>
          <w:tcPr/>
          <w:p>
            <w:pPr>
              <w:pStyle w:val="Compact"/>
              <w:jc w:val="left"/>
            </w:pPr>
            <w:r>
              <w:t xml:space="preserve">ES, PM, EU</w:t>
            </w:r>
          </w:p>
        </w:tc>
      </w:tr>
    </w:tbl>
    <w:p>
      <w:pPr>
        <w:pStyle w:val="BodyText"/>
      </w:pPr>
      <w:r>
        <w:rPr>
          <w:bCs/>
          <w:b/>
          <w:color w:val="3F827B"/>
          <w:sz w:val="24"/>
        </w:rPr>
        <w:t xml:space="preserve">Task 4 — [CHANGE] Provide an explicit closure moment if a genuine loss is identified</w:t>
      </w:r>
    </w:p>
    <w:p>
      <w:pPr>
        <w:pStyle w:val="BodyText"/>
      </w:pPr>
      <w:r>
        <w:rPr>
          <w:bCs/>
          <w:b/>
          <w:color w:val="5A8F89"/>
          <w:sz w:val="22"/>
        </w:rPr>
        <w:t xml:space="preserve">Step 1 — Facilitate a closure moment</w:t>
      </w:r>
    </w:p>
    <w:p>
      <w:pPr>
        <w:pStyle w:val="BodyText"/>
      </w:pPr>
      <w:r>
        <w:t xml:space="preserve">Bridges' own research is clear that an unmet need for closure is a common driver of prolonged Ending; naming what is ending out loud is a small act with outsized effect.</w:t>
      </w:r>
    </w:p>
    <w:p>
      <w:pPr>
        <w:pStyle w:val="BodyText"/>
      </w:pPr>
      <w:r>
        <w:rPr>
          <w:iCs/>
          <w:i/>
        </w:rPr>
        <w:t xml:space="preserve">SIPOC for this step.</w:t>
      </w:r>
    </w:p>
    <w:tbl>
      <w:tblPr>
        <w:tblStyle w:val="Table"/>
        <w:tblW w:type="pct" w:w="4972"/>
        <w:tblLook w:firstRow="1" w:lastRow="0" w:firstColumn="0" w:lastColumn="0" w:noHBand="0" w:noVBand="0" w:val="0020"/>
        <w:jc w:val="start"/>
      </w:tblPr>
      <w:tblGrid>
        <w:gridCol w:w="2139"/>
        <w:gridCol w:w="2448"/>
        <w:gridCol w:w="705"/>
        <w:gridCol w:w="595"/>
        <w:gridCol w:w="198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Frontline Supervisor; HR Business Partner (if identity/role concerns surface).</w:t>
            </w:r>
          </w:p>
        </w:tc>
        <w:tc>
          <w:tcPr/>
          <w:p>
            <w:pPr>
              <w:pStyle w:val="Compact"/>
              <w:jc w:val="left"/>
            </w:pPr>
            <w:r>
              <w:t xml:space="preserve">Divergence Pattern Detector alert; individual/cohort ADKAR and Bridges scores; supervisor observation notes.</w:t>
            </w:r>
          </w:p>
        </w:tc>
        <w:tc>
          <w:tcPr/>
          <w:p>
            <w:pPr>
              <w:pStyle w:val="Compact"/>
              <w:jc w:val="left"/>
            </w:pPr>
            <w:r>
              <w:t xml:space="preserve">Ritual / closure facilitation</w:t>
            </w:r>
          </w:p>
        </w:tc>
        <w:tc>
          <w:tcPr/>
          <w:p>
            <w:pPr>
              <w:pStyle w:val="Compact"/>
              <w:jc w:val="left"/>
            </w:pPr>
            <w:r>
              <w:t xml:space="preserve">Delivered closure moment</w:t>
            </w:r>
          </w:p>
        </w:tc>
        <w:tc>
          <w:tcPr/>
          <w:p>
            <w:pPr>
              <w:pStyle w:val="Compact"/>
              <w:jc w:val="left"/>
            </w:pPr>
            <w:r>
              <w:t xml:space="preserve">Change Manager (Divergence Pattern log); Steering Committee (regression risk register).</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73"/>
        <w:gridCol w:w="624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Ritual / closure facilitation</w:t>
            </w:r>
          </w:p>
        </w:tc>
      </w:tr>
      <w:tr>
        <w:tc>
          <w:tcPr/>
          <w:p>
            <w:pPr>
              <w:pStyle w:val="Compact"/>
              <w:jc w:val="left"/>
            </w:pPr>
            <w:r>
              <w:t xml:space="preserve">Technique Goal</w:t>
            </w:r>
          </w:p>
        </w:tc>
        <w:tc>
          <w:tcPr/>
          <w:p>
            <w:pPr>
              <w:pStyle w:val="Compact"/>
              <w:jc w:val="left"/>
            </w:pPr>
            <w:r>
              <w:t xml:space="preserve">Give explicit acknowledgment of what is ending.</w:t>
            </w:r>
          </w:p>
        </w:tc>
      </w:tr>
      <w:tr>
        <w:tc>
          <w:tcPr/>
          <w:p>
            <w:pPr>
              <w:pStyle w:val="Compact"/>
              <w:jc w:val="left"/>
            </w:pPr>
            <w:r>
              <w:t xml:space="preserve">Technique Details</w:t>
            </w:r>
          </w:p>
        </w:tc>
        <w:tc>
          <w:tcPr/>
          <w:p>
            <w:pPr>
              <w:pStyle w:val="Compact"/>
              <w:jc w:val="left"/>
            </w:pPr>
            <w:r>
              <w:t xml:space="preserve">A short, facilitated moment (a symbolic retirement of an old tool, a thank-you note) that names what is ending out loud.</w:t>
            </w:r>
          </w:p>
        </w:tc>
      </w:tr>
      <w:tr>
        <w:tc>
          <w:tcPr/>
          <w:p>
            <w:pPr>
              <w:pStyle w:val="Compact"/>
              <w:jc w:val="left"/>
            </w:pPr>
            <w:r>
              <w:t xml:space="preserve">Recommended Open-Source Tool</w:t>
            </w:r>
          </w:p>
        </w:tc>
        <w:tc>
          <w:tcPr/>
          <w:p>
            <w:pPr>
              <w:pStyle w:val="Compact"/>
              <w:jc w:val="left"/>
            </w:pPr>
            <w:r>
              <w:t xml:space="preserve">BigBlueButton (facilitated session)</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w:t>
            </w:r>
          </w:p>
        </w:tc>
        <w:tc>
          <w:tcPr/>
          <w:p>
            <w:pPr>
              <w:pStyle w:val="Compact"/>
              <w:jc w:val="left"/>
            </w:pPr>
            <w:r>
              <w:t xml:space="preserve">CM</w:t>
            </w:r>
          </w:p>
        </w:tc>
        <w:tc>
          <w:tcPr/>
          <w:p>
            <w:pPr>
              <w:pStyle w:val="Compact"/>
              <w:jc w:val="left"/>
            </w:pPr>
            <w:r>
              <w:t xml:space="preserve">EU</w:t>
            </w:r>
          </w:p>
        </w:tc>
        <w:tc>
          <w:tcPr/>
          <w:p>
            <w:pPr>
              <w:pStyle w:val="Compact"/>
              <w:jc w:val="left"/>
            </w:pPr>
            <w:r>
              <w:t xml:space="preserve">FPO</w:t>
            </w:r>
          </w:p>
        </w:tc>
        <w:tc>
          <w:tcPr/>
          <w:p>
            <w:pPr>
              <w:pStyle w:val="Compact"/>
              <w:jc w:val="left"/>
            </w:pPr>
            <w:r>
              <w:t xml:space="preserve">ES, PM, ITL</w:t>
            </w:r>
          </w:p>
        </w:tc>
      </w:tr>
    </w:tbl>
    <w:p>
      <w:pPr>
        <w:pStyle w:val="BodyText"/>
      </w:pPr>
      <w:r>
        <w:rPr>
          <w:bCs/>
          <w:b/>
          <w:color w:val="3F827B"/>
          <w:sz w:val="24"/>
        </w:rPr>
        <w:t xml:space="preserve">Task 5 — [CHANGE] Re-check the Bridges reading only, at the next scheduled pulse</w:t>
      </w:r>
    </w:p>
    <w:p>
      <w:pPr>
        <w:pStyle w:val="BodyText"/>
      </w:pPr>
      <w:r>
        <w:rPr>
          <w:bCs/>
          <w:b/>
        </w:rPr>
        <w:t xml:space="preserve">journi:</w:t>
      </w:r>
      <w:r>
        <w:t xml:space="preserve"> </w:t>
      </w:r>
      <w:r>
        <w:rPr>
          <w:iCs/>
          <w:i/>
        </w:rPr>
        <w:t xml:space="preserve">This is entered/updated in journi — M6.</w:t>
      </w:r>
    </w:p>
    <w:p>
      <w:pPr>
        <w:pStyle w:val="BodyText"/>
      </w:pPr>
      <w:r>
        <w:rPr>
          <w:bCs/>
          <w:b/>
          <w:color w:val="5A8F89"/>
          <w:sz w:val="22"/>
        </w:rPr>
        <w:t xml:space="preserve">Step 1 — Re-pulse the Bridges item only</w:t>
      </w:r>
    </w:p>
    <w:p>
      <w:pPr>
        <w:pStyle w:val="BodyText"/>
      </w:pPr>
      <w:r>
        <w:t xml:space="preserve">Knowledge and Ability are already known to be strong; re-testing them again wastes the person's time and signals that the real concern wasn't heard.</w:t>
      </w:r>
    </w:p>
    <w:p>
      <w:pPr>
        <w:pStyle w:val="BodyText"/>
      </w:pPr>
      <w:r>
        <w:rPr>
          <w:iCs/>
          <w:i/>
        </w:rPr>
        <w:t xml:space="preserve">SIPOC for this step.</w:t>
      </w:r>
    </w:p>
    <w:tbl>
      <w:tblPr>
        <w:tblStyle w:val="Table"/>
        <w:tblW w:type="pct" w:w="4971"/>
        <w:tblLook w:firstRow="1" w:lastRow="0" w:firstColumn="0" w:lastColumn="0" w:noHBand="0" w:noVBand="0" w:val="0020"/>
        <w:jc w:val="start"/>
      </w:tblPr>
      <w:tblGrid>
        <w:gridCol w:w="2220"/>
        <w:gridCol w:w="2540"/>
        <w:gridCol w:w="457"/>
        <w:gridCol w:w="595"/>
        <w:gridCol w:w="206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Frontline Supervisor; HR Business Partner (if identity/role concerns surface).</w:t>
            </w:r>
          </w:p>
        </w:tc>
        <w:tc>
          <w:tcPr/>
          <w:p>
            <w:pPr>
              <w:pStyle w:val="Compact"/>
              <w:jc w:val="left"/>
            </w:pPr>
            <w:r>
              <w:t xml:space="preserve">Divergence Pattern Detector alert; individual/cohort ADKAR and Bridges scores; supervisor observation notes.</w:t>
            </w:r>
          </w:p>
        </w:tc>
        <w:tc>
          <w:tcPr/>
          <w:p>
            <w:pPr>
              <w:pStyle w:val="Compact"/>
              <w:jc w:val="left"/>
            </w:pPr>
            <w:r>
              <w:t xml:space="preserve">Targeted re-pulse</w:t>
            </w:r>
          </w:p>
        </w:tc>
        <w:tc>
          <w:tcPr/>
          <w:p>
            <w:pPr>
              <w:pStyle w:val="Compact"/>
              <w:jc w:val="left"/>
            </w:pPr>
            <w:r>
              <w:t xml:space="preserve">Updated Bridges reading</w:t>
            </w:r>
          </w:p>
        </w:tc>
        <w:tc>
          <w:tcPr/>
          <w:p>
            <w:pPr>
              <w:pStyle w:val="Compact"/>
              <w:jc w:val="left"/>
            </w:pPr>
            <w:r>
              <w:t xml:space="preserve">Change Manager (Divergence Pattern log); Steering Committee (regression risk register).</w:t>
            </w:r>
          </w:p>
        </w:tc>
      </w:tr>
    </w:tbl>
    <w:p>
      <w:pPr>
        <w:pStyle w:val="BodyText"/>
      </w:pPr>
      <w:r>
        <w:rPr>
          <w:iCs/>
          <w:i/>
        </w:rPr>
        <w:t xml:space="preserve">Technique detail for this step.</w:t>
      </w:r>
    </w:p>
    <w:tbl>
      <w:tblPr>
        <w:tblStyle w:val="Table"/>
        <w:tblW w:type="pct" w:w="4926"/>
        <w:tblLook w:firstRow="1" w:lastRow="0" w:firstColumn="0" w:lastColumn="0" w:noHBand="0" w:noVBand="0" w:val="0020"/>
        <w:jc w:val="start"/>
      </w:tblPr>
      <w:tblGrid>
        <w:gridCol w:w="1805"/>
        <w:gridCol w:w="5998"/>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Targeted re-pulse</w:t>
            </w:r>
          </w:p>
        </w:tc>
      </w:tr>
      <w:tr>
        <w:tc>
          <w:tcPr/>
          <w:p>
            <w:pPr>
              <w:pStyle w:val="Compact"/>
              <w:jc w:val="left"/>
            </w:pPr>
            <w:r>
              <w:t xml:space="preserve">Technique Goal</w:t>
            </w:r>
          </w:p>
        </w:tc>
        <w:tc>
          <w:tcPr/>
          <w:p>
            <w:pPr>
              <w:pStyle w:val="Compact"/>
              <w:jc w:val="left"/>
            </w:pPr>
            <w:r>
              <w:t xml:space="preserve">Confirm movement without re-testing already-strong skills.</w:t>
            </w:r>
          </w:p>
        </w:tc>
      </w:tr>
      <w:tr>
        <w:tc>
          <w:tcPr/>
          <w:p>
            <w:pPr>
              <w:pStyle w:val="Compact"/>
              <w:jc w:val="left"/>
            </w:pPr>
            <w:r>
              <w:t xml:space="preserve">Technique Details</w:t>
            </w:r>
          </w:p>
        </w:tc>
        <w:tc>
          <w:tcPr/>
          <w:p>
            <w:pPr>
              <w:pStyle w:val="Compact"/>
              <w:jc w:val="left"/>
            </w:pPr>
            <w:r>
              <w:t xml:space="preserve">Re-issue only the Bridges self-placement item to the flagged individual at the next scheduled pulse.</w:t>
            </w:r>
          </w:p>
        </w:tc>
      </w:tr>
      <w:tr>
        <w:tc>
          <w:tcPr/>
          <w:p>
            <w:pPr>
              <w:pStyle w:val="Compact"/>
              <w:jc w:val="left"/>
            </w:pPr>
            <w:r>
              <w:t xml:space="preserve">Recommended Open-Source Tool</w:t>
            </w:r>
          </w:p>
        </w:tc>
        <w:tc>
          <w:tcPr/>
          <w:p>
            <w:pPr>
              <w:pStyle w:val="Compact"/>
              <w:jc w:val="left"/>
            </w:pPr>
            <w:r>
              <w:t xml:space="preserve">LimeSurvey</w:t>
            </w:r>
          </w:p>
        </w:tc>
      </w:tr>
    </w:tbl>
    <w:p>
      <w:pPr>
        <w:pStyle w:val="BodyText"/>
      </w:pPr>
      <w:r>
        <w:rPr>
          <w:bCs/>
          <w:b/>
        </w:rPr>
        <w:t xml:space="preserve">journi:</w:t>
      </w:r>
      <w:r>
        <w:t xml:space="preserve"> </w:t>
      </w:r>
      <w:r>
        <w:rPr>
          <w:iCs/>
          <w:i/>
        </w:rPr>
        <w:t xml:space="preserve">This is entered/updated in journi — M6.</w:t>
      </w:r>
    </w:p>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SUP</w:t>
            </w:r>
          </w:p>
        </w:tc>
        <w:tc>
          <w:tcPr/>
          <w:p>
            <w:pPr>
              <w:pStyle w:val="Compact"/>
              <w:jc w:val="left"/>
            </w:pPr>
            <w:r>
              <w:t xml:space="preserve">CM</w:t>
            </w:r>
          </w:p>
        </w:tc>
        <w:tc>
          <w:tcPr/>
          <w:p>
            <w:pPr>
              <w:pStyle w:val="Compact"/>
              <w:jc w:val="left"/>
            </w:pPr>
            <w:r>
              <w:t xml:space="preserve">EU</w:t>
            </w:r>
          </w:p>
        </w:tc>
        <w:tc>
          <w:tcPr/>
          <w:p>
            <w:pPr>
              <w:pStyle w:val="Compact"/>
              <w:jc w:val="left"/>
            </w:pPr>
            <w:r>
              <w:t xml:space="preserve">FPO</w:t>
            </w:r>
          </w:p>
        </w:tc>
        <w:tc>
          <w:tcPr/>
          <w:p>
            <w:pPr>
              <w:pStyle w:val="Compact"/>
              <w:jc w:val="left"/>
            </w:pPr>
            <w:r>
              <w:t xml:space="preserve">ES, PM, ITL</w:t>
            </w:r>
          </w:p>
        </w:tc>
      </w:tr>
    </w:tbl>
    <w:p>
      <w:pPr>
        <w:pStyle w:val="BodyText"/>
      </w:pPr>
      <w:r>
        <w:rPr>
          <w:bCs/>
          <w:b/>
          <w:color w:val="275650"/>
          <w:sz w:val="27"/>
        </w:rPr>
        <w:t xml:space="preserve">9.3 E3 — Two-Clock Problem at Cutover &amp; Go-Live</w:t>
      </w:r>
    </w:p>
    <w:p>
      <w:pPr>
        <w:pStyle w:val="BodyText"/>
      </w:pPr>
      <w:r>
        <w:rPr>
          <w:iCs/>
          <w:i/>
        </w:rPr>
        <w:t xml:space="preserve">Related to Phase 6</w:t>
      </w:r>
    </w:p>
    <w:tbl>
      <w:tblPr>
        <w:tblStyle w:val="Table"/>
        <w:tblW w:type="pct" w:w="4940"/>
        <w:tblLook w:firstRow="1" w:lastRow="0" w:firstColumn="0" w:lastColumn="0" w:noHBand="0" w:noVBand="0" w:val="0020"/>
        <w:jc w:val="start"/>
      </w:tblPr>
      <w:tblGrid>
        <w:gridCol w:w="858"/>
        <w:gridCol w:w="696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Trigger</w:t>
            </w:r>
          </w:p>
        </w:tc>
        <w:tc>
          <w:tcPr/>
          <w:p>
            <w:pPr>
              <w:pStyle w:val="Compact"/>
              <w:jc w:val="left"/>
            </w:pPr>
            <w:r>
              <w:t xml:space="preserve">Lewin is called</w:t>
            </w:r>
            <w:r>
              <w:t xml:space="preserve"> </w:t>
            </w:r>
            <w:r>
              <w:t xml:space="preserve">“</w:t>
            </w:r>
            <w:r>
              <w:t xml:space="preserve">Change → Refreeze</w:t>
            </w:r>
            <w:r>
              <w:t xml:space="preserve">”</w:t>
            </w:r>
            <w:r>
              <w:t xml:space="preserve"> </w:t>
            </w:r>
            <w:r>
              <w:t xml:space="preserve">on schedule at the go-live date while Bridges and Kübler-Ross remain at Neutral Zone / Resistance or lower.</w:t>
            </w:r>
          </w:p>
        </w:tc>
      </w:tr>
      <w:tr>
        <w:tc>
          <w:tcPr/>
          <w:p>
            <w:pPr>
              <w:pStyle w:val="Compact"/>
              <w:jc w:val="left"/>
            </w:pPr>
            <w:r>
              <w:t xml:space="preserve">Timeline Impact</w:t>
            </w:r>
          </w:p>
        </w:tc>
        <w:tc>
          <w:tcPr/>
          <w:p>
            <w:pPr>
              <w:pStyle w:val="Compact"/>
              <w:jc w:val="left"/>
            </w:pPr>
            <w:r>
              <w:t xml:space="preserve">Does not delay go-live; extends the hypercare/reinforcement budget and staffing window by the observed lag, commonly 2–6 weeks.</w:t>
            </w:r>
          </w:p>
        </w:tc>
      </w:tr>
    </w:tbl>
    <w:p>
      <w:pPr>
        <w:pStyle w:val="BodyText"/>
      </w:pPr>
      <w:r>
        <w:rPr>
          <w:iCs/>
          <w:i/>
        </w:rPr>
        <w:t xml:space="preserve">Trigger and timeline impact for E3.</w:t>
      </w:r>
    </w:p>
    <w:p>
      <w:pPr>
        <w:pStyle w:val="BodyText"/>
      </w:pPr>
      <w:r>
        <w:rPr>
          <w:bCs/>
          <w:b/>
        </w:rPr>
        <w:t xml:space="preserve">SIPOC</w:t>
      </w:r>
    </w:p>
    <w:tbl>
      <w:tblPr>
        <w:tblStyle w:val="Table"/>
        <w:tblW w:type="pct" w:w="4968"/>
        <w:tblLook w:firstRow="1" w:lastRow="0" w:firstColumn="0" w:lastColumn="0" w:noHBand="0" w:noVBand="0" w:val="0020"/>
        <w:jc w:val="start"/>
      </w:tblPr>
      <w:tblGrid>
        <w:gridCol w:w="911"/>
        <w:gridCol w:w="2060"/>
        <w:gridCol w:w="1452"/>
        <w:gridCol w:w="2279"/>
        <w:gridCol w:w="116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Program Manager; Change Manager; Executive Sponsor.</w:t>
            </w:r>
          </w:p>
        </w:tc>
        <w:tc>
          <w:tcPr/>
          <w:p>
            <w:pPr>
              <w:pStyle w:val="Compact"/>
              <w:jc w:val="left"/>
            </w:pPr>
            <w:r>
              <w:t xml:space="preserve">Go-live technical validation report; post-cutover Bridges / Kübler-Ross pulse; original Lewin phase-call justification.</w:t>
            </w:r>
          </w:p>
        </w:tc>
        <w:tc>
          <w:tcPr/>
          <w:p>
            <w:pPr>
              <w:jc w:val="left"/>
            </w:pPr>
            <w:r>
              <w:t xml:space="preserve">1. Separate the technical go-live milestone from the Lewin phase call</w:t>
            </w:r>
          </w:p>
          <w:p>
            <w:pPr>
              <w:jc w:val="left"/>
            </w:pPr>
            <w:r>
              <w:t xml:space="preserve">2. Mark the Lewin phase as</w:t>
            </w:r>
            <w:r>
              <w:t xml:space="preserve"> </w:t>
            </w:r>
            <w:r>
              <w:t xml:space="preserve">“</w:t>
            </w:r>
            <w:r>
              <w:t xml:space="preserve">provisional Refreeze</w:t>
            </w:r>
            <w:r>
              <w:t xml:space="preserve">”</w:t>
            </w:r>
            <w:r>
              <w:t xml:space="preserve"> </w:t>
            </w:r>
            <w:r>
              <w:t xml:space="preserve">pending emotional-layer evidence</w:t>
            </w:r>
          </w:p>
          <w:p>
            <w:pPr>
              <w:jc w:val="left"/>
            </w:pPr>
            <w:r>
              <w:t xml:space="preserve">3. Keep Reinforcement and the hypercare support model fully active</w:t>
            </w:r>
          </w:p>
          <w:p>
            <w:pPr>
              <w:jc w:val="left"/>
            </w:pPr>
            <w:r>
              <w:t xml:space="preserve">4. Re-pulse Bridges / Kübler-Ross at 2 and 4 weeks</w:t>
            </w:r>
          </w:p>
          <w:p>
            <w:pPr>
              <w:jc w:val="left"/>
            </w:pPr>
            <w:r>
              <w:t xml:space="preserve">5. Confirm or walk back the Refreeze call once evidence supports it</w:t>
            </w:r>
          </w:p>
        </w:tc>
        <w:tc>
          <w:tcPr/>
          <w:p>
            <w:pPr>
              <w:pStyle w:val="Compact"/>
              <w:jc w:val="left"/>
            </w:pPr>
            <w:r>
              <w:t xml:space="preserve">Explicit provisional Lewin phase call; sustained hypercare/reinforcement funding; confirmed or corrected Lewin phase after re-pulse.</w:t>
            </w:r>
          </w:p>
        </w:tc>
        <w:tc>
          <w:tcPr/>
          <w:p>
            <w:pPr>
              <w:pStyle w:val="Compact"/>
              <w:jc w:val="left"/>
            </w:pPr>
            <w:r>
              <w:t xml:space="preserve">Steering Committee; Change Manager; Sustainment team (next phase).</w:t>
            </w:r>
          </w:p>
        </w:tc>
      </w:tr>
    </w:tbl>
    <w:p>
      <w:pPr>
        <w:pStyle w:val="BodyText"/>
      </w:pPr>
      <w:r>
        <w:rPr>
          <w:iCs/>
          <w:i/>
        </w:rPr>
        <w:t xml:space="preserve">SIPOC for E3 — Two-Clock Problem at Cutover &amp; Go-Live. The Process column lists this exception's five recovery Tasks in sequence.</w:t>
      </w:r>
    </w:p>
    <w:p>
      <w:pPr>
        <w:pStyle w:val="BodyText"/>
      </w:pPr>
      <w:r>
        <w:rPr>
          <w:bCs/>
          <w:b/>
        </w:rPr>
        <w:t xml:space="preserve">Tasks, Steps, Techniques &amp; RACSI</w:t>
      </w:r>
    </w:p>
    <w:p>
      <w:pPr>
        <w:pStyle w:val="BodyText"/>
      </w:pPr>
      <w:r>
        <w:rPr>
          <w:bCs/>
          <w:b/>
          <w:color w:val="3F827B"/>
          <w:sz w:val="24"/>
        </w:rPr>
        <w:t xml:space="preserve">Task 1 — [JOINT] Separate the technical go-live milestone from the Lewin phase call</w:t>
      </w:r>
    </w:p>
    <w:p>
      <w:pPr>
        <w:pStyle w:val="BodyText"/>
      </w:pPr>
      <w:r>
        <w:rPr>
          <w:bCs/>
          <w:b/>
        </w:rPr>
        <w:t xml:space="preserve">journi:</w:t>
      </w:r>
      <w:r>
        <w:t xml:space="preserve"> </w:t>
      </w:r>
      <w:r>
        <w:rPr>
          <w:iCs/>
          <w:i/>
        </w:rPr>
        <w:t xml:space="preserve">This is entered/updated in journi — M3.</w:t>
      </w:r>
    </w:p>
    <w:p>
      <w:pPr>
        <w:pStyle w:val="BodyText"/>
      </w:pPr>
      <w:r>
        <w:rPr>
          <w:bCs/>
          <w:b/>
          <w:color w:val="5A8F89"/>
          <w:sz w:val="22"/>
        </w:rPr>
        <w:t xml:space="preserve">Step 1 — Clarify the two decision rights</w:t>
      </w:r>
    </w:p>
    <w:p>
      <w:pPr>
        <w:pStyle w:val="BodyText"/>
      </w:pPr>
      <w:r>
        <w:t xml:space="preserve">Delivery pressure naturally pushes toward treating the go-live date as proof of Refreeze; writing down that these are two separate decisions is a small act that resists that pressure.</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362"/>
        <w:gridCol w:w="3077"/>
        <w:gridCol w:w="807"/>
        <w:gridCol w:w="882"/>
        <w:gridCol w:w="174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Program Manager; Change Manager; Executive Sponsor.</w:t>
            </w:r>
          </w:p>
        </w:tc>
        <w:tc>
          <w:tcPr/>
          <w:p>
            <w:pPr>
              <w:pStyle w:val="Compact"/>
              <w:jc w:val="left"/>
            </w:pPr>
            <w:r>
              <w:t xml:space="preserve">Go-live technical validation report; post-cutover Bridges / Kübler-Ross pulse; original Lewin phase-call justification.</w:t>
            </w:r>
          </w:p>
        </w:tc>
        <w:tc>
          <w:tcPr/>
          <w:p>
            <w:pPr>
              <w:pStyle w:val="Compact"/>
              <w:jc w:val="left"/>
            </w:pPr>
            <w:r>
              <w:t xml:space="preserve">Decision-rights clarification</w:t>
            </w:r>
          </w:p>
        </w:tc>
        <w:tc>
          <w:tcPr/>
          <w:p>
            <w:pPr>
              <w:pStyle w:val="Compact"/>
              <w:jc w:val="left"/>
            </w:pPr>
            <w:r>
              <w:t xml:space="preserve">Documented decision-rights split</w:t>
            </w:r>
          </w:p>
        </w:tc>
        <w:tc>
          <w:tcPr/>
          <w:p>
            <w:pPr>
              <w:pStyle w:val="Compact"/>
              <w:jc w:val="left"/>
            </w:pPr>
            <w:r>
              <w:t xml:space="preserve">Steering Committee; Change Manager; Sustainment team (next phase).</w:t>
            </w:r>
          </w:p>
        </w:tc>
      </w:tr>
    </w:tbl>
    <w:p>
      <w:pPr>
        <w:pStyle w:val="BodyText"/>
      </w:pPr>
      <w:r>
        <w:rPr>
          <w:iCs/>
          <w:i/>
        </w:rPr>
        <w:t xml:space="preserve">Technique detail for this step.</w:t>
      </w:r>
    </w:p>
    <w:tbl>
      <w:tblPr>
        <w:tblStyle w:val="Table"/>
        <w:tblW w:type="pct" w:w="4937"/>
        <w:tblLook w:firstRow="1" w:lastRow="0" w:firstColumn="0" w:lastColumn="0" w:noHBand="0" w:noVBand="0" w:val="0020"/>
        <w:jc w:val="start"/>
      </w:tblPr>
      <w:tblGrid>
        <w:gridCol w:w="1544"/>
        <w:gridCol w:w="627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Decision-rights clarification</w:t>
            </w:r>
          </w:p>
        </w:tc>
      </w:tr>
      <w:tr>
        <w:tc>
          <w:tcPr/>
          <w:p>
            <w:pPr>
              <w:pStyle w:val="Compact"/>
              <w:jc w:val="left"/>
            </w:pPr>
            <w:r>
              <w:t xml:space="preserve">Technique Goal</w:t>
            </w:r>
          </w:p>
        </w:tc>
        <w:tc>
          <w:tcPr/>
          <w:p>
            <w:pPr>
              <w:pStyle w:val="Compact"/>
              <w:jc w:val="left"/>
            </w:pPr>
            <w:r>
              <w:t xml:space="preserve">Prevent a calendar date from implying an evidence-based phase call.</w:t>
            </w:r>
          </w:p>
        </w:tc>
      </w:tr>
      <w:tr>
        <w:tc>
          <w:tcPr/>
          <w:p>
            <w:pPr>
              <w:pStyle w:val="Compact"/>
              <w:jc w:val="left"/>
            </w:pPr>
            <w:r>
              <w:t xml:space="preserve">Technique Details</w:t>
            </w:r>
          </w:p>
        </w:tc>
        <w:tc>
          <w:tcPr/>
          <w:p>
            <w:pPr>
              <w:pStyle w:val="Compact"/>
              <w:jc w:val="left"/>
            </w:pPr>
            <w:r>
              <w:t xml:space="preserve">Explicitly document, in the Initiative Registry, that the go-live date and the Lewin phase call are two separate decisions.</w:t>
            </w:r>
          </w:p>
        </w:tc>
      </w:tr>
      <w:tr>
        <w:tc>
          <w:tcPr/>
          <w:p>
            <w:pPr>
              <w:pStyle w:val="Compact"/>
              <w:jc w:val="left"/>
            </w:pPr>
            <w:r>
              <w:t xml:space="preserve">Recommended Open-Source Tool</w:t>
            </w:r>
          </w:p>
        </w:tc>
        <w:tc>
          <w:tcPr/>
          <w:p>
            <w:pPr>
              <w:pStyle w:val="Compact"/>
              <w:jc w:val="left"/>
            </w:pPr>
            <w:r>
              <w:t xml:space="preserve">OpenProject</w:t>
            </w:r>
          </w:p>
        </w:tc>
      </w:tr>
    </w:tbl>
    <w:p>
      <w:pPr>
        <w:pStyle w:val="BodyText"/>
      </w:pPr>
      <w:r>
        <w:rPr>
          <w:bCs/>
          <w:b/>
        </w:rPr>
        <w:t xml:space="preserve">journi:</w:t>
      </w:r>
      <w:r>
        <w:t xml:space="preserve"> </w:t>
      </w:r>
      <w:r>
        <w:rPr>
          <w:iCs/>
          <w:i/>
        </w:rPr>
        <w:t xml:space="preserve">This is entered/updated in journi — M3.</w:t>
      </w:r>
    </w:p>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ES</w:t>
            </w:r>
          </w:p>
        </w:tc>
        <w:tc>
          <w:tcPr/>
          <w:p>
            <w:pPr>
              <w:pStyle w:val="Compact"/>
              <w:jc w:val="left"/>
            </w:pPr>
            <w:r>
              <w:t xml:space="preserve">PM</w:t>
            </w:r>
          </w:p>
        </w:tc>
        <w:tc>
          <w:tcPr/>
          <w:p>
            <w:pPr>
              <w:pStyle w:val="Compact"/>
              <w:jc w:val="left"/>
            </w:pPr>
            <w:r>
              <w:t xml:space="preserve">ITL</w:t>
            </w:r>
          </w:p>
        </w:tc>
        <w:tc>
          <w:tcPr/>
          <w:p>
            <w:pPr>
              <w:pStyle w:val="Compact"/>
              <w:jc w:val="left"/>
            </w:pPr>
            <w:r>
              <w:t xml:space="preserve">FPO, SUP, EU</w:t>
            </w:r>
          </w:p>
        </w:tc>
      </w:tr>
    </w:tbl>
    <w:p>
      <w:pPr>
        <w:pStyle w:val="BodyText"/>
      </w:pPr>
      <w:r>
        <w:rPr>
          <w:bCs/>
          <w:b/>
          <w:color w:val="3F827B"/>
          <w:sz w:val="24"/>
        </w:rPr>
        <w:t xml:space="preserve">Task 2 — [CHANGE] Mark the Lewin phase as</w:t>
      </w:r>
      <w:r>
        <w:rPr>
          <w:bCs/>
          <w:b/>
          <w:color w:val="3F827B"/>
          <w:sz w:val="24"/>
        </w:rPr>
        <w:t xml:space="preserve"> </w:t>
      </w:r>
      <w:r>
        <w:rPr>
          <w:bCs/>
          <w:b/>
          <w:color w:val="3F827B"/>
          <w:sz w:val="24"/>
        </w:rPr>
        <w:t xml:space="preserve">“</w:t>
      </w:r>
      <w:r>
        <w:rPr>
          <w:bCs/>
          <w:b/>
          <w:color w:val="3F827B"/>
          <w:sz w:val="24"/>
        </w:rPr>
        <w:t xml:space="preserve">provisional Refreeze</w:t>
      </w:r>
      <w:r>
        <w:rPr>
          <w:bCs/>
          <w:b/>
          <w:color w:val="3F827B"/>
          <w:sz w:val="24"/>
        </w:rPr>
        <w:t xml:space="preserve">”</w:t>
      </w:r>
      <w:r>
        <w:rPr>
          <w:bCs/>
          <w:b/>
          <w:color w:val="3F827B"/>
          <w:sz w:val="24"/>
        </w:rPr>
        <w:t xml:space="preserve"> </w:t>
      </w:r>
      <w:r>
        <w:rPr>
          <w:bCs/>
          <w:b/>
          <w:color w:val="3F827B"/>
          <w:sz w:val="24"/>
        </w:rPr>
        <w:t xml:space="preserve">pending emotional-layer evidence</w:t>
      </w:r>
    </w:p>
    <w:p>
      <w:pPr>
        <w:pStyle w:val="BodyText"/>
      </w:pPr>
      <w:r>
        <w:rPr>
          <w:bCs/>
          <w:b/>
        </w:rPr>
        <w:t xml:space="preserve">journi:</w:t>
      </w:r>
      <w:r>
        <w:t xml:space="preserve"> </w:t>
      </w:r>
      <w:r>
        <w:rPr>
          <w:iCs/>
          <w:i/>
        </w:rPr>
        <w:t xml:space="preserve">This is entered/updated in journi — M3.</w:t>
      </w:r>
    </w:p>
    <w:p>
      <w:pPr>
        <w:pStyle w:val="BodyText"/>
      </w:pPr>
      <w:r>
        <w:rPr>
          <w:bCs/>
          <w:b/>
          <w:color w:val="5A8F89"/>
          <w:sz w:val="22"/>
        </w:rPr>
        <w:t xml:space="preserve">Step 1 — Annotate the phase as provisional</w:t>
      </w:r>
    </w:p>
    <w:p>
      <w:pPr>
        <w:pStyle w:val="BodyText"/>
      </w:pPr>
      <w:r>
        <w:t xml:space="preserve">A provisional label that only the Change Manager knows about doesn't protect anything; it needs to be visible on every readiness report the Steering Committee sees.</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1397"/>
        <w:gridCol w:w="3157"/>
        <w:gridCol w:w="621"/>
        <w:gridCol w:w="905"/>
        <w:gridCol w:w="1785"/>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Program Manager; Change Manager; Executive Sponsor.</w:t>
            </w:r>
          </w:p>
        </w:tc>
        <w:tc>
          <w:tcPr/>
          <w:p>
            <w:pPr>
              <w:pStyle w:val="Compact"/>
              <w:jc w:val="left"/>
            </w:pPr>
            <w:r>
              <w:t xml:space="preserve">Go-live technical validation report; post-cutover Bridges / Kübler-Ross pulse; original Lewin phase-call justification.</w:t>
            </w:r>
          </w:p>
        </w:tc>
        <w:tc>
          <w:tcPr/>
          <w:p>
            <w:pPr>
              <w:pStyle w:val="Compact"/>
              <w:jc w:val="left"/>
            </w:pPr>
            <w:r>
              <w:t xml:space="preserve">Phase-call annotation</w:t>
            </w:r>
          </w:p>
        </w:tc>
        <w:tc>
          <w:tcPr/>
          <w:p>
            <w:pPr>
              <w:pStyle w:val="Compact"/>
              <w:jc w:val="left"/>
            </w:pPr>
            <w:r>
              <w:t xml:space="preserve">Annotated provisional phase call</w:t>
            </w:r>
          </w:p>
        </w:tc>
        <w:tc>
          <w:tcPr/>
          <w:p>
            <w:pPr>
              <w:pStyle w:val="Compact"/>
              <w:jc w:val="left"/>
            </w:pPr>
            <w:r>
              <w:t xml:space="preserve">Steering Committee; Change Manager; Sustainment team (next phase).</w:t>
            </w:r>
          </w:p>
        </w:tc>
      </w:tr>
    </w:tbl>
    <w:p>
      <w:pPr>
        <w:pStyle w:val="BodyText"/>
      </w:pPr>
      <w:r>
        <w:rPr>
          <w:iCs/>
          <w:i/>
        </w:rPr>
        <w:t xml:space="preserve">Technique detail for this step.</w:t>
      </w:r>
    </w:p>
    <w:tbl>
      <w:tblPr>
        <w:tblStyle w:val="Table"/>
        <w:tblW w:type="pct" w:w="4939"/>
        <w:tblLook w:firstRow="1" w:lastRow="0" w:firstColumn="0" w:lastColumn="0" w:noHBand="0" w:noVBand="0" w:val="0020"/>
        <w:jc w:val="start"/>
      </w:tblPr>
      <w:tblGrid>
        <w:gridCol w:w="1506"/>
        <w:gridCol w:w="631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Phase-call annotation</w:t>
            </w:r>
          </w:p>
        </w:tc>
      </w:tr>
      <w:tr>
        <w:tc>
          <w:tcPr/>
          <w:p>
            <w:pPr>
              <w:pStyle w:val="Compact"/>
              <w:jc w:val="left"/>
            </w:pPr>
            <w:r>
              <w:t xml:space="preserve">Technique Goal</w:t>
            </w:r>
          </w:p>
        </w:tc>
        <w:tc>
          <w:tcPr/>
          <w:p>
            <w:pPr>
              <w:pStyle w:val="Compact"/>
              <w:jc w:val="left"/>
            </w:pPr>
            <w:r>
              <w:t xml:space="preserve">Make the provisional status visible to all stakeholders.</w:t>
            </w:r>
          </w:p>
        </w:tc>
      </w:tr>
      <w:tr>
        <w:tc>
          <w:tcPr/>
          <w:p>
            <w:pPr>
              <w:pStyle w:val="Compact"/>
              <w:jc w:val="left"/>
            </w:pPr>
            <w:r>
              <w:t xml:space="preserve">Technique Details</w:t>
            </w:r>
          </w:p>
        </w:tc>
        <w:tc>
          <w:tcPr/>
          <w:p>
            <w:pPr>
              <w:pStyle w:val="Compact"/>
              <w:jc w:val="left"/>
            </w:pPr>
            <w:r>
              <w:t xml:space="preserve">Set the Lewin phase field to</w:t>
            </w:r>
            <w:r>
              <w:t xml:space="preserve"> </w:t>
            </w:r>
            <w:r>
              <w:t xml:space="preserve">“</w:t>
            </w:r>
            <w:r>
              <w:t xml:space="preserve">Change → Refreeze (provisional)</w:t>
            </w:r>
            <w:r>
              <w:t xml:space="preserve">”</w:t>
            </w:r>
            <w:r>
              <w:t xml:space="preserve"> </w:t>
            </w:r>
            <w:r>
              <w:t xml:space="preserve">with a linked rationale note, visible on every readiness report.</w:t>
            </w:r>
          </w:p>
        </w:tc>
      </w:tr>
      <w:tr>
        <w:tc>
          <w:tcPr/>
          <w:p>
            <w:pPr>
              <w:pStyle w:val="Compact"/>
              <w:jc w:val="left"/>
            </w:pPr>
            <w:r>
              <w:t xml:space="preserve">Recommended Open-Source Tool</w:t>
            </w:r>
          </w:p>
        </w:tc>
        <w:tc>
          <w:tcPr/>
          <w:p>
            <w:pPr>
              <w:pStyle w:val="Compact"/>
              <w:jc w:val="left"/>
            </w:pPr>
            <w:r>
              <w:t xml:space="preserve">OpenProject wiki</w:t>
            </w:r>
          </w:p>
        </w:tc>
      </w:tr>
    </w:tbl>
    <w:p>
      <w:pPr>
        <w:pStyle w:val="BodyText"/>
      </w:pPr>
      <w:r>
        <w:rPr>
          <w:bCs/>
          <w:b/>
        </w:rPr>
        <w:t xml:space="preserve">journi:</w:t>
      </w:r>
      <w:r>
        <w:t xml:space="preserve"> </w:t>
      </w:r>
      <w:r>
        <w:rPr>
          <w:iCs/>
          <w:i/>
        </w:rPr>
        <w:t xml:space="preserve">This is entered/updated in journi — M3.</w:t>
      </w:r>
    </w:p>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PM</w:t>
            </w:r>
          </w:p>
        </w:tc>
        <w:tc>
          <w:tcPr/>
          <w:p>
            <w:pPr>
              <w:pStyle w:val="Compact"/>
              <w:jc w:val="left"/>
            </w:pPr>
            <w:r>
              <w:t xml:space="preserve">ITL</w:t>
            </w:r>
          </w:p>
        </w:tc>
        <w:tc>
          <w:tcPr/>
          <w:p>
            <w:pPr>
              <w:pStyle w:val="Compact"/>
              <w:jc w:val="left"/>
            </w:pPr>
            <w:r>
              <w:t xml:space="preserve">ES, FPO, SUP, EU</w:t>
            </w:r>
          </w:p>
        </w:tc>
      </w:tr>
    </w:tbl>
    <w:p>
      <w:pPr>
        <w:pStyle w:val="BodyText"/>
      </w:pPr>
      <w:r>
        <w:rPr>
          <w:bCs/>
          <w:b/>
          <w:color w:val="3F827B"/>
          <w:sz w:val="24"/>
        </w:rPr>
        <w:t xml:space="preserve">Task 3 — [JOINT] Keep Reinforcement and the hypercare support model fully active</w:t>
      </w:r>
    </w:p>
    <w:p>
      <w:pPr>
        <w:pStyle w:val="BodyText"/>
      </w:pPr>
      <w:r>
        <w:rPr>
          <w:bCs/>
          <w:b/>
          <w:color w:val="5A8F89"/>
          <w:sz w:val="22"/>
        </w:rPr>
        <w:t xml:space="preserve">Step 1 — Extend hypercare resourcing</w:t>
      </w:r>
    </w:p>
    <w:p>
      <w:pPr>
        <w:pStyle w:val="BodyText"/>
      </w:pPr>
      <w:r>
        <w:t xml:space="preserve">The single most common way this exception fails in practice is hypercare staffing quietly tapering on the go-live date regardless of what the emotional-layer data says.</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353"/>
        <w:gridCol w:w="3057"/>
        <w:gridCol w:w="927"/>
        <w:gridCol w:w="802"/>
        <w:gridCol w:w="172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Program Manager; Change Manager; Executive Sponsor.</w:t>
            </w:r>
          </w:p>
        </w:tc>
        <w:tc>
          <w:tcPr/>
          <w:p>
            <w:pPr>
              <w:pStyle w:val="Compact"/>
              <w:jc w:val="left"/>
            </w:pPr>
            <w:r>
              <w:t xml:space="preserve">Go-live technical validation report; post-cutover Bridges / Kübler-Ross pulse; original Lewin phase-call justification.</w:t>
            </w:r>
          </w:p>
        </w:tc>
        <w:tc>
          <w:tcPr/>
          <w:p>
            <w:pPr>
              <w:pStyle w:val="Compact"/>
              <w:jc w:val="left"/>
            </w:pPr>
            <w:r>
              <w:t xml:space="preserve">Budget / staffing extension review</w:t>
            </w:r>
          </w:p>
        </w:tc>
        <w:tc>
          <w:tcPr/>
          <w:p>
            <w:pPr>
              <w:pStyle w:val="Compact"/>
              <w:jc w:val="left"/>
            </w:pPr>
            <w:r>
              <w:t xml:space="preserve">Extended hypercare resourcing</w:t>
            </w:r>
          </w:p>
        </w:tc>
        <w:tc>
          <w:tcPr/>
          <w:p>
            <w:pPr>
              <w:pStyle w:val="Compact"/>
              <w:jc w:val="left"/>
            </w:pPr>
            <w:r>
              <w:t xml:space="preserve">Steering Committee; Change Manager; Sustainment team (next phase).</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79"/>
        <w:gridCol w:w="634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Budget / staffing extension review</w:t>
            </w:r>
          </w:p>
        </w:tc>
      </w:tr>
      <w:tr>
        <w:tc>
          <w:tcPr/>
          <w:p>
            <w:pPr>
              <w:pStyle w:val="Compact"/>
              <w:jc w:val="left"/>
            </w:pPr>
            <w:r>
              <w:t xml:space="preserve">Technique Goal</w:t>
            </w:r>
          </w:p>
        </w:tc>
        <w:tc>
          <w:tcPr/>
          <w:p>
            <w:pPr>
              <w:pStyle w:val="Compact"/>
              <w:jc w:val="left"/>
            </w:pPr>
            <w:r>
              <w:t xml:space="preserve">Keep support resourced past the technical go-live date.</w:t>
            </w:r>
          </w:p>
        </w:tc>
      </w:tr>
      <w:tr>
        <w:tc>
          <w:tcPr/>
          <w:p>
            <w:pPr>
              <w:pStyle w:val="Compact"/>
              <w:jc w:val="left"/>
            </w:pPr>
            <w:r>
              <w:t xml:space="preserve">Technique Details</w:t>
            </w:r>
          </w:p>
        </w:tc>
        <w:tc>
          <w:tcPr/>
          <w:p>
            <w:pPr>
              <w:pStyle w:val="Compact"/>
              <w:jc w:val="left"/>
            </w:pPr>
            <w:r>
              <w:t xml:space="preserve">Confirm hypercare staffing and budget remain at full strength until the emotional-layer re-pulse, not just until the go-live date.</w:t>
            </w:r>
          </w:p>
        </w:tc>
      </w:tr>
      <w:tr>
        <w:tc>
          <w:tcPr/>
          <w:p>
            <w:pPr>
              <w:pStyle w:val="Compact"/>
              <w:jc w:val="left"/>
            </w:pPr>
            <w:r>
              <w:t xml:space="preserve">Recommended Open-Source Tool</w:t>
            </w:r>
          </w:p>
        </w:tc>
        <w:tc>
          <w:tcPr/>
          <w:p>
            <w:pPr>
              <w:pStyle w:val="Compact"/>
              <w:jc w:val="left"/>
            </w:pPr>
            <w:r>
              <w:t xml:space="preserve">OpenProject</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SUP</w:t>
            </w:r>
          </w:p>
        </w:tc>
        <w:tc>
          <w:tcPr/>
          <w:p>
            <w:pPr>
              <w:pStyle w:val="Compact"/>
              <w:jc w:val="left"/>
            </w:pPr>
            <w:r>
              <w:t xml:space="preserve">ES</w:t>
            </w:r>
          </w:p>
        </w:tc>
        <w:tc>
          <w:tcPr/>
          <w:p>
            <w:pPr>
              <w:pStyle w:val="Compact"/>
              <w:jc w:val="left"/>
            </w:pPr>
            <w:r>
              <w:t xml:space="preserve">PM, FPO</w:t>
            </w:r>
          </w:p>
        </w:tc>
        <w:tc>
          <w:tcPr/>
          <w:p>
            <w:pPr>
              <w:pStyle w:val="Compact"/>
              <w:jc w:val="left"/>
            </w:pPr>
            <w:r>
              <w:t xml:space="preserve">ITL</w:t>
            </w:r>
          </w:p>
        </w:tc>
        <w:tc>
          <w:tcPr/>
          <w:p>
            <w:pPr>
              <w:pStyle w:val="Compact"/>
              <w:jc w:val="left"/>
            </w:pPr>
            <w:r>
              <w:t xml:space="preserve">EU</w:t>
            </w:r>
          </w:p>
        </w:tc>
      </w:tr>
    </w:tbl>
    <w:p>
      <w:pPr>
        <w:pStyle w:val="BodyText"/>
      </w:pPr>
      <w:r>
        <w:rPr>
          <w:bCs/>
          <w:b/>
          <w:color w:val="3F827B"/>
          <w:sz w:val="24"/>
        </w:rPr>
        <w:t xml:space="preserve">Task 4 — [CHANGE] Re-pulse Bridges / Kübler-Ross at 2 and 4 weeks</w:t>
      </w:r>
    </w:p>
    <w:p>
      <w:pPr>
        <w:pStyle w:val="BodyText"/>
      </w:pPr>
      <w:r>
        <w:rPr>
          <w:bCs/>
          <w:b/>
        </w:rPr>
        <w:t xml:space="preserve">journi:</w:t>
      </w:r>
      <w:r>
        <w:t xml:space="preserve"> </w:t>
      </w:r>
      <w:r>
        <w:rPr>
          <w:iCs/>
          <w:i/>
        </w:rPr>
        <w:t xml:space="preserve">This is entered/updated in journi — M6.</w:t>
      </w:r>
    </w:p>
    <w:p>
      <w:pPr>
        <w:pStyle w:val="BodyText"/>
      </w:pPr>
      <w:r>
        <w:rPr>
          <w:bCs/>
          <w:b/>
          <w:color w:val="5A8F89"/>
          <w:sz w:val="22"/>
        </w:rPr>
        <w:t xml:space="preserve">Step 1 — Gather fresh emotional-layer evidence</w:t>
      </w:r>
    </w:p>
    <w:p>
      <w:pPr>
        <w:pStyle w:val="BodyText"/>
      </w:pPr>
      <w:r>
        <w:t xml:space="preserve">This is the same standard post-go-live pulse defined in Phase 7 — the exception doesn't require a new instrument, only a firmer commitment to actually run it.</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1449"/>
        <w:gridCol w:w="3275"/>
        <w:gridCol w:w="402"/>
        <w:gridCol w:w="885"/>
        <w:gridCol w:w="185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Program Manager; Change Manager; Executive Sponsor.</w:t>
            </w:r>
          </w:p>
        </w:tc>
        <w:tc>
          <w:tcPr/>
          <w:p>
            <w:pPr>
              <w:pStyle w:val="Compact"/>
              <w:jc w:val="left"/>
            </w:pPr>
            <w:r>
              <w:t xml:space="preserve">Go-live technical validation report; post-cutover Bridges / Kübler-Ross pulse; original Lewin phase-call justification.</w:t>
            </w:r>
          </w:p>
        </w:tc>
        <w:tc>
          <w:tcPr/>
          <w:p>
            <w:pPr>
              <w:pStyle w:val="Compact"/>
              <w:jc w:val="left"/>
            </w:pPr>
            <w:r>
              <w:t xml:space="preserve">Pulse survey</w:t>
            </w:r>
          </w:p>
        </w:tc>
        <w:tc>
          <w:tcPr/>
          <w:p>
            <w:pPr>
              <w:pStyle w:val="Compact"/>
              <w:jc w:val="left"/>
            </w:pPr>
            <w:r>
              <w:t xml:space="preserve">Fresh emotional-layer evidence</w:t>
            </w:r>
          </w:p>
        </w:tc>
        <w:tc>
          <w:tcPr/>
          <w:p>
            <w:pPr>
              <w:pStyle w:val="Compact"/>
              <w:jc w:val="left"/>
            </w:pPr>
            <w:r>
              <w:t xml:space="preserve">Steering Committee; Change Manager; Sustainment team (next phase).</w:t>
            </w:r>
          </w:p>
        </w:tc>
      </w:tr>
    </w:tbl>
    <w:p>
      <w:pPr>
        <w:pStyle w:val="BodyText"/>
      </w:pPr>
      <w:r>
        <w:rPr>
          <w:iCs/>
          <w:i/>
        </w:rPr>
        <w:t xml:space="preserve">Technique detail for this step.</w:t>
      </w:r>
    </w:p>
    <w:tbl>
      <w:tblPr>
        <w:tblStyle w:val="Table"/>
        <w:tblW w:type="pct" w:w="4919"/>
        <w:tblLook w:firstRow="1" w:lastRow="0" w:firstColumn="0" w:lastColumn="0" w:noHBand="0" w:noVBand="0" w:val="0020"/>
        <w:jc w:val="start"/>
      </w:tblPr>
      <w:tblGrid>
        <w:gridCol w:w="1980"/>
        <w:gridCol w:w="581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Pulse survey</w:t>
            </w:r>
          </w:p>
        </w:tc>
      </w:tr>
      <w:tr>
        <w:tc>
          <w:tcPr/>
          <w:p>
            <w:pPr>
              <w:pStyle w:val="Compact"/>
              <w:jc w:val="left"/>
            </w:pPr>
            <w:r>
              <w:t xml:space="preserve">Technique Goal</w:t>
            </w:r>
          </w:p>
        </w:tc>
        <w:tc>
          <w:tcPr/>
          <w:p>
            <w:pPr>
              <w:pStyle w:val="Compact"/>
              <w:jc w:val="left"/>
            </w:pPr>
            <w:r>
              <w:t xml:space="preserve">Gather fresh emotional-layer evidence.</w:t>
            </w:r>
          </w:p>
        </w:tc>
      </w:tr>
      <w:tr>
        <w:tc>
          <w:tcPr/>
          <w:p>
            <w:pPr>
              <w:pStyle w:val="Compact"/>
              <w:jc w:val="left"/>
            </w:pPr>
            <w:r>
              <w:t xml:space="preserve">Technique Details</w:t>
            </w:r>
          </w:p>
        </w:tc>
        <w:tc>
          <w:tcPr/>
          <w:p>
            <w:pPr>
              <w:pStyle w:val="Compact"/>
              <w:jc w:val="left"/>
            </w:pPr>
            <w:r>
              <w:t xml:space="preserve">Issue the standard post-go-live Bridges/Kübler-Ross instrument at exactly weeks 2 and 4.</w:t>
            </w:r>
          </w:p>
        </w:tc>
      </w:tr>
      <w:tr>
        <w:tc>
          <w:tcPr/>
          <w:p>
            <w:pPr>
              <w:pStyle w:val="Compact"/>
              <w:jc w:val="left"/>
            </w:pPr>
            <w:r>
              <w:t xml:space="preserve">Recommended Open-Source Tool</w:t>
            </w:r>
          </w:p>
        </w:tc>
        <w:tc>
          <w:tcPr/>
          <w:p>
            <w:pPr>
              <w:pStyle w:val="Compact"/>
              <w:jc w:val="left"/>
            </w:pPr>
            <w:r>
              <w:t xml:space="preserve">LimeSurvey</w:t>
            </w:r>
          </w:p>
        </w:tc>
      </w:tr>
    </w:tbl>
    <w:p>
      <w:pPr>
        <w:pStyle w:val="BodyText"/>
      </w:pPr>
      <w:r>
        <w:rPr>
          <w:bCs/>
          <w:b/>
        </w:rPr>
        <w:t xml:space="preserve">journi:</w:t>
      </w:r>
      <w:r>
        <w:t xml:space="preserve"> </w:t>
      </w:r>
      <w:r>
        <w:rPr>
          <w:iCs/>
          <w:i/>
        </w:rPr>
        <w:t xml:space="preserve">This is entered/updated in journi — M6.</w:t>
      </w:r>
    </w:p>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EU</w:t>
            </w:r>
          </w:p>
        </w:tc>
        <w:tc>
          <w:tcPr/>
          <w:p>
            <w:pPr>
              <w:pStyle w:val="Compact"/>
              <w:jc w:val="left"/>
            </w:pPr>
            <w:r>
              <w:t xml:space="preserve">CM</w:t>
            </w:r>
          </w:p>
        </w:tc>
        <w:tc>
          <w:tcPr/>
          <w:p>
            <w:pPr>
              <w:pStyle w:val="Compact"/>
              <w:jc w:val="left"/>
            </w:pPr>
            <w:r>
              <w:t xml:space="preserve">SUP</w:t>
            </w:r>
          </w:p>
        </w:tc>
        <w:tc>
          <w:tcPr/>
          <w:p>
            <w:pPr>
              <w:pStyle w:val="Compact"/>
              <w:jc w:val="left"/>
            </w:pPr>
            <w:r>
              <w:t xml:space="preserve">FPO</w:t>
            </w:r>
          </w:p>
        </w:tc>
        <w:tc>
          <w:tcPr/>
          <w:p>
            <w:pPr>
              <w:pStyle w:val="Compact"/>
              <w:jc w:val="left"/>
            </w:pPr>
            <w:r>
              <w:t xml:space="preserve">ES, PM, ITL</w:t>
            </w:r>
          </w:p>
        </w:tc>
      </w:tr>
    </w:tbl>
    <w:p>
      <w:pPr>
        <w:pStyle w:val="BodyText"/>
      </w:pPr>
      <w:r>
        <w:rPr>
          <w:bCs/>
          <w:b/>
          <w:color w:val="3F827B"/>
          <w:sz w:val="24"/>
        </w:rPr>
        <w:t xml:space="preserve">Task 5 — [CHANGE] Confirm or walk back the Refreeze call once evidence supports it</w:t>
      </w:r>
    </w:p>
    <w:p>
      <w:pPr>
        <w:pStyle w:val="BodyText"/>
      </w:pPr>
      <w:r>
        <w:rPr>
          <w:bCs/>
          <w:b/>
        </w:rPr>
        <w:t xml:space="preserve">journi:</w:t>
      </w:r>
      <w:r>
        <w:t xml:space="preserve"> </w:t>
      </w:r>
      <w:r>
        <w:rPr>
          <w:iCs/>
          <w:i/>
        </w:rPr>
        <w:t xml:space="preserve">This is entered/updated in journi — M3.</w:t>
      </w:r>
    </w:p>
    <w:p>
      <w:pPr>
        <w:pStyle w:val="BodyText"/>
      </w:pPr>
      <w:r>
        <w:rPr>
          <w:bCs/>
          <w:b/>
          <w:color w:val="5A8F89"/>
          <w:sz w:val="22"/>
        </w:rPr>
        <w:t xml:space="preserve">Step 1 — Finalize the phase call from evidence</w:t>
      </w:r>
    </w:p>
    <w:p>
      <w:pPr>
        <w:pStyle w:val="BodyText"/>
      </w:pPr>
      <w:r>
        <w:t xml:space="preserve">Walking a phase call back from Refreeze to Change is not a failure to report — it is the framework working exactly as intended when the emotional-layer evidence says the earlier call was premature.</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1425"/>
        <w:gridCol w:w="3220"/>
        <w:gridCol w:w="633"/>
        <w:gridCol w:w="765"/>
        <w:gridCol w:w="182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Program Manager; Change Manager; Executive Sponsor.</w:t>
            </w:r>
          </w:p>
        </w:tc>
        <w:tc>
          <w:tcPr/>
          <w:p>
            <w:pPr>
              <w:pStyle w:val="Compact"/>
              <w:jc w:val="left"/>
            </w:pPr>
            <w:r>
              <w:t xml:space="preserve">Go-live technical validation report; post-cutover Bridges / Kübler-Ross pulse; original Lewin phase-call justification.</w:t>
            </w:r>
          </w:p>
        </w:tc>
        <w:tc>
          <w:tcPr/>
          <w:p>
            <w:pPr>
              <w:pStyle w:val="Compact"/>
              <w:jc w:val="left"/>
            </w:pPr>
            <w:r>
              <w:t xml:space="preserve">Evidence-based review</w:t>
            </w:r>
          </w:p>
        </w:tc>
        <w:tc>
          <w:tcPr/>
          <w:p>
            <w:pPr>
              <w:pStyle w:val="Compact"/>
              <w:jc w:val="left"/>
            </w:pPr>
            <w:r>
              <w:t xml:space="preserve">Finalized Lewin phase call</w:t>
            </w:r>
          </w:p>
        </w:tc>
        <w:tc>
          <w:tcPr/>
          <w:p>
            <w:pPr>
              <w:pStyle w:val="Compact"/>
              <w:jc w:val="left"/>
            </w:pPr>
            <w:r>
              <w:t xml:space="preserve">Steering Committee; Change Manager; Sustainment team (next phase).</w:t>
            </w:r>
          </w:p>
        </w:tc>
      </w:tr>
    </w:tbl>
    <w:p>
      <w:pPr>
        <w:pStyle w:val="BodyText"/>
      </w:pPr>
      <w:r>
        <w:rPr>
          <w:iCs/>
          <w:i/>
        </w:rPr>
        <w:t xml:space="preserve">Technique detail for this step.</w:t>
      </w:r>
    </w:p>
    <w:tbl>
      <w:tblPr>
        <w:tblStyle w:val="Table"/>
        <w:tblW w:type="pct" w:w="4940"/>
        <w:tblLook w:firstRow="1" w:lastRow="0" w:firstColumn="0" w:lastColumn="0" w:noHBand="0" w:noVBand="0" w:val="0020"/>
        <w:jc w:val="start"/>
      </w:tblPr>
      <w:tblGrid>
        <w:gridCol w:w="1479"/>
        <w:gridCol w:w="634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Evidence-based review</w:t>
            </w:r>
          </w:p>
        </w:tc>
      </w:tr>
      <w:tr>
        <w:tc>
          <w:tcPr/>
          <w:p>
            <w:pPr>
              <w:pStyle w:val="Compact"/>
              <w:jc w:val="left"/>
            </w:pPr>
            <w:r>
              <w:t xml:space="preserve">Technique Goal</w:t>
            </w:r>
          </w:p>
        </w:tc>
        <w:tc>
          <w:tcPr/>
          <w:p>
            <w:pPr>
              <w:pStyle w:val="Compact"/>
              <w:jc w:val="left"/>
            </w:pPr>
            <w:r>
              <w:t xml:space="preserve">Finalize the phase call from re-pulse data.</w:t>
            </w:r>
          </w:p>
        </w:tc>
      </w:tr>
      <w:tr>
        <w:tc>
          <w:tcPr/>
          <w:p>
            <w:pPr>
              <w:pStyle w:val="Compact"/>
              <w:jc w:val="left"/>
            </w:pPr>
            <w:r>
              <w:t xml:space="preserve">Technique Details</w:t>
            </w:r>
          </w:p>
        </w:tc>
        <w:tc>
          <w:tcPr/>
          <w:p>
            <w:pPr>
              <w:pStyle w:val="Compact"/>
              <w:jc w:val="left"/>
            </w:pPr>
            <w:r>
              <w:t xml:space="preserve">Review the re-pulse results against the provisional call and either confirm Refreeze or revert to Change with a documented reason.</w:t>
            </w:r>
          </w:p>
        </w:tc>
      </w:tr>
      <w:tr>
        <w:tc>
          <w:tcPr/>
          <w:p>
            <w:pPr>
              <w:pStyle w:val="Compact"/>
              <w:jc w:val="left"/>
            </w:pPr>
            <w:r>
              <w:t xml:space="preserve">Recommended Open-Source Tool</w:t>
            </w:r>
          </w:p>
        </w:tc>
        <w:tc>
          <w:tcPr/>
          <w:p>
            <w:pPr>
              <w:pStyle w:val="Compact"/>
              <w:jc w:val="left"/>
            </w:pPr>
            <w:r>
              <w:t xml:space="preserve">Metabase</w:t>
            </w:r>
          </w:p>
        </w:tc>
      </w:tr>
    </w:tbl>
    <w:p>
      <w:pPr>
        <w:pStyle w:val="BodyText"/>
      </w:pPr>
      <w:r>
        <w:rPr>
          <w:bCs/>
          <w:b/>
        </w:rPr>
        <w:t xml:space="preserve">journi:</w:t>
      </w:r>
      <w:r>
        <w:t xml:space="preserve"> </w:t>
      </w:r>
      <w:r>
        <w:rPr>
          <w:iCs/>
          <w:i/>
        </w:rPr>
        <w:t xml:space="preserve">This is entered/updated in journi — M3.</w:t>
      </w:r>
    </w:p>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ES</w:t>
            </w:r>
          </w:p>
        </w:tc>
        <w:tc>
          <w:tcPr/>
          <w:p>
            <w:pPr>
              <w:pStyle w:val="Compact"/>
              <w:jc w:val="left"/>
            </w:pPr>
            <w:r>
              <w:t xml:space="preserve">PM, FPO</w:t>
            </w:r>
          </w:p>
        </w:tc>
        <w:tc>
          <w:tcPr/>
          <w:p>
            <w:pPr>
              <w:pStyle w:val="Compact"/>
              <w:jc w:val="left"/>
            </w:pPr>
            <w:r>
              <w:t xml:space="preserve">ITL</w:t>
            </w:r>
          </w:p>
        </w:tc>
        <w:tc>
          <w:tcPr/>
          <w:p>
            <w:pPr>
              <w:pStyle w:val="Compact"/>
              <w:jc w:val="left"/>
            </w:pPr>
            <w:r>
              <w:t xml:space="preserve">SUP, EU</w:t>
            </w:r>
          </w:p>
        </w:tc>
      </w:tr>
    </w:tbl>
    <w:p>
      <w:pPr>
        <w:pStyle w:val="BodyText"/>
      </w:pPr>
      <w:r>
        <w:rPr>
          <w:bCs/>
          <w:b/>
          <w:color w:val="275650"/>
          <w:sz w:val="27"/>
        </w:rPr>
        <w:t xml:space="preserve">9.4 E4 — Sentiment Regression During Hypercare</w:t>
      </w:r>
    </w:p>
    <w:p>
      <w:pPr>
        <w:pStyle w:val="BodyText"/>
      </w:pPr>
      <w:r>
        <w:rPr>
          <w:iCs/>
          <w:i/>
        </w:rPr>
        <w:t xml:space="preserve">Related to Phase 7</w:t>
      </w:r>
    </w:p>
    <w:tbl>
      <w:tblPr>
        <w:tblStyle w:val="Table"/>
        <w:tblW w:type="pct" w:w="4939"/>
        <w:tblLook w:firstRow="1" w:lastRow="0" w:firstColumn="0" w:lastColumn="0" w:noHBand="0" w:noVBand="0" w:val="0020"/>
        <w:jc w:val="start"/>
      </w:tblPr>
      <w:tblGrid>
        <w:gridCol w:w="874"/>
        <w:gridCol w:w="6948"/>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Trigger</w:t>
            </w:r>
          </w:p>
        </w:tc>
        <w:tc>
          <w:tcPr/>
          <w:p>
            <w:pPr>
              <w:pStyle w:val="Compact"/>
              <w:jc w:val="left"/>
            </w:pPr>
            <w:r>
              <w:t xml:space="preserve">A cohort's Kübler-Ross reading moves backward — typically from Exploration to Resistance/Anger — following a specific triggering event.</w:t>
            </w:r>
          </w:p>
        </w:tc>
      </w:tr>
      <w:tr>
        <w:tc>
          <w:tcPr/>
          <w:p>
            <w:pPr>
              <w:pStyle w:val="Compact"/>
              <w:jc w:val="left"/>
            </w:pPr>
            <w:r>
              <w:t xml:space="preserve">Timeline Impact</w:t>
            </w:r>
          </w:p>
        </w:tc>
        <w:tc>
          <w:tcPr/>
          <w:p>
            <w:pPr>
              <w:pStyle w:val="Compact"/>
              <w:jc w:val="left"/>
            </w:pPr>
            <w:r>
              <w:t xml:space="preserve">A short, contained cycle of days to roughly two weeks; escalate only if the pattern recurs across multiple teams.</w:t>
            </w:r>
          </w:p>
        </w:tc>
      </w:tr>
    </w:tbl>
    <w:p>
      <w:pPr>
        <w:pStyle w:val="BodyText"/>
      </w:pPr>
      <w:r>
        <w:rPr>
          <w:iCs/>
          <w:i/>
        </w:rPr>
        <w:t xml:space="preserve">Trigger and timeline impact for E4.</w:t>
      </w:r>
    </w:p>
    <w:p>
      <w:pPr>
        <w:pStyle w:val="BodyText"/>
      </w:pPr>
      <w:r>
        <w:rPr>
          <w:bCs/>
          <w:b/>
        </w:rPr>
        <w:t xml:space="preserve">SIPOC</w:t>
      </w:r>
    </w:p>
    <w:tbl>
      <w:tblPr>
        <w:tblStyle w:val="Table"/>
        <w:tblW w:type="pct" w:w="4968"/>
        <w:tblLook w:firstRow="1" w:lastRow="0" w:firstColumn="0" w:lastColumn="0" w:noHBand="0" w:noVBand="0" w:val="0020"/>
        <w:jc w:val="start"/>
      </w:tblPr>
      <w:tblGrid>
        <w:gridCol w:w="1280"/>
        <w:gridCol w:w="1415"/>
        <w:gridCol w:w="1567"/>
        <w:gridCol w:w="2072"/>
        <w:gridCol w:w="153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Frontline Supervisor; IT/Technical Lead (incident owner); Change Manager.</w:t>
            </w:r>
          </w:p>
        </w:tc>
        <w:tc>
          <w:tcPr/>
          <w:p>
            <w:pPr>
              <w:pStyle w:val="Compact"/>
              <w:jc w:val="left"/>
            </w:pPr>
            <w:r>
              <w:t xml:space="preserve">Incident/defect log entry; localized adoption-metric dip; supervisor observation.</w:t>
            </w:r>
          </w:p>
        </w:tc>
        <w:tc>
          <w:tcPr/>
          <w:p>
            <w:pPr>
              <w:jc w:val="left"/>
            </w:pPr>
            <w:r>
              <w:t xml:space="preserve">1. Confirm the regression is tied to a specific incident, not a general readiness failure</w:t>
            </w:r>
          </w:p>
          <w:p>
            <w:pPr>
              <w:jc w:val="left"/>
            </w:pPr>
            <w:r>
              <w:t xml:space="preserve">2. Resolve or clearly communicate the status of the triggering defect</w:t>
            </w:r>
          </w:p>
          <w:p>
            <w:pPr>
              <w:jc w:val="left"/>
            </w:pPr>
            <w:r>
              <w:t xml:space="preserve">3. Have the supervisor directly acknowledge the setback with the affected team</w:t>
            </w:r>
          </w:p>
          <w:p>
            <w:pPr>
              <w:jc w:val="left"/>
            </w:pPr>
            <w:r>
              <w:t xml:space="preserve">4. Provide targeted, in-context coaching on the specific process step affected</w:t>
            </w:r>
          </w:p>
          <w:p>
            <w:pPr>
              <w:jc w:val="left"/>
            </w:pPr>
            <w:r>
              <w:t xml:space="preserve">5. Re-pulse the affected cohort only, at 1–2 weeks</w:t>
            </w:r>
          </w:p>
        </w:tc>
        <w:tc>
          <w:tcPr/>
          <w:p>
            <w:pPr>
              <w:pStyle w:val="Compact"/>
              <w:jc w:val="left"/>
            </w:pPr>
            <w:r>
              <w:t xml:space="preserve">Resolved or communicated incident; documented regression event and response; confirmed recovery or continued monitoring.</w:t>
            </w:r>
          </w:p>
        </w:tc>
        <w:tc>
          <w:tcPr/>
          <w:p>
            <w:pPr>
              <w:pStyle w:val="Compact"/>
              <w:jc w:val="left"/>
            </w:pPr>
            <w:r>
              <w:t xml:space="preserve">Affected team; Change Manager (regression log); Steering Committee (only if widespread).</w:t>
            </w:r>
          </w:p>
        </w:tc>
      </w:tr>
    </w:tbl>
    <w:p>
      <w:pPr>
        <w:pStyle w:val="BodyText"/>
      </w:pPr>
      <w:r>
        <w:rPr>
          <w:iCs/>
          <w:i/>
        </w:rPr>
        <w:t xml:space="preserve">SIPOC for E4 — Sentiment Regression During Hypercare. The Process column lists this exception's five recovery Tasks in sequence.</w:t>
      </w:r>
    </w:p>
    <w:p>
      <w:pPr>
        <w:pStyle w:val="BodyText"/>
      </w:pPr>
      <w:r>
        <w:rPr>
          <w:bCs/>
          <w:b/>
        </w:rPr>
        <w:t xml:space="preserve">Tasks, Steps, Techniques &amp; RACSI</w:t>
      </w:r>
    </w:p>
    <w:p>
      <w:pPr>
        <w:pStyle w:val="BodyText"/>
      </w:pPr>
      <w:r>
        <w:rPr>
          <w:bCs/>
          <w:b/>
          <w:color w:val="3F827B"/>
          <w:sz w:val="24"/>
        </w:rPr>
        <w:t xml:space="preserve">Task 1 — [JOINT] Confirm the regression is tied to a specific incident, not a general readiness failure</w:t>
      </w:r>
    </w:p>
    <w:p>
      <w:pPr>
        <w:pStyle w:val="BodyText"/>
      </w:pPr>
      <w:r>
        <w:rPr>
          <w:bCs/>
          <w:b/>
          <w:color w:val="5A8F89"/>
          <w:sz w:val="22"/>
        </w:rPr>
        <w:t xml:space="preserve">Step 1 — Correlate the regression to an incident</w:t>
      </w:r>
    </w:p>
    <w:p>
      <w:pPr>
        <w:pStyle w:val="BodyText"/>
      </w:pPr>
      <w:r>
        <w:t xml:space="preserve">This single check determines everything that follows: a confirmed incident link means a fast, localized fix; no clear link means the concern may be broader than one team.</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910"/>
        <w:gridCol w:w="2112"/>
        <w:gridCol w:w="502"/>
        <w:gridCol w:w="1056"/>
        <w:gridCol w:w="228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Frontline Supervisor; IT/Technical Lead (incident owner); Change Manager.</w:t>
            </w:r>
          </w:p>
        </w:tc>
        <w:tc>
          <w:tcPr/>
          <w:p>
            <w:pPr>
              <w:pStyle w:val="Compact"/>
              <w:jc w:val="left"/>
            </w:pPr>
            <w:r>
              <w:t xml:space="preserve">Incident/defect log entry; localized adoption-metric dip; supervisor observation.</w:t>
            </w:r>
          </w:p>
        </w:tc>
        <w:tc>
          <w:tcPr/>
          <w:p>
            <w:pPr>
              <w:pStyle w:val="Compact"/>
              <w:jc w:val="left"/>
            </w:pPr>
            <w:r>
              <w:t xml:space="preserve">Correlation check</w:t>
            </w:r>
          </w:p>
        </w:tc>
        <w:tc>
          <w:tcPr/>
          <w:p>
            <w:pPr>
              <w:pStyle w:val="Compact"/>
              <w:jc w:val="left"/>
            </w:pPr>
            <w:r>
              <w:t xml:space="preserve">Confirmed or ruled-out incident linkage</w:t>
            </w:r>
          </w:p>
        </w:tc>
        <w:tc>
          <w:tcPr/>
          <w:p>
            <w:pPr>
              <w:pStyle w:val="Compact"/>
              <w:jc w:val="left"/>
            </w:pPr>
            <w:r>
              <w:t xml:space="preserve">Affected team; Change Manager (regression log); Steering Committee (only if widespread).</w:t>
            </w:r>
          </w:p>
        </w:tc>
      </w:tr>
    </w:tbl>
    <w:p>
      <w:pPr>
        <w:pStyle w:val="BodyText"/>
      </w:pPr>
      <w:r>
        <w:rPr>
          <w:iCs/>
          <w:i/>
        </w:rPr>
        <w:t xml:space="preserve">Technique detail for this step.</w:t>
      </w:r>
    </w:p>
    <w:tbl>
      <w:tblPr>
        <w:tblStyle w:val="Table"/>
        <w:tblW w:type="pct" w:w="4930"/>
        <w:tblLook w:firstRow="1" w:lastRow="0" w:firstColumn="0" w:lastColumn="0" w:noHBand="0" w:noVBand="0" w:val="0020"/>
        <w:jc w:val="start"/>
      </w:tblPr>
      <w:tblGrid>
        <w:gridCol w:w="1716"/>
        <w:gridCol w:w="6092"/>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Correlation check</w:t>
            </w:r>
          </w:p>
        </w:tc>
      </w:tr>
      <w:tr>
        <w:tc>
          <w:tcPr/>
          <w:p>
            <w:pPr>
              <w:pStyle w:val="Compact"/>
              <w:jc w:val="left"/>
            </w:pPr>
            <w:r>
              <w:t xml:space="preserve">Technique Goal</w:t>
            </w:r>
          </w:p>
        </w:tc>
        <w:tc>
          <w:tcPr/>
          <w:p>
            <w:pPr>
              <w:pStyle w:val="Compact"/>
              <w:jc w:val="left"/>
            </w:pPr>
            <w:r>
              <w:t xml:space="preserve">Verify the regression traces to a specific incident.</w:t>
            </w:r>
          </w:p>
        </w:tc>
      </w:tr>
      <w:tr>
        <w:tc>
          <w:tcPr/>
          <w:p>
            <w:pPr>
              <w:pStyle w:val="Compact"/>
              <w:jc w:val="left"/>
            </w:pPr>
            <w:r>
              <w:t xml:space="preserve">Technique Details</w:t>
            </w:r>
          </w:p>
        </w:tc>
        <w:tc>
          <w:tcPr/>
          <w:p>
            <w:pPr>
              <w:pStyle w:val="Compact"/>
              <w:jc w:val="left"/>
            </w:pPr>
            <w:r>
              <w:t xml:space="preserve">Overlay the timing of the score regression against the incident/defect log for that cohort's process area.</w:t>
            </w:r>
          </w:p>
        </w:tc>
      </w:tr>
      <w:tr>
        <w:tc>
          <w:tcPr/>
          <w:p>
            <w:pPr>
              <w:pStyle w:val="Compact"/>
              <w:jc w:val="left"/>
            </w:pPr>
            <w:r>
              <w:t xml:space="preserve">Recommended Open-Source Tool</w:t>
            </w:r>
          </w:p>
        </w:tc>
        <w:tc>
          <w:tcPr/>
          <w:p>
            <w:pPr>
              <w:pStyle w:val="Compact"/>
              <w:jc w:val="left"/>
            </w:pPr>
            <w:r>
              <w:t xml:space="preserve">Mantis BT</w:t>
            </w:r>
          </w:p>
        </w:tc>
      </w:tr>
    </w:tbl>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w:t>
            </w:r>
          </w:p>
        </w:tc>
        <w:tc>
          <w:tcPr/>
          <w:p>
            <w:pPr>
              <w:pStyle w:val="Compact"/>
              <w:jc w:val="left"/>
            </w:pPr>
            <w:r>
              <w:t xml:space="preserve">CM</w:t>
            </w:r>
          </w:p>
        </w:tc>
        <w:tc>
          <w:tcPr/>
          <w:p>
            <w:pPr>
              <w:pStyle w:val="Compact"/>
              <w:jc w:val="left"/>
            </w:pPr>
            <w:r>
              <w:t xml:space="preserve">FPO, ITL</w:t>
            </w:r>
          </w:p>
        </w:tc>
        <w:tc>
          <w:tcPr/>
          <w:p>
            <w:pPr>
              <w:pStyle w:val="Compact"/>
              <w:jc w:val="left"/>
            </w:pPr>
            <w:r>
              <w:t xml:space="preserve">PM</w:t>
            </w:r>
          </w:p>
        </w:tc>
        <w:tc>
          <w:tcPr/>
          <w:p>
            <w:pPr>
              <w:pStyle w:val="Compact"/>
              <w:jc w:val="left"/>
            </w:pPr>
            <w:r>
              <w:t xml:space="preserve">ES, EU</w:t>
            </w:r>
          </w:p>
        </w:tc>
      </w:tr>
    </w:tbl>
    <w:p>
      <w:pPr>
        <w:pStyle w:val="BodyText"/>
      </w:pPr>
      <w:r>
        <w:rPr>
          <w:bCs/>
          <w:b/>
          <w:color w:val="3F827B"/>
          <w:sz w:val="24"/>
        </w:rPr>
        <w:t xml:space="preserve">Task 2 — [PROJECT] Resolve or clearly communicate the status of the triggering defect</w:t>
      </w:r>
    </w:p>
    <w:p>
      <w:pPr>
        <w:pStyle w:val="BodyText"/>
      </w:pPr>
      <w:r>
        <w:rPr>
          <w:bCs/>
          <w:b/>
          <w:color w:val="5A8F89"/>
          <w:sz w:val="22"/>
        </w:rPr>
        <w:t xml:space="preserve">Step 1 — Communicate the incident status</w:t>
      </w:r>
    </w:p>
    <w:p>
      <w:pPr>
        <w:pStyle w:val="BodyText"/>
      </w:pPr>
      <w:r>
        <w:t xml:space="preserve">Silence after a visible incident is what allows a minor setback to be reinterpreted as evidence the whole program is failing; a fast, honest update prevents that reframing.</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954"/>
        <w:gridCol w:w="2160"/>
        <w:gridCol w:w="642"/>
        <w:gridCol w:w="771"/>
        <w:gridCol w:w="234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Frontline Supervisor; IT/Technical Lead (incident owner); Change Manager.</w:t>
            </w:r>
          </w:p>
        </w:tc>
        <w:tc>
          <w:tcPr/>
          <w:p>
            <w:pPr>
              <w:pStyle w:val="Compact"/>
              <w:jc w:val="left"/>
            </w:pPr>
            <w:r>
              <w:t xml:space="preserve">Incident/defect log entry; localized adoption-metric dip; supervisor observation.</w:t>
            </w:r>
          </w:p>
        </w:tc>
        <w:tc>
          <w:tcPr/>
          <w:p>
            <w:pPr>
              <w:pStyle w:val="Compact"/>
              <w:jc w:val="left"/>
            </w:pPr>
            <w:r>
              <w:t xml:space="preserve">Incident communication</w:t>
            </w:r>
          </w:p>
        </w:tc>
        <w:tc>
          <w:tcPr/>
          <w:p>
            <w:pPr>
              <w:pStyle w:val="Compact"/>
              <w:jc w:val="left"/>
            </w:pPr>
            <w:r>
              <w:t xml:space="preserve">Sent incident status update</w:t>
            </w:r>
          </w:p>
        </w:tc>
        <w:tc>
          <w:tcPr/>
          <w:p>
            <w:pPr>
              <w:pStyle w:val="Compact"/>
              <w:jc w:val="left"/>
            </w:pPr>
            <w:r>
              <w:t xml:space="preserve">Affected team; Change Manager (regression log); Steering Committee (only if widespread).</w:t>
            </w:r>
          </w:p>
        </w:tc>
      </w:tr>
    </w:tbl>
    <w:p>
      <w:pPr>
        <w:pStyle w:val="BodyText"/>
      </w:pPr>
      <w:r>
        <w:rPr>
          <w:iCs/>
          <w:i/>
        </w:rPr>
        <w:t xml:space="preserve">Technique detail for this step.</w:t>
      </w:r>
    </w:p>
    <w:tbl>
      <w:tblPr>
        <w:tblStyle w:val="Table"/>
        <w:tblW w:type="pct" w:w="4926"/>
        <w:tblLook w:firstRow="1" w:lastRow="0" w:firstColumn="0" w:lastColumn="0" w:noHBand="0" w:noVBand="0" w:val="0020"/>
        <w:jc w:val="start"/>
      </w:tblPr>
      <w:tblGrid>
        <w:gridCol w:w="1818"/>
        <w:gridCol w:w="598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Incident communication</w:t>
            </w:r>
          </w:p>
        </w:tc>
      </w:tr>
      <w:tr>
        <w:tc>
          <w:tcPr/>
          <w:p>
            <w:pPr>
              <w:pStyle w:val="Compact"/>
              <w:jc w:val="left"/>
            </w:pPr>
            <w:r>
              <w:t xml:space="preserve">Technique Goal</w:t>
            </w:r>
          </w:p>
        </w:tc>
        <w:tc>
          <w:tcPr/>
          <w:p>
            <w:pPr>
              <w:pStyle w:val="Compact"/>
              <w:jc w:val="left"/>
            </w:pPr>
            <w:r>
              <w:t xml:space="preserve">Close the loop visibly so rumor doesn't fill the gap.</w:t>
            </w:r>
          </w:p>
        </w:tc>
      </w:tr>
      <w:tr>
        <w:tc>
          <w:tcPr/>
          <w:p>
            <w:pPr>
              <w:pStyle w:val="Compact"/>
              <w:jc w:val="left"/>
            </w:pPr>
            <w:r>
              <w:t xml:space="preserve">Technique Details</w:t>
            </w:r>
          </w:p>
        </w:tc>
        <w:tc>
          <w:tcPr/>
          <w:p>
            <w:pPr>
              <w:pStyle w:val="Compact"/>
              <w:jc w:val="left"/>
            </w:pPr>
            <w:r>
              <w:t xml:space="preserve">Send a short, honest status update on the triggering incident to the affected team within 24 hours.</w:t>
            </w:r>
          </w:p>
        </w:tc>
      </w:tr>
      <w:tr>
        <w:tc>
          <w:tcPr/>
          <w:p>
            <w:pPr>
              <w:pStyle w:val="Compact"/>
              <w:jc w:val="left"/>
            </w:pPr>
            <w:r>
              <w:t xml:space="preserve">Recommended Open-Source Tool</w:t>
            </w:r>
          </w:p>
        </w:tc>
        <w:tc>
          <w:tcPr/>
          <w:p>
            <w:pPr>
              <w:pStyle w:val="Compact"/>
              <w:jc w:val="left"/>
            </w:pPr>
            <w:r>
              <w:t xml:space="preserve">Listmonk</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ITL</w:t>
            </w:r>
          </w:p>
        </w:tc>
        <w:tc>
          <w:tcPr/>
          <w:p>
            <w:pPr>
              <w:pStyle w:val="Compact"/>
              <w:jc w:val="left"/>
            </w:pPr>
            <w:r>
              <w:t xml:space="preserve">CM</w:t>
            </w:r>
          </w:p>
        </w:tc>
        <w:tc>
          <w:tcPr/>
          <w:p>
            <w:pPr>
              <w:pStyle w:val="Compact"/>
              <w:jc w:val="left"/>
            </w:pPr>
            <w:r>
              <w:t xml:space="preserve">PM</w:t>
            </w:r>
          </w:p>
        </w:tc>
        <w:tc>
          <w:tcPr/>
          <w:p>
            <w:pPr>
              <w:pStyle w:val="Compact"/>
              <w:jc w:val="left"/>
            </w:pPr>
            <w:r>
              <w:t xml:space="preserve">FPO</w:t>
            </w:r>
          </w:p>
        </w:tc>
        <w:tc>
          <w:tcPr/>
          <w:p>
            <w:pPr>
              <w:pStyle w:val="Compact"/>
              <w:jc w:val="left"/>
            </w:pPr>
            <w:r>
              <w:t xml:space="preserve">ES, SUP, EU</w:t>
            </w:r>
          </w:p>
        </w:tc>
      </w:tr>
    </w:tbl>
    <w:p>
      <w:pPr>
        <w:pStyle w:val="BodyText"/>
      </w:pPr>
      <w:r>
        <w:rPr>
          <w:bCs/>
          <w:b/>
          <w:color w:val="3F827B"/>
          <w:sz w:val="24"/>
        </w:rPr>
        <w:t xml:space="preserve">Task 3 — [CHANGE] Have the supervisor directly acknowledge the setback with the affected team</w:t>
      </w:r>
    </w:p>
    <w:p>
      <w:pPr>
        <w:pStyle w:val="BodyText"/>
      </w:pPr>
      <w:r>
        <w:rPr>
          <w:bCs/>
          <w:b/>
          <w:color w:val="5A8F89"/>
          <w:sz w:val="22"/>
        </w:rPr>
        <w:t xml:space="preserve">Step 1 — Acknowledge the setback openly</w:t>
      </w:r>
    </w:p>
    <w:p>
      <w:pPr>
        <w:pStyle w:val="BodyText"/>
      </w:pPr>
      <w:r>
        <w:t xml:space="preserve">Downplaying a visible setback reads as dishonest to a team that just lived through it; naming it directly, with a concrete next step, rebuilds trust faster than silence.</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2006"/>
        <w:gridCol w:w="2217"/>
        <w:gridCol w:w="396"/>
        <w:gridCol w:w="844"/>
        <w:gridCol w:w="240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Frontline Supervisor; IT/Technical Lead (incident owner); Change Manager.</w:t>
            </w:r>
          </w:p>
        </w:tc>
        <w:tc>
          <w:tcPr/>
          <w:p>
            <w:pPr>
              <w:pStyle w:val="Compact"/>
              <w:jc w:val="left"/>
            </w:pPr>
            <w:r>
              <w:t xml:space="preserve">Incident/defect log entry; localized adoption-metric dip; supervisor observation.</w:t>
            </w:r>
          </w:p>
        </w:tc>
        <w:tc>
          <w:tcPr/>
          <w:p>
            <w:pPr>
              <w:pStyle w:val="Compact"/>
              <w:jc w:val="left"/>
            </w:pPr>
            <w:r>
              <w:t xml:space="preserve">Team huddle</w:t>
            </w:r>
          </w:p>
        </w:tc>
        <w:tc>
          <w:tcPr/>
          <w:p>
            <w:pPr>
              <w:pStyle w:val="Compact"/>
              <w:jc w:val="left"/>
            </w:pPr>
            <w:r>
              <w:t xml:space="preserve">Delivered team acknowledgment</w:t>
            </w:r>
          </w:p>
        </w:tc>
        <w:tc>
          <w:tcPr/>
          <w:p>
            <w:pPr>
              <w:pStyle w:val="Compact"/>
              <w:jc w:val="left"/>
            </w:pPr>
            <w:r>
              <w:t xml:space="preserve">Affected team; Change Manager (regression log); Steering Committee (only if widespread).</w:t>
            </w:r>
          </w:p>
        </w:tc>
      </w:tr>
    </w:tbl>
    <w:p>
      <w:pPr>
        <w:pStyle w:val="BodyText"/>
      </w:pPr>
      <w:r>
        <w:rPr>
          <w:iCs/>
          <w:i/>
        </w:rPr>
        <w:t xml:space="preserve">Technique detail for this step.</w:t>
      </w:r>
    </w:p>
    <w:tbl>
      <w:tblPr>
        <w:tblStyle w:val="Table"/>
        <w:tblW w:type="pct" w:w="4931"/>
        <w:tblLook w:firstRow="1" w:lastRow="0" w:firstColumn="0" w:lastColumn="0" w:noHBand="0" w:noVBand="0" w:val="0020"/>
        <w:jc w:val="start"/>
      </w:tblPr>
      <w:tblGrid>
        <w:gridCol w:w="1693"/>
        <w:gridCol w:w="611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Team huddle</w:t>
            </w:r>
          </w:p>
        </w:tc>
      </w:tr>
      <w:tr>
        <w:tc>
          <w:tcPr/>
          <w:p>
            <w:pPr>
              <w:pStyle w:val="Compact"/>
              <w:jc w:val="left"/>
            </w:pPr>
            <w:r>
              <w:t xml:space="preserve">Technique Goal</w:t>
            </w:r>
          </w:p>
        </w:tc>
        <w:tc>
          <w:tcPr/>
          <w:p>
            <w:pPr>
              <w:pStyle w:val="Compact"/>
              <w:jc w:val="left"/>
            </w:pPr>
            <w:r>
              <w:t xml:space="preserve">Name the setback openly rather than downplaying it.</w:t>
            </w:r>
          </w:p>
        </w:tc>
      </w:tr>
      <w:tr>
        <w:tc>
          <w:tcPr/>
          <w:p>
            <w:pPr>
              <w:pStyle w:val="Compact"/>
              <w:jc w:val="left"/>
            </w:pPr>
            <w:r>
              <w:t xml:space="preserve">Technique Details</w:t>
            </w:r>
          </w:p>
        </w:tc>
        <w:tc>
          <w:tcPr/>
          <w:p>
            <w:pPr>
              <w:pStyle w:val="Compact"/>
              <w:jc w:val="left"/>
            </w:pPr>
            <w:r>
              <w:t xml:space="preserve">A short, standing huddle where the supervisor names the setback directly and outlines the next concrete step.</w:t>
            </w:r>
          </w:p>
        </w:tc>
      </w:tr>
      <w:tr>
        <w:tc>
          <w:tcPr/>
          <w:p>
            <w:pPr>
              <w:pStyle w:val="Compact"/>
              <w:jc w:val="left"/>
            </w:pPr>
            <w:r>
              <w:t xml:space="preserve">Recommended Open-Source Tool</w:t>
            </w:r>
          </w:p>
        </w:tc>
        <w:tc>
          <w:tcPr/>
          <w:p>
            <w:pPr>
              <w:pStyle w:val="Compact"/>
              <w:jc w:val="left"/>
            </w:pPr>
            <w:r>
              <w:t xml:space="preserve">Mattermost</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w:t>
            </w:r>
          </w:p>
        </w:tc>
        <w:tc>
          <w:tcPr/>
          <w:p>
            <w:pPr>
              <w:pStyle w:val="Compact"/>
              <w:jc w:val="left"/>
            </w:pPr>
            <w:r>
              <w:t xml:space="preserve">SUP</w:t>
            </w:r>
          </w:p>
        </w:tc>
        <w:tc>
          <w:tcPr/>
          <w:p>
            <w:pPr>
              <w:pStyle w:val="Compact"/>
              <w:jc w:val="left"/>
            </w:pPr>
            <w:r>
              <w:t xml:space="preserve">ITL</w:t>
            </w:r>
          </w:p>
        </w:tc>
        <w:tc>
          <w:tcPr/>
          <w:p>
            <w:pPr>
              <w:pStyle w:val="Compact"/>
              <w:jc w:val="left"/>
            </w:pPr>
            <w:r>
              <w:t xml:space="preserve">CM</w:t>
            </w:r>
          </w:p>
        </w:tc>
        <w:tc>
          <w:tcPr/>
          <w:p>
            <w:pPr>
              <w:pStyle w:val="Compact"/>
              <w:jc w:val="left"/>
            </w:pPr>
            <w:r>
              <w:t xml:space="preserve">ES, PM, FPO, EU</w:t>
            </w:r>
          </w:p>
        </w:tc>
      </w:tr>
    </w:tbl>
    <w:p>
      <w:pPr>
        <w:pStyle w:val="BodyText"/>
      </w:pPr>
      <w:r>
        <w:rPr>
          <w:bCs/>
          <w:b/>
          <w:color w:val="3F827B"/>
          <w:sz w:val="24"/>
        </w:rPr>
        <w:t xml:space="preserve">Task 4 — [CHANGE] Provide targeted, in-context coaching on the specific process step affected</w:t>
      </w:r>
    </w:p>
    <w:p>
      <w:pPr>
        <w:pStyle w:val="BodyText"/>
      </w:pPr>
      <w:r>
        <w:rPr>
          <w:bCs/>
          <w:b/>
          <w:color w:val="5A8F89"/>
          <w:sz w:val="22"/>
        </w:rPr>
        <w:t xml:space="preserve">Step 1 — Coach the specific step at the desk</w:t>
      </w:r>
    </w:p>
    <w:p>
      <w:pPr>
        <w:pStyle w:val="BodyText"/>
      </w:pPr>
      <w:r>
        <w:t xml:space="preserve">The same twenty-minute, at-the-desk principle used in Phase 7's regular regression coaching applies here — fast, specific, and scoped to the one step involved.</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1973"/>
        <w:gridCol w:w="2181"/>
        <w:gridCol w:w="571"/>
        <w:gridCol w:w="779"/>
        <w:gridCol w:w="236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Frontline Supervisor; IT/Technical Lead (incident owner); Change Manager.</w:t>
            </w:r>
          </w:p>
        </w:tc>
        <w:tc>
          <w:tcPr/>
          <w:p>
            <w:pPr>
              <w:pStyle w:val="Compact"/>
              <w:jc w:val="left"/>
            </w:pPr>
            <w:r>
              <w:t xml:space="preserve">Incident/defect log entry; localized adoption-metric dip; supervisor observation.</w:t>
            </w:r>
          </w:p>
        </w:tc>
        <w:tc>
          <w:tcPr/>
          <w:p>
            <w:pPr>
              <w:pStyle w:val="Compact"/>
              <w:jc w:val="left"/>
            </w:pPr>
            <w:r>
              <w:t xml:space="preserve">On-the-job coaching</w:t>
            </w:r>
          </w:p>
        </w:tc>
        <w:tc>
          <w:tcPr/>
          <w:p>
            <w:pPr>
              <w:pStyle w:val="Compact"/>
              <w:jc w:val="left"/>
            </w:pPr>
            <w:r>
              <w:t xml:space="preserve">Completed targeted coaching</w:t>
            </w:r>
          </w:p>
        </w:tc>
        <w:tc>
          <w:tcPr/>
          <w:p>
            <w:pPr>
              <w:pStyle w:val="Compact"/>
              <w:jc w:val="left"/>
            </w:pPr>
            <w:r>
              <w:t xml:space="preserve">Affected team; Change Manager (regression log); Steering Committee (only if widespread).</w:t>
            </w:r>
          </w:p>
        </w:tc>
      </w:tr>
    </w:tbl>
    <w:p>
      <w:pPr>
        <w:pStyle w:val="BodyText"/>
      </w:pPr>
      <w:r>
        <w:rPr>
          <w:iCs/>
          <w:i/>
        </w:rPr>
        <w:t xml:space="preserve">Technique detail for this step.</w:t>
      </w:r>
    </w:p>
    <w:tbl>
      <w:tblPr>
        <w:tblStyle w:val="Table"/>
        <w:tblW w:type="pct" w:w="4911"/>
        <w:tblLook w:firstRow="1" w:lastRow="0" w:firstColumn="0" w:lastColumn="0" w:noHBand="0" w:noVBand="0" w:val="0020"/>
        <w:jc w:val="start"/>
      </w:tblPr>
      <w:tblGrid>
        <w:gridCol w:w="2192"/>
        <w:gridCol w:w="558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On-the-job coaching</w:t>
            </w:r>
          </w:p>
        </w:tc>
      </w:tr>
      <w:tr>
        <w:tc>
          <w:tcPr/>
          <w:p>
            <w:pPr>
              <w:pStyle w:val="Compact"/>
              <w:jc w:val="left"/>
            </w:pPr>
            <w:r>
              <w:t xml:space="preserve">Technique Goal</w:t>
            </w:r>
          </w:p>
        </w:tc>
        <w:tc>
          <w:tcPr/>
          <w:p>
            <w:pPr>
              <w:pStyle w:val="Compact"/>
              <w:jc w:val="left"/>
            </w:pPr>
            <w:r>
              <w:t xml:space="preserve">Correct the specific step affected, not a full retrain.</w:t>
            </w:r>
          </w:p>
        </w:tc>
      </w:tr>
      <w:tr>
        <w:tc>
          <w:tcPr/>
          <w:p>
            <w:pPr>
              <w:pStyle w:val="Compact"/>
              <w:jc w:val="left"/>
            </w:pPr>
            <w:r>
              <w:t xml:space="preserve">Technique Details</w:t>
            </w:r>
          </w:p>
        </w:tc>
        <w:tc>
          <w:tcPr/>
          <w:p>
            <w:pPr>
              <w:pStyle w:val="Compact"/>
              <w:jc w:val="left"/>
            </w:pPr>
            <w:r>
              <w:t xml:space="preserve">A 20-minute, at-the-desk coaching session focused only on the affected step.</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 CM</w:t>
            </w:r>
          </w:p>
        </w:tc>
        <w:tc>
          <w:tcPr/>
          <w:p>
            <w:pPr>
              <w:pStyle w:val="Compact"/>
              <w:jc w:val="left"/>
            </w:pPr>
            <w:r>
              <w:t xml:space="preserve">SUP</w:t>
            </w:r>
          </w:p>
        </w:tc>
        <w:tc>
          <w:tcPr/>
          <w:p>
            <w:pPr>
              <w:pStyle w:val="Compact"/>
              <w:jc w:val="left"/>
            </w:pPr>
            <w:r>
              <w:t xml:space="preserve">FPO</w:t>
            </w:r>
          </w:p>
        </w:tc>
        <w:tc>
          <w:tcPr/>
          <w:p>
            <w:pPr>
              <w:pStyle w:val="Compact"/>
              <w:jc w:val="left"/>
            </w:pPr>
            <w:r>
              <w:t xml:space="preserve">ITL</w:t>
            </w:r>
          </w:p>
        </w:tc>
        <w:tc>
          <w:tcPr/>
          <w:p>
            <w:pPr>
              <w:pStyle w:val="Compact"/>
              <w:jc w:val="left"/>
            </w:pPr>
            <w:r>
              <w:t xml:space="preserve">ES, PM, EU</w:t>
            </w:r>
          </w:p>
        </w:tc>
      </w:tr>
    </w:tbl>
    <w:p>
      <w:pPr>
        <w:pStyle w:val="BodyText"/>
      </w:pPr>
      <w:r>
        <w:rPr>
          <w:bCs/>
          <w:b/>
          <w:color w:val="3F827B"/>
          <w:sz w:val="24"/>
        </w:rPr>
        <w:t xml:space="preserve">Task 5 — [CHANGE] Re-pulse the affected cohort only, at 1–2 weeks</w:t>
      </w:r>
    </w:p>
    <w:p>
      <w:pPr>
        <w:pStyle w:val="BodyText"/>
      </w:pPr>
      <w:r>
        <w:rPr>
          <w:bCs/>
          <w:b/>
        </w:rPr>
        <w:t xml:space="preserve">journi:</w:t>
      </w:r>
      <w:r>
        <w:t xml:space="preserve"> </w:t>
      </w:r>
      <w:r>
        <w:rPr>
          <w:iCs/>
          <w:i/>
        </w:rPr>
        <w:t xml:space="preserve">This is entered/updated in journi — M6.</w:t>
      </w:r>
    </w:p>
    <w:p>
      <w:pPr>
        <w:pStyle w:val="BodyText"/>
      </w:pPr>
      <w:r>
        <w:rPr>
          <w:bCs/>
          <w:b/>
          <w:color w:val="5A8F89"/>
          <w:sz w:val="22"/>
        </w:rPr>
        <w:t xml:space="preserve">Step 1 — Re-pulse the affected cohort</w:t>
      </w:r>
    </w:p>
    <w:p>
      <w:pPr>
        <w:pStyle w:val="BodyText"/>
      </w:pPr>
      <w:r>
        <w:t xml:space="preserve">Surveying only the affected cohort, rather than the whole population, keeps the response burden proportional to the actual scope of the problem.</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941"/>
        <w:gridCol w:w="2146"/>
        <w:gridCol w:w="562"/>
        <w:gridCol w:w="894"/>
        <w:gridCol w:w="2324"/>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Frontline Supervisor; IT/Technical Lead (incident owner); Change Manager.</w:t>
            </w:r>
          </w:p>
        </w:tc>
        <w:tc>
          <w:tcPr/>
          <w:p>
            <w:pPr>
              <w:pStyle w:val="Compact"/>
              <w:jc w:val="left"/>
            </w:pPr>
            <w:r>
              <w:t xml:space="preserve">Incident/defect log entry; localized adoption-metric dip; supervisor observation.</w:t>
            </w:r>
          </w:p>
        </w:tc>
        <w:tc>
          <w:tcPr/>
          <w:p>
            <w:pPr>
              <w:pStyle w:val="Compact"/>
              <w:jc w:val="left"/>
            </w:pPr>
            <w:r>
              <w:t xml:space="preserve">Scoped pulse survey</w:t>
            </w:r>
          </w:p>
        </w:tc>
        <w:tc>
          <w:tcPr/>
          <w:p>
            <w:pPr>
              <w:pStyle w:val="Compact"/>
              <w:jc w:val="left"/>
            </w:pPr>
            <w:r>
              <w:t xml:space="preserve">Confirmed cohort recovery status</w:t>
            </w:r>
          </w:p>
        </w:tc>
        <w:tc>
          <w:tcPr/>
          <w:p>
            <w:pPr>
              <w:pStyle w:val="Compact"/>
              <w:jc w:val="left"/>
            </w:pPr>
            <w:r>
              <w:t xml:space="preserve">Affected team; Change Manager (regression log); Steering Committee (only if widespread).</w:t>
            </w:r>
          </w:p>
        </w:tc>
      </w:tr>
    </w:tbl>
    <w:p>
      <w:pPr>
        <w:pStyle w:val="BodyText"/>
      </w:pPr>
      <w:r>
        <w:rPr>
          <w:iCs/>
          <w:i/>
        </w:rPr>
        <w:t xml:space="preserve">Technique detail for this step.</w:t>
      </w:r>
    </w:p>
    <w:tbl>
      <w:tblPr>
        <w:tblStyle w:val="Table"/>
        <w:tblW w:type="pct" w:w="4931"/>
        <w:tblLook w:firstRow="1" w:lastRow="0" w:firstColumn="0" w:lastColumn="0" w:noHBand="0" w:noVBand="0" w:val="0020"/>
        <w:jc w:val="start"/>
      </w:tblPr>
      <w:tblGrid>
        <w:gridCol w:w="1705"/>
        <w:gridCol w:w="610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Scoped pulse survey</w:t>
            </w:r>
          </w:p>
        </w:tc>
      </w:tr>
      <w:tr>
        <w:tc>
          <w:tcPr/>
          <w:p>
            <w:pPr>
              <w:pStyle w:val="Compact"/>
              <w:jc w:val="left"/>
            </w:pPr>
            <w:r>
              <w:t xml:space="preserve">Technique Goal</w:t>
            </w:r>
          </w:p>
        </w:tc>
        <w:tc>
          <w:tcPr/>
          <w:p>
            <w:pPr>
              <w:pStyle w:val="Compact"/>
              <w:jc w:val="left"/>
            </w:pPr>
            <w:r>
              <w:t xml:space="preserve">Confirm recovery without re-surveying the whole population.</w:t>
            </w:r>
          </w:p>
        </w:tc>
      </w:tr>
      <w:tr>
        <w:tc>
          <w:tcPr/>
          <w:p>
            <w:pPr>
              <w:pStyle w:val="Compact"/>
              <w:jc w:val="left"/>
            </w:pPr>
            <w:r>
              <w:t xml:space="preserve">Technique Details</w:t>
            </w:r>
          </w:p>
        </w:tc>
        <w:tc>
          <w:tcPr/>
          <w:p>
            <w:pPr>
              <w:pStyle w:val="Compact"/>
              <w:jc w:val="left"/>
            </w:pPr>
            <w:r>
              <w:t xml:space="preserve">Issue a short Kübler-Ross-only instrument to the affected cohort 1–2 weeks after the coaching intervention.</w:t>
            </w:r>
          </w:p>
        </w:tc>
      </w:tr>
      <w:tr>
        <w:tc>
          <w:tcPr/>
          <w:p>
            <w:pPr>
              <w:pStyle w:val="Compact"/>
              <w:jc w:val="left"/>
            </w:pPr>
            <w:r>
              <w:t xml:space="preserve">Recommended Open-Source Tool</w:t>
            </w:r>
          </w:p>
        </w:tc>
        <w:tc>
          <w:tcPr/>
          <w:p>
            <w:pPr>
              <w:pStyle w:val="Compact"/>
              <w:jc w:val="left"/>
            </w:pPr>
            <w:r>
              <w:t xml:space="preserve">LimeSurvey</w:t>
            </w:r>
          </w:p>
        </w:tc>
      </w:tr>
    </w:tbl>
    <w:p>
      <w:pPr>
        <w:pStyle w:val="BodyText"/>
      </w:pPr>
      <w:r>
        <w:rPr>
          <w:bCs/>
          <w:b/>
        </w:rPr>
        <w:t xml:space="preserve">journi:</w:t>
      </w:r>
      <w:r>
        <w:t xml:space="preserve"> </w:t>
      </w:r>
      <w:r>
        <w:rPr>
          <w:iCs/>
          <w:i/>
        </w:rPr>
        <w:t xml:space="preserve">This is entered/updated in journi — M6.</w:t>
      </w:r>
    </w:p>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 EU</w:t>
            </w:r>
          </w:p>
        </w:tc>
        <w:tc>
          <w:tcPr/>
          <w:p>
            <w:pPr>
              <w:pStyle w:val="Compact"/>
              <w:jc w:val="left"/>
            </w:pPr>
            <w:r>
              <w:t xml:space="preserve">CM</w:t>
            </w:r>
          </w:p>
        </w:tc>
        <w:tc>
          <w:tcPr/>
          <w:p>
            <w:pPr>
              <w:pStyle w:val="Compact"/>
              <w:jc w:val="left"/>
            </w:pPr>
            <w:r>
              <w:t xml:space="preserve">SUP</w:t>
            </w:r>
          </w:p>
        </w:tc>
        <w:tc>
          <w:tcPr/>
          <w:p>
            <w:pPr>
              <w:pStyle w:val="Compact"/>
              <w:jc w:val="left"/>
            </w:pPr>
            <w:r>
              <w:t xml:space="preserve">FPO</w:t>
            </w:r>
          </w:p>
        </w:tc>
        <w:tc>
          <w:tcPr/>
          <w:p>
            <w:pPr>
              <w:pStyle w:val="Compact"/>
              <w:jc w:val="left"/>
            </w:pPr>
            <w:r>
              <w:t xml:space="preserve">ES, PM, ITL</w:t>
            </w:r>
          </w:p>
        </w:tc>
      </w:tr>
    </w:tbl>
    <w:p>
      <w:pPr>
        <w:pStyle w:val="BodyText"/>
      </w:pPr>
      <w:r>
        <w:rPr>
          <w:bCs/>
          <w:b/>
          <w:color w:val="275650"/>
          <w:sz w:val="27"/>
        </w:rPr>
        <w:t xml:space="preserve">9.5 E5 — Reinforcement Gap at Sustainment &amp; Closure</w:t>
      </w:r>
    </w:p>
    <w:p>
      <w:pPr>
        <w:pStyle w:val="BodyText"/>
      </w:pPr>
      <w:r>
        <w:rPr>
          <w:iCs/>
          <w:i/>
        </w:rPr>
        <w:t xml:space="preserve">Related to Phase 8</w:t>
      </w:r>
    </w:p>
    <w:tbl>
      <w:tblPr>
        <w:tblStyle w:val="Table"/>
        <w:tblW w:type="pct" w:w="4939"/>
        <w:tblLook w:firstRow="1" w:lastRow="0" w:firstColumn="0" w:lastColumn="0" w:noHBand="0" w:noVBand="0" w:val="0020"/>
        <w:jc w:val="start"/>
      </w:tblPr>
      <w:tblGrid>
        <w:gridCol w:w="864"/>
        <w:gridCol w:w="6960"/>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Trigger</w:t>
            </w:r>
          </w:p>
        </w:tc>
        <w:tc>
          <w:tcPr/>
          <w:p>
            <w:pPr>
              <w:pStyle w:val="Compact"/>
              <w:jc w:val="left"/>
            </w:pPr>
            <w:r>
              <w:t xml:space="preserve">ADKAR Reinforcement score stalls below 3 as the program's formal end date approaches, with no forcing deadline prompting continued attention.</w:t>
            </w:r>
          </w:p>
        </w:tc>
      </w:tr>
      <w:tr>
        <w:tc>
          <w:tcPr/>
          <w:p>
            <w:pPr>
              <w:pStyle w:val="Compact"/>
              <w:jc w:val="left"/>
            </w:pPr>
            <w:r>
              <w:t xml:space="preserve">Timeline Impact</w:t>
            </w:r>
          </w:p>
        </w:tc>
        <w:tc>
          <w:tcPr/>
          <w:p>
            <w:pPr>
              <w:pStyle w:val="Compact"/>
              <w:jc w:val="left"/>
            </w:pPr>
            <w:r>
              <w:t xml:space="preserve">Extends the formal project-closure date by however long it takes to accumulate 2–3 consecutive healthy checkpoints — commonly 4–8 weeks.</w:t>
            </w:r>
          </w:p>
        </w:tc>
      </w:tr>
    </w:tbl>
    <w:p>
      <w:pPr>
        <w:pStyle w:val="BodyText"/>
      </w:pPr>
      <w:r>
        <w:rPr>
          <w:iCs/>
          <w:i/>
        </w:rPr>
        <w:t xml:space="preserve">Trigger and timeline impact for E5.</w:t>
      </w:r>
    </w:p>
    <w:p>
      <w:pPr>
        <w:pStyle w:val="BodyText"/>
      </w:pPr>
      <w:r>
        <w:rPr>
          <w:bCs/>
          <w:b/>
        </w:rPr>
        <w:t xml:space="preserve">SIPOC</w:t>
      </w:r>
    </w:p>
    <w:tbl>
      <w:tblPr>
        <w:tblStyle w:val="Table"/>
        <w:tblW w:type="pct" w:w="4970"/>
        <w:tblLook w:firstRow="1" w:lastRow="0" w:firstColumn="0" w:lastColumn="0" w:noHBand="0" w:noVBand="0" w:val="0020"/>
        <w:jc w:val="start"/>
      </w:tblPr>
      <w:tblGrid>
        <w:gridCol w:w="911"/>
        <w:gridCol w:w="1555"/>
        <w:gridCol w:w="1508"/>
        <w:gridCol w:w="2498"/>
        <w:gridCol w:w="1398"/>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w:t>
            </w:r>
          </w:p>
        </w:tc>
        <w:tc>
          <w:tcPr/>
          <w:p>
            <w:pPr>
              <w:pStyle w:val="Compact"/>
              <w:jc w:val="left"/>
            </w:pPr>
            <w:r>
              <w:t xml:space="preserve">Stalled Reinforcement score; adoption-metric plateau data; original sustainment/checkpoint plan.</w:t>
            </w:r>
          </w:p>
        </w:tc>
        <w:tc>
          <w:tcPr/>
          <w:p>
            <w:pPr>
              <w:jc w:val="left"/>
            </w:pPr>
            <w:r>
              <w:t xml:space="preserve">1. Flag the Reinforcement stall explicitly rather than letting the project close on schedule</w:t>
            </w:r>
          </w:p>
          <w:p>
            <w:pPr>
              <w:jc w:val="left"/>
            </w:pPr>
            <w:r>
              <w:t xml:space="preserve">2. Reconvene the Sponsor to re-authorize a defined checkpoint cadence</w:t>
            </w:r>
          </w:p>
          <w:p>
            <w:pPr>
              <w:jc w:val="left"/>
            </w:pPr>
            <w:r>
              <w:t xml:space="preserve">3. Re-activate or formally re-charter the champion network</w:t>
            </w:r>
          </w:p>
          <w:p>
            <w:pPr>
              <w:jc w:val="left"/>
            </w:pPr>
            <w:r>
              <w:t xml:space="preserve">4. Embed adoption metrics into the next performance-review cycle</w:t>
            </w:r>
          </w:p>
          <w:p>
            <w:pPr>
              <w:jc w:val="left"/>
            </w:pPr>
            <w:r>
              <w:t xml:space="preserve">5. Delay the formal Refreeze / closure call until checkpoints show target Reinforcement</w:t>
            </w:r>
          </w:p>
        </w:tc>
        <w:tc>
          <w:tcPr/>
          <w:p>
            <w:pPr>
              <w:pStyle w:val="Compact"/>
              <w:jc w:val="left"/>
            </w:pPr>
            <w:r>
              <w:t xml:space="preserve">Documented Reinforcement stall and remediation plan; re-authorized checkpoint cadence; re-chartered champion network; delayed, evidence-based Refreeze call.</w:t>
            </w:r>
          </w:p>
        </w:tc>
        <w:tc>
          <w:tcPr/>
          <w:p>
            <w:pPr>
              <w:pStyle w:val="Compact"/>
              <w:jc w:val="left"/>
            </w:pPr>
            <w:r>
              <w:t xml:space="preserve">Executive Sponsor; business-as-usual process owner; future Change Management projects.</w:t>
            </w:r>
          </w:p>
        </w:tc>
      </w:tr>
    </w:tbl>
    <w:p>
      <w:pPr>
        <w:pStyle w:val="BodyText"/>
      </w:pPr>
      <w:r>
        <w:rPr>
          <w:iCs/>
          <w:i/>
        </w:rPr>
        <w:t xml:space="preserve">SIPOC for E5 — Reinforcement Gap at Sustainment &amp; Closure. The Process column lists this exception's five recovery Tasks in sequence.</w:t>
      </w:r>
    </w:p>
    <w:p>
      <w:pPr>
        <w:pStyle w:val="BodyText"/>
      </w:pPr>
      <w:r>
        <w:rPr>
          <w:bCs/>
          <w:b/>
        </w:rPr>
        <w:t xml:space="preserve">Tasks, Steps, Techniques &amp; RACSI</w:t>
      </w:r>
    </w:p>
    <w:p>
      <w:pPr>
        <w:pStyle w:val="BodyText"/>
      </w:pPr>
      <w:r>
        <w:rPr>
          <w:bCs/>
          <w:b/>
          <w:color w:val="3F827B"/>
          <w:sz w:val="24"/>
        </w:rPr>
        <w:t xml:space="preserve">Task 1 — [CHANGE] Flag the Reinforcement stall explicitly rather than letting the project close on schedule</w:t>
      </w:r>
    </w:p>
    <w:p>
      <w:pPr>
        <w:pStyle w:val="BodyText"/>
      </w:pPr>
      <w:r>
        <w:rPr>
          <w:bCs/>
          <w:b/>
        </w:rPr>
        <w:t xml:space="preserve">journi:</w:t>
      </w:r>
      <w:r>
        <w:t xml:space="preserve"> </w:t>
      </w:r>
      <w:r>
        <w:rPr>
          <w:iCs/>
          <w:i/>
        </w:rPr>
        <w:t xml:space="preserve">This is entered/updated in journi — M5.</w:t>
      </w:r>
    </w:p>
    <w:p>
      <w:pPr>
        <w:pStyle w:val="BodyText"/>
      </w:pPr>
      <w:r>
        <w:rPr>
          <w:bCs/>
          <w:b/>
          <w:color w:val="5A8F89"/>
          <w:sz w:val="22"/>
        </w:rPr>
        <w:t xml:space="preserve">Step 1 — Confirm the Reinforcement flag</w:t>
      </w:r>
    </w:p>
    <w:p>
      <w:pPr>
        <w:pStyle w:val="BodyText"/>
      </w:pPr>
      <w:r>
        <w:t xml:space="preserve">Without a natural forcing deadline, this stall is the easiest of all six exceptions to quietly let slide as attention shifts to the next initiative — confirming the flag is a deliberate act against that drift.</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481"/>
        <w:gridCol w:w="2529"/>
        <w:gridCol w:w="792"/>
        <w:gridCol w:w="792"/>
        <w:gridCol w:w="227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w:t>
            </w:r>
          </w:p>
        </w:tc>
        <w:tc>
          <w:tcPr/>
          <w:p>
            <w:pPr>
              <w:pStyle w:val="Compact"/>
              <w:jc w:val="left"/>
            </w:pPr>
            <w:r>
              <w:t xml:space="preserve">Stalled Reinforcement score; adoption-metric plateau data; original sustainment/checkpoint plan.</w:t>
            </w:r>
          </w:p>
        </w:tc>
        <w:tc>
          <w:tcPr/>
          <w:p>
            <w:pPr>
              <w:pStyle w:val="Compact"/>
              <w:jc w:val="left"/>
            </w:pPr>
            <w:r>
              <w:t xml:space="preserve">Threshold-triggered flagging</w:t>
            </w:r>
          </w:p>
        </w:tc>
        <w:tc>
          <w:tcPr/>
          <w:p>
            <w:pPr>
              <w:pStyle w:val="Compact"/>
              <w:jc w:val="left"/>
            </w:pPr>
            <w:r>
              <w:t xml:space="preserve">Confirmed Reinforcement flag</w:t>
            </w:r>
          </w:p>
        </w:tc>
        <w:tc>
          <w:tcPr/>
          <w:p>
            <w:pPr>
              <w:pStyle w:val="Compact"/>
              <w:jc w:val="left"/>
            </w:pPr>
            <w:r>
              <w:t xml:space="preserve">Executive Sponsor; business-as-usual process owner; future Change Management projects.</w:t>
            </w:r>
          </w:p>
        </w:tc>
      </w:tr>
    </w:tbl>
    <w:p>
      <w:pPr>
        <w:pStyle w:val="BodyText"/>
      </w:pPr>
      <w:r>
        <w:rPr>
          <w:iCs/>
          <w:i/>
        </w:rPr>
        <w:t xml:space="preserve">Technique detail for this step.</w:t>
      </w:r>
    </w:p>
    <w:tbl>
      <w:tblPr>
        <w:tblStyle w:val="Table"/>
        <w:tblW w:type="pct" w:w="4943"/>
        <w:tblLook w:firstRow="1" w:lastRow="0" w:firstColumn="0" w:lastColumn="0" w:noHBand="0" w:noVBand="0" w:val="0020"/>
        <w:jc w:val="start"/>
      </w:tblPr>
      <w:tblGrid>
        <w:gridCol w:w="1411"/>
        <w:gridCol w:w="641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Threshold-triggered flagging</w:t>
            </w:r>
          </w:p>
        </w:tc>
      </w:tr>
      <w:tr>
        <w:tc>
          <w:tcPr/>
          <w:p>
            <w:pPr>
              <w:pStyle w:val="Compact"/>
              <w:jc w:val="left"/>
            </w:pPr>
            <w:r>
              <w:t xml:space="preserve">Technique Goal</w:t>
            </w:r>
          </w:p>
        </w:tc>
        <w:tc>
          <w:tcPr/>
          <w:p>
            <w:pPr>
              <w:pStyle w:val="Compact"/>
              <w:jc w:val="left"/>
            </w:pPr>
            <w:r>
              <w:t xml:space="preserve">Surface the stall before the project closes on schedule.</w:t>
            </w:r>
          </w:p>
        </w:tc>
      </w:tr>
      <w:tr>
        <w:tc>
          <w:tcPr/>
          <w:p>
            <w:pPr>
              <w:pStyle w:val="Compact"/>
              <w:jc w:val="left"/>
            </w:pPr>
            <w:r>
              <w:t xml:space="preserve">Technique Details</w:t>
            </w:r>
          </w:p>
        </w:tc>
        <w:tc>
          <w:tcPr/>
          <w:p>
            <w:pPr>
              <w:pStyle w:val="Compact"/>
              <w:jc w:val="left"/>
            </w:pPr>
            <w:r>
              <w:t xml:space="preserve">Confirm the automatic M5 flag for Reinforcement &lt; 3 has been reviewed and is not being silently overridden by the closing deadline.</w:t>
            </w:r>
          </w:p>
        </w:tc>
      </w:tr>
      <w:tr>
        <w:tc>
          <w:tcPr/>
          <w:p>
            <w:pPr>
              <w:pStyle w:val="Compact"/>
              <w:jc w:val="left"/>
            </w:pPr>
            <w:r>
              <w:t xml:space="preserve">Recommended Open-Source Tool</w:t>
            </w:r>
          </w:p>
        </w:tc>
        <w:tc>
          <w:tcPr/>
          <w:p>
            <w:pPr>
              <w:pStyle w:val="Compact"/>
              <w:jc w:val="left"/>
            </w:pPr>
            <w:r>
              <w:t xml:space="preserve">OpenProject</w:t>
            </w:r>
          </w:p>
        </w:tc>
      </w:tr>
    </w:tbl>
    <w:p>
      <w:pPr>
        <w:pStyle w:val="BodyText"/>
      </w:pPr>
      <w:r>
        <w:rPr>
          <w:bCs/>
          <w:b/>
        </w:rPr>
        <w:t xml:space="preserve">journi:</w:t>
      </w:r>
      <w:r>
        <w:t xml:space="preserve"> </w:t>
      </w:r>
      <w:r>
        <w:rPr>
          <w:iCs/>
          <w:i/>
        </w:rPr>
        <w:t xml:space="preserve">This is entered/updated in journi — M5.</w:t>
      </w:r>
    </w:p>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PM</w:t>
            </w:r>
          </w:p>
        </w:tc>
        <w:tc>
          <w:tcPr/>
          <w:p>
            <w:pPr>
              <w:pStyle w:val="Compact"/>
              <w:jc w:val="left"/>
            </w:pPr>
            <w:r>
              <w:t xml:space="preserve">FPO</w:t>
            </w:r>
          </w:p>
        </w:tc>
        <w:tc>
          <w:tcPr/>
          <w:p>
            <w:pPr>
              <w:pStyle w:val="Compact"/>
              <w:jc w:val="left"/>
            </w:pPr>
            <w:r>
              <w:t xml:space="preserve">ES, ITL, SUP, EU</w:t>
            </w:r>
          </w:p>
        </w:tc>
      </w:tr>
    </w:tbl>
    <w:p>
      <w:pPr>
        <w:pStyle w:val="BodyText"/>
      </w:pPr>
      <w:r>
        <w:rPr>
          <w:bCs/>
          <w:b/>
          <w:color w:val="3F827B"/>
          <w:sz w:val="24"/>
        </w:rPr>
        <w:t xml:space="preserve">Task 2 — [CHANGE] Reconvene the Sponsor to re-authorize a defined checkpoint cadence</w:t>
      </w:r>
    </w:p>
    <w:p>
      <w:pPr>
        <w:pStyle w:val="BodyText"/>
      </w:pPr>
      <w:r>
        <w:rPr>
          <w:bCs/>
          <w:b/>
          <w:color w:val="5A8F89"/>
          <w:sz w:val="22"/>
        </w:rPr>
        <w:t xml:space="preserve">Step 1 — Re-engage the sponsor</w:t>
      </w:r>
    </w:p>
    <w:p>
      <w:pPr>
        <w:pStyle w:val="BodyText"/>
      </w:pPr>
      <w:r>
        <w:t xml:space="preserve">Getting explicit renewed authority, rather than continuing informally, is what gives the Change Manager standing to keep the checkpoint cadence running past the original closure date.</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453"/>
        <w:gridCol w:w="2481"/>
        <w:gridCol w:w="827"/>
        <w:gridCol w:w="877"/>
        <w:gridCol w:w="2230"/>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w:t>
            </w:r>
          </w:p>
        </w:tc>
        <w:tc>
          <w:tcPr/>
          <w:p>
            <w:pPr>
              <w:pStyle w:val="Compact"/>
              <w:jc w:val="left"/>
            </w:pPr>
            <w:r>
              <w:t xml:space="preserve">Stalled Reinforcement score; adoption-metric plateau data; original sustainment/checkpoint plan.</w:t>
            </w:r>
          </w:p>
        </w:tc>
        <w:tc>
          <w:tcPr/>
          <w:p>
            <w:pPr>
              <w:pStyle w:val="Compact"/>
              <w:jc w:val="left"/>
            </w:pPr>
            <w:r>
              <w:t xml:space="preserve">Sponsor re-engagement workshop</w:t>
            </w:r>
          </w:p>
        </w:tc>
        <w:tc>
          <w:tcPr/>
          <w:p>
            <w:pPr>
              <w:pStyle w:val="Compact"/>
              <w:jc w:val="left"/>
            </w:pPr>
            <w:r>
              <w:t xml:space="preserve">Re-authorized checkpoint cadence</w:t>
            </w:r>
          </w:p>
        </w:tc>
        <w:tc>
          <w:tcPr/>
          <w:p>
            <w:pPr>
              <w:pStyle w:val="Compact"/>
              <w:jc w:val="left"/>
            </w:pPr>
            <w:r>
              <w:t xml:space="preserve">Executive Sponsor; business-as-usual process owner; future Change Management projects.</w:t>
            </w:r>
          </w:p>
        </w:tc>
      </w:tr>
    </w:tbl>
    <w:p>
      <w:pPr>
        <w:pStyle w:val="BodyText"/>
      </w:pPr>
      <w:r>
        <w:rPr>
          <w:iCs/>
          <w:i/>
        </w:rPr>
        <w:t xml:space="preserve">Technique detail for this step.</w:t>
      </w:r>
    </w:p>
    <w:tbl>
      <w:tblPr>
        <w:tblStyle w:val="Table"/>
        <w:tblW w:type="pct" w:w="4928"/>
        <w:tblLook w:firstRow="1" w:lastRow="0" w:firstColumn="0" w:lastColumn="0" w:noHBand="0" w:noVBand="0" w:val="0020"/>
        <w:jc w:val="start"/>
      </w:tblPr>
      <w:tblGrid>
        <w:gridCol w:w="1766"/>
        <w:gridCol w:w="6039"/>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Sponsor re-engagement workshop</w:t>
            </w:r>
          </w:p>
        </w:tc>
      </w:tr>
      <w:tr>
        <w:tc>
          <w:tcPr/>
          <w:p>
            <w:pPr>
              <w:pStyle w:val="Compact"/>
              <w:jc w:val="left"/>
            </w:pPr>
            <w:r>
              <w:t xml:space="preserve">Technique Goal</w:t>
            </w:r>
          </w:p>
        </w:tc>
        <w:tc>
          <w:tcPr/>
          <w:p>
            <w:pPr>
              <w:pStyle w:val="Compact"/>
              <w:jc w:val="left"/>
            </w:pPr>
            <w:r>
              <w:t xml:space="preserve">Get renewed authority and time for continued checkpoints.</w:t>
            </w:r>
          </w:p>
        </w:tc>
      </w:tr>
      <w:tr>
        <w:tc>
          <w:tcPr/>
          <w:p>
            <w:pPr>
              <w:pStyle w:val="Compact"/>
              <w:jc w:val="left"/>
            </w:pPr>
            <w:r>
              <w:t xml:space="preserve">Technique Details</w:t>
            </w:r>
          </w:p>
        </w:tc>
        <w:tc>
          <w:tcPr/>
          <w:p>
            <w:pPr>
              <w:pStyle w:val="Compact"/>
              <w:jc w:val="left"/>
            </w:pPr>
            <w:r>
              <w:t xml:space="preserve">A short session with the Sponsor to agree an explicit extended checkpoint cadence and closure criteria.</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ES</w:t>
            </w:r>
          </w:p>
        </w:tc>
        <w:tc>
          <w:tcPr/>
          <w:p>
            <w:pPr>
              <w:pStyle w:val="Compact"/>
              <w:jc w:val="left"/>
            </w:pPr>
            <w:r>
              <w:t xml:space="preserve">PM</w:t>
            </w:r>
          </w:p>
        </w:tc>
        <w:tc>
          <w:tcPr/>
          <w:p>
            <w:pPr>
              <w:pStyle w:val="Compact"/>
              <w:jc w:val="left"/>
            </w:pPr>
            <w:r>
              <w:t xml:space="preserve">FPO</w:t>
            </w:r>
          </w:p>
        </w:tc>
        <w:tc>
          <w:tcPr/>
          <w:p>
            <w:pPr>
              <w:pStyle w:val="Compact"/>
              <w:jc w:val="left"/>
            </w:pPr>
            <w:r>
              <w:t xml:space="preserve">ITL, SUP, EU</w:t>
            </w:r>
          </w:p>
        </w:tc>
      </w:tr>
    </w:tbl>
    <w:p>
      <w:pPr>
        <w:pStyle w:val="BodyText"/>
      </w:pPr>
      <w:r>
        <w:rPr>
          <w:bCs/>
          <w:b/>
          <w:color w:val="3F827B"/>
          <w:sz w:val="24"/>
        </w:rPr>
        <w:t xml:space="preserve">Task 3 — [CHANGE] Re-activate or formally re-charter the champion network</w:t>
      </w:r>
    </w:p>
    <w:p>
      <w:pPr>
        <w:pStyle w:val="BodyText"/>
      </w:pPr>
      <w:r>
        <w:rPr>
          <w:bCs/>
          <w:b/>
          <w:color w:val="5A8F89"/>
          <w:sz w:val="22"/>
        </w:rPr>
        <w:t xml:space="preserve">Step 1 — Re-charter the champion network</w:t>
      </w:r>
    </w:p>
    <w:p>
      <w:pPr>
        <w:pStyle w:val="BodyText"/>
      </w:pPr>
      <w:r>
        <w:t xml:space="preserve">A champion network that quietly dissolved once go-live passed needs an explicit reactivation, not an assumption that it is still running.</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1536"/>
        <w:gridCol w:w="2622"/>
        <w:gridCol w:w="503"/>
        <w:gridCol w:w="847"/>
        <w:gridCol w:w="235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w:t>
            </w:r>
          </w:p>
        </w:tc>
        <w:tc>
          <w:tcPr/>
          <w:p>
            <w:pPr>
              <w:pStyle w:val="Compact"/>
              <w:jc w:val="left"/>
            </w:pPr>
            <w:r>
              <w:t xml:space="preserve">Stalled Reinforcement score; adoption-metric plateau data; original sustainment/checkpoint plan.</w:t>
            </w:r>
          </w:p>
        </w:tc>
        <w:tc>
          <w:tcPr/>
          <w:p>
            <w:pPr>
              <w:pStyle w:val="Compact"/>
              <w:jc w:val="left"/>
            </w:pPr>
            <w:r>
              <w:t xml:space="preserve">Charter workshop</w:t>
            </w:r>
          </w:p>
        </w:tc>
        <w:tc>
          <w:tcPr/>
          <w:p>
            <w:pPr>
              <w:pStyle w:val="Compact"/>
              <w:jc w:val="left"/>
            </w:pPr>
            <w:r>
              <w:t xml:space="preserve">Re-chartered champion network</w:t>
            </w:r>
          </w:p>
        </w:tc>
        <w:tc>
          <w:tcPr/>
          <w:p>
            <w:pPr>
              <w:pStyle w:val="Compact"/>
              <w:jc w:val="left"/>
            </w:pPr>
            <w:r>
              <w:t xml:space="preserve">Executive Sponsor; business-as-usual process owner; future Change Management projects.</w:t>
            </w:r>
          </w:p>
        </w:tc>
      </w:tr>
    </w:tbl>
    <w:p>
      <w:pPr>
        <w:pStyle w:val="BodyText"/>
      </w:pPr>
      <w:r>
        <w:rPr>
          <w:iCs/>
          <w:i/>
        </w:rPr>
        <w:t xml:space="preserve">Technique detail for this step.</w:t>
      </w:r>
    </w:p>
    <w:tbl>
      <w:tblPr>
        <w:tblStyle w:val="Table"/>
        <w:tblW w:type="pct" w:w="4931"/>
        <w:tblLook w:firstRow="1" w:lastRow="0" w:firstColumn="0" w:lastColumn="0" w:noHBand="0" w:noVBand="0" w:val="0020"/>
        <w:jc w:val="start"/>
      </w:tblPr>
      <w:tblGrid>
        <w:gridCol w:w="1693"/>
        <w:gridCol w:w="6117"/>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Charter workshop</w:t>
            </w:r>
          </w:p>
        </w:tc>
      </w:tr>
      <w:tr>
        <w:tc>
          <w:tcPr/>
          <w:p>
            <w:pPr>
              <w:pStyle w:val="Compact"/>
              <w:jc w:val="left"/>
            </w:pPr>
            <w:r>
              <w:t xml:space="preserve">Technique Goal</w:t>
            </w:r>
          </w:p>
        </w:tc>
        <w:tc>
          <w:tcPr/>
          <w:p>
            <w:pPr>
              <w:pStyle w:val="Compact"/>
              <w:jc w:val="left"/>
            </w:pPr>
            <w:r>
              <w:t xml:space="preserve">Reactivate champions with clear, named accountabilities.</w:t>
            </w:r>
          </w:p>
        </w:tc>
      </w:tr>
      <w:tr>
        <w:tc>
          <w:tcPr/>
          <w:p>
            <w:pPr>
              <w:pStyle w:val="Compact"/>
              <w:jc w:val="left"/>
            </w:pPr>
            <w:r>
              <w:t xml:space="preserve">Technique Details</w:t>
            </w:r>
          </w:p>
        </w:tc>
        <w:tc>
          <w:tcPr/>
          <w:p>
            <w:pPr>
              <w:pStyle w:val="Compact"/>
              <w:jc w:val="left"/>
            </w:pPr>
            <w:r>
              <w:t xml:space="preserve">Reconfirm each champion's continued availability and assign one specific, named accountability per champion.</w:t>
            </w:r>
          </w:p>
        </w:tc>
      </w:tr>
      <w:tr>
        <w:tc>
          <w:tcPr/>
          <w:p>
            <w:pPr>
              <w:pStyle w:val="Compact"/>
              <w:jc w:val="left"/>
            </w:pPr>
            <w:r>
              <w:t xml:space="preserve">Recommended Open-Source Tool</w:t>
            </w:r>
          </w:p>
        </w:tc>
        <w:tc>
          <w:tcPr/>
          <w:p>
            <w:pPr>
              <w:pStyle w:val="Compact"/>
              <w:jc w:val="left"/>
            </w:pPr>
            <w:r>
              <w:t xml:space="preserve">Mattermost</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SUP, FPO</w:t>
            </w:r>
          </w:p>
        </w:tc>
        <w:tc>
          <w:tcPr/>
          <w:p>
            <w:pPr>
              <w:pStyle w:val="Compact"/>
              <w:jc w:val="left"/>
            </w:pPr>
            <w:r>
              <w:t xml:space="preserve">ITL</w:t>
            </w:r>
          </w:p>
        </w:tc>
        <w:tc>
          <w:tcPr/>
          <w:p>
            <w:pPr>
              <w:pStyle w:val="Compact"/>
              <w:jc w:val="left"/>
            </w:pPr>
            <w:r>
              <w:t xml:space="preserve">ES, PM, EU</w:t>
            </w:r>
          </w:p>
        </w:tc>
      </w:tr>
    </w:tbl>
    <w:p>
      <w:pPr>
        <w:pStyle w:val="BodyText"/>
      </w:pPr>
      <w:r>
        <w:rPr>
          <w:bCs/>
          <w:b/>
          <w:color w:val="3F827B"/>
          <w:sz w:val="24"/>
        </w:rPr>
        <w:t xml:space="preserve">Task 4 — [JOINT] Embed adoption metrics into the next performance-review cycle</w:t>
      </w:r>
    </w:p>
    <w:p>
      <w:pPr>
        <w:pStyle w:val="BodyText"/>
      </w:pPr>
      <w:r>
        <w:rPr>
          <w:bCs/>
          <w:b/>
          <w:color w:val="5A8F89"/>
          <w:sz w:val="22"/>
        </w:rPr>
        <w:t xml:space="preserve">Step 1 — Confirm HR policy integration</w:t>
      </w:r>
    </w:p>
    <w:p>
      <w:pPr>
        <w:pStyle w:val="BodyText"/>
      </w:pPr>
      <w:r>
        <w:t xml:space="preserve">A metric that is documented but never actually scheduled into a review cycle provides no real reinforcement — this confirms it is genuinely in the cycle, not just on paper.</w:t>
      </w:r>
    </w:p>
    <w:p>
      <w:pPr>
        <w:pStyle w:val="BodyText"/>
      </w:pPr>
      <w:r>
        <w:rPr>
          <w:iCs/>
          <w:i/>
        </w:rPr>
        <w:t xml:space="preserve">SIPOC for this step.</w:t>
      </w:r>
    </w:p>
    <w:tbl>
      <w:tblPr>
        <w:tblStyle w:val="Table"/>
        <w:tblW w:type="pct" w:w="4967"/>
        <w:tblLook w:firstRow="1" w:lastRow="0" w:firstColumn="0" w:lastColumn="0" w:noHBand="0" w:noVBand="0" w:val="0020"/>
        <w:jc w:val="start"/>
      </w:tblPr>
      <w:tblGrid>
        <w:gridCol w:w="1501"/>
        <w:gridCol w:w="2562"/>
        <w:gridCol w:w="621"/>
        <w:gridCol w:w="880"/>
        <w:gridCol w:w="230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w:t>
            </w:r>
          </w:p>
        </w:tc>
        <w:tc>
          <w:tcPr/>
          <w:p>
            <w:pPr>
              <w:pStyle w:val="Compact"/>
              <w:jc w:val="left"/>
            </w:pPr>
            <w:r>
              <w:t xml:space="preserve">Stalled Reinforcement score; adoption-metric plateau data; original sustainment/checkpoint plan.</w:t>
            </w:r>
          </w:p>
        </w:tc>
        <w:tc>
          <w:tcPr/>
          <w:p>
            <w:pPr>
              <w:pStyle w:val="Compact"/>
              <w:jc w:val="left"/>
            </w:pPr>
            <w:r>
              <w:t xml:space="preserve">HR policy integration</w:t>
            </w:r>
          </w:p>
        </w:tc>
        <w:tc>
          <w:tcPr/>
          <w:p>
            <w:pPr>
              <w:pStyle w:val="Compact"/>
              <w:jc w:val="left"/>
            </w:pPr>
            <w:r>
              <w:t xml:space="preserve">Confirmed HR policy integration</w:t>
            </w:r>
          </w:p>
        </w:tc>
        <w:tc>
          <w:tcPr/>
          <w:p>
            <w:pPr>
              <w:pStyle w:val="Compact"/>
              <w:jc w:val="left"/>
            </w:pPr>
            <w:r>
              <w:t xml:space="preserve">Executive Sponsor; business-as-usual process owner; future Change Management projects.</w:t>
            </w:r>
          </w:p>
        </w:tc>
      </w:tr>
    </w:tbl>
    <w:p>
      <w:pPr>
        <w:pStyle w:val="BodyText"/>
      </w:pPr>
      <w:r>
        <w:rPr>
          <w:iCs/>
          <w:i/>
        </w:rPr>
        <w:t xml:space="preserve">Technique detail for this step.</w:t>
      </w:r>
    </w:p>
    <w:tbl>
      <w:tblPr>
        <w:tblStyle w:val="Table"/>
        <w:tblW w:type="pct" w:w="4939"/>
        <w:tblLook w:firstRow="1" w:lastRow="0" w:firstColumn="0" w:lastColumn="0" w:noHBand="0" w:noVBand="0" w:val="0020"/>
        <w:jc w:val="start"/>
      </w:tblPr>
      <w:tblGrid>
        <w:gridCol w:w="1506"/>
        <w:gridCol w:w="6316"/>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HR policy integration</w:t>
            </w:r>
          </w:p>
        </w:tc>
      </w:tr>
      <w:tr>
        <w:tc>
          <w:tcPr/>
          <w:p>
            <w:pPr>
              <w:pStyle w:val="Compact"/>
              <w:jc w:val="left"/>
            </w:pPr>
            <w:r>
              <w:t xml:space="preserve">Technique Goal</w:t>
            </w:r>
          </w:p>
        </w:tc>
        <w:tc>
          <w:tcPr/>
          <w:p>
            <w:pPr>
              <w:pStyle w:val="Compact"/>
              <w:jc w:val="left"/>
            </w:pPr>
            <w:r>
              <w:t xml:space="preserve">Tie adoption metrics to the next review cycle.</w:t>
            </w:r>
          </w:p>
        </w:tc>
      </w:tr>
      <w:tr>
        <w:tc>
          <w:tcPr/>
          <w:p>
            <w:pPr>
              <w:pStyle w:val="Compact"/>
              <w:jc w:val="left"/>
            </w:pPr>
            <w:r>
              <w:t xml:space="preserve">Technique Details</w:t>
            </w:r>
          </w:p>
        </w:tc>
        <w:tc>
          <w:tcPr/>
          <w:p>
            <w:pPr>
              <w:pStyle w:val="Compact"/>
              <w:jc w:val="left"/>
            </w:pPr>
            <w:r>
              <w:t xml:space="preserve">Confirm with HR that the agreed adoption metrics are actually scheduled into the next formal review cycle, not just documented.</w:t>
            </w:r>
          </w:p>
        </w:tc>
      </w:tr>
      <w:tr>
        <w:tc>
          <w:tcPr/>
          <w:p>
            <w:pPr>
              <w:pStyle w:val="Compact"/>
              <w:jc w:val="left"/>
            </w:pPr>
            <w:r>
              <w:t xml:space="preserve">Recommended Open-Source Tool</w:t>
            </w:r>
          </w:p>
        </w:tc>
        <w:tc>
          <w:tcPr/>
          <w:p>
            <w:pPr>
              <w:pStyle w:val="Compact"/>
              <w:jc w:val="left"/>
            </w:pPr>
            <w:r>
              <w:t xml:space="preserve">BookStack</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FPO, SUP</w:t>
            </w:r>
          </w:p>
        </w:tc>
        <w:tc>
          <w:tcPr/>
          <w:p>
            <w:pPr>
              <w:pStyle w:val="Compact"/>
              <w:jc w:val="left"/>
            </w:pPr>
            <w:r>
              <w:t xml:space="preserve">PM</w:t>
            </w:r>
          </w:p>
        </w:tc>
        <w:tc>
          <w:tcPr/>
          <w:p>
            <w:pPr>
              <w:pStyle w:val="Compact"/>
              <w:jc w:val="left"/>
            </w:pPr>
            <w:r>
              <w:t xml:space="preserve">ES, ITL, EU</w:t>
            </w:r>
          </w:p>
        </w:tc>
      </w:tr>
    </w:tbl>
    <w:p>
      <w:pPr>
        <w:pStyle w:val="BodyText"/>
      </w:pPr>
      <w:r>
        <w:rPr>
          <w:bCs/>
          <w:b/>
          <w:color w:val="3F827B"/>
          <w:sz w:val="24"/>
        </w:rPr>
        <w:t xml:space="preserve">Task 5 — [JOINT] Delay the formal Refreeze / closure call until checkpoints show target Reinforcement</w:t>
      </w:r>
    </w:p>
    <w:p>
      <w:pPr>
        <w:pStyle w:val="BodyText"/>
      </w:pPr>
      <w:r>
        <w:rPr>
          <w:bCs/>
          <w:b/>
        </w:rPr>
        <w:t xml:space="preserve">journi:</w:t>
      </w:r>
      <w:r>
        <w:t xml:space="preserve"> </w:t>
      </w:r>
      <w:r>
        <w:rPr>
          <w:iCs/>
          <w:i/>
        </w:rPr>
        <w:t xml:space="preserve">This is entered/updated in journi — M3.</w:t>
      </w:r>
    </w:p>
    <w:p>
      <w:pPr>
        <w:pStyle w:val="BodyText"/>
      </w:pPr>
      <w:r>
        <w:rPr>
          <w:bCs/>
          <w:b/>
          <w:color w:val="5A8F89"/>
          <w:sz w:val="22"/>
        </w:rPr>
        <w:t xml:space="preserve">Step 1 — Gate the closure decision on evidence</w:t>
      </w:r>
    </w:p>
    <w:p>
      <w:pPr>
        <w:pStyle w:val="BodyText"/>
      </w:pPr>
      <w:r>
        <w:t xml:space="preserve">Closing on schedule with an unresolved Reinforcement gap doesn't remove the regression risk — it just defers it to whoever inherits the process next, usually with less context than the Change Manager has now.</w:t>
      </w:r>
    </w:p>
    <w:p>
      <w:pPr>
        <w:pStyle w:val="BodyText"/>
      </w:pPr>
      <w:r>
        <w:rPr>
          <w:iCs/>
          <w:i/>
        </w:rPr>
        <w:t xml:space="preserve">SIPOC for this step.</w:t>
      </w:r>
    </w:p>
    <w:tbl>
      <w:tblPr>
        <w:tblStyle w:val="Table"/>
        <w:tblW w:type="pct" w:w="4968"/>
        <w:tblLook w:firstRow="1" w:lastRow="0" w:firstColumn="0" w:lastColumn="0" w:noHBand="0" w:noVBand="0" w:val="0020"/>
        <w:jc w:val="start"/>
      </w:tblPr>
      <w:tblGrid>
        <w:gridCol w:w="1477"/>
        <w:gridCol w:w="2521"/>
        <w:gridCol w:w="738"/>
        <w:gridCol w:w="865"/>
        <w:gridCol w:w="2266"/>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Executive Sponsor; HR Business Partner.</w:t>
            </w:r>
          </w:p>
        </w:tc>
        <w:tc>
          <w:tcPr/>
          <w:p>
            <w:pPr>
              <w:pStyle w:val="Compact"/>
              <w:jc w:val="left"/>
            </w:pPr>
            <w:r>
              <w:t xml:space="preserve">Stalled Reinforcement score; adoption-metric plateau data; original sustainment/checkpoint plan.</w:t>
            </w:r>
          </w:p>
        </w:tc>
        <w:tc>
          <w:tcPr/>
          <w:p>
            <w:pPr>
              <w:pStyle w:val="Compact"/>
              <w:jc w:val="left"/>
            </w:pPr>
            <w:r>
              <w:t xml:space="preserve">Evidence-based gate review</w:t>
            </w:r>
          </w:p>
        </w:tc>
        <w:tc>
          <w:tcPr/>
          <w:p>
            <w:pPr>
              <w:pStyle w:val="Compact"/>
              <w:jc w:val="left"/>
            </w:pPr>
            <w:r>
              <w:t xml:space="preserve">Evidence-gated closure decision</w:t>
            </w:r>
          </w:p>
        </w:tc>
        <w:tc>
          <w:tcPr/>
          <w:p>
            <w:pPr>
              <w:pStyle w:val="Compact"/>
              <w:jc w:val="left"/>
            </w:pPr>
            <w:r>
              <w:t xml:space="preserve">Executive Sponsor; business-as-usual process owner; future Change Management projects.</w:t>
            </w:r>
          </w:p>
        </w:tc>
      </w:tr>
    </w:tbl>
    <w:p>
      <w:pPr>
        <w:pStyle w:val="BodyText"/>
      </w:pPr>
      <w:r>
        <w:rPr>
          <w:iCs/>
          <w:i/>
        </w:rPr>
        <w:t xml:space="preserve">Technique detail for this step.</w:t>
      </w:r>
    </w:p>
    <w:tbl>
      <w:tblPr>
        <w:tblStyle w:val="Table"/>
        <w:tblW w:type="pct" w:w="4926"/>
        <w:tblLook w:firstRow="1" w:lastRow="0" w:firstColumn="0" w:lastColumn="0" w:noHBand="0" w:noVBand="0" w:val="0020"/>
        <w:jc w:val="start"/>
      </w:tblPr>
      <w:tblGrid>
        <w:gridCol w:w="1805"/>
        <w:gridCol w:w="5998"/>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Evidence-based gate review</w:t>
            </w:r>
          </w:p>
        </w:tc>
      </w:tr>
      <w:tr>
        <w:tc>
          <w:tcPr/>
          <w:p>
            <w:pPr>
              <w:pStyle w:val="Compact"/>
              <w:jc w:val="left"/>
            </w:pPr>
            <w:r>
              <w:t xml:space="preserve">Technique Goal</w:t>
            </w:r>
          </w:p>
        </w:tc>
        <w:tc>
          <w:tcPr/>
          <w:p>
            <w:pPr>
              <w:pStyle w:val="Compact"/>
              <w:jc w:val="left"/>
            </w:pPr>
            <w:r>
              <w:t xml:space="preserve">Prevent a premature closure call.</w:t>
            </w:r>
          </w:p>
        </w:tc>
      </w:tr>
      <w:tr>
        <w:tc>
          <w:tcPr/>
          <w:p>
            <w:pPr>
              <w:pStyle w:val="Compact"/>
              <w:jc w:val="left"/>
            </w:pPr>
            <w:r>
              <w:t xml:space="preserve">Technique Details</w:t>
            </w:r>
          </w:p>
        </w:tc>
        <w:tc>
          <w:tcPr/>
          <w:p>
            <w:pPr>
              <w:pStyle w:val="Compact"/>
              <w:jc w:val="left"/>
            </w:pPr>
            <w:r>
              <w:t xml:space="preserve">Hold the closure call open until 2–3 consecutive checkpoints show Reinforcement at or above target.</w:t>
            </w:r>
          </w:p>
        </w:tc>
      </w:tr>
      <w:tr>
        <w:tc>
          <w:tcPr/>
          <w:p>
            <w:pPr>
              <w:pStyle w:val="Compact"/>
              <w:jc w:val="left"/>
            </w:pPr>
            <w:r>
              <w:t xml:space="preserve">Recommended Open-Source Tool</w:t>
            </w:r>
          </w:p>
        </w:tc>
        <w:tc>
          <w:tcPr/>
          <w:p>
            <w:pPr>
              <w:pStyle w:val="Compact"/>
              <w:jc w:val="left"/>
            </w:pPr>
            <w:r>
              <w:t xml:space="preserve">OpenProject</w:t>
            </w:r>
          </w:p>
        </w:tc>
      </w:tr>
    </w:tbl>
    <w:p>
      <w:pPr>
        <w:pStyle w:val="BodyText"/>
      </w:pPr>
      <w:r>
        <w:rPr>
          <w:bCs/>
          <w:b/>
        </w:rPr>
        <w:t xml:space="preserve">journi:</w:t>
      </w:r>
      <w:r>
        <w:t xml:space="preserve"> </w:t>
      </w:r>
      <w:r>
        <w:rPr>
          <w:iCs/>
          <w:i/>
        </w:rPr>
        <w:t xml:space="preserve">This is entered/updated in journi — M3.</w:t>
      </w:r>
    </w:p>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ES</w:t>
            </w:r>
          </w:p>
        </w:tc>
        <w:tc>
          <w:tcPr/>
          <w:p>
            <w:pPr>
              <w:pStyle w:val="Compact"/>
              <w:jc w:val="left"/>
            </w:pPr>
            <w:r>
              <w:t xml:space="preserve">PM, FPO</w:t>
            </w:r>
          </w:p>
        </w:tc>
        <w:tc>
          <w:tcPr/>
          <w:p>
            <w:pPr>
              <w:pStyle w:val="Compact"/>
              <w:jc w:val="left"/>
            </w:pPr>
            <w:r>
              <w:t xml:space="preserve">SUP</w:t>
            </w:r>
          </w:p>
        </w:tc>
        <w:tc>
          <w:tcPr/>
          <w:p>
            <w:pPr>
              <w:pStyle w:val="Compact"/>
              <w:jc w:val="left"/>
            </w:pPr>
            <w:r>
              <w:t xml:space="preserve">ITL, EU</w:t>
            </w:r>
          </w:p>
        </w:tc>
      </w:tr>
    </w:tbl>
    <w:p>
      <w:pPr>
        <w:pStyle w:val="BodyText"/>
      </w:pPr>
      <w:r>
        <w:rPr>
          <w:bCs/>
          <w:b/>
          <w:color w:val="275650"/>
          <w:sz w:val="27"/>
        </w:rPr>
        <w:t xml:space="preserve">9.6 E6 — Cohort Divergence Across Sites or Departments</w:t>
      </w:r>
    </w:p>
    <w:p>
      <w:pPr>
        <w:pStyle w:val="BodyText"/>
      </w:pPr>
      <w:r>
        <w:rPr>
          <w:iCs/>
          <w:i/>
        </w:rPr>
        <w:t xml:space="preserve">Cross-cutting, Phases 4–7</w:t>
      </w:r>
    </w:p>
    <w:tbl>
      <w:tblPr>
        <w:tblStyle w:val="Table"/>
        <w:tblW w:type="pct" w:w="4941"/>
        <w:tblLook w:firstRow="1" w:lastRow="0" w:firstColumn="0" w:lastColumn="0" w:noHBand="0" w:noVBand="0" w:val="0020"/>
        <w:jc w:val="start"/>
      </w:tblPr>
      <w:tblGrid>
        <w:gridCol w:w="838"/>
        <w:gridCol w:w="6988"/>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Trigger</w:t>
            </w:r>
          </w:p>
        </w:tc>
        <w:tc>
          <w:tcPr/>
          <w:p>
            <w:pPr>
              <w:pStyle w:val="Compact"/>
              <w:jc w:val="left"/>
            </w:pPr>
            <w:r>
              <w:t xml:space="preserve">A single project-level framework reading becomes misleading because different cohorts are genuinely in different places across all four frameworks.</w:t>
            </w:r>
          </w:p>
        </w:tc>
      </w:tr>
      <w:tr>
        <w:tc>
          <w:tcPr/>
          <w:p>
            <w:pPr>
              <w:pStyle w:val="Compact"/>
              <w:jc w:val="left"/>
            </w:pPr>
            <w:r>
              <w:t xml:space="preserve">Timeline Impact</w:t>
            </w:r>
          </w:p>
        </w:tc>
        <w:tc>
          <w:tcPr/>
          <w:p>
            <w:pPr>
              <w:pStyle w:val="Compact"/>
              <w:jc w:val="left"/>
            </w:pPr>
            <w:r>
              <w:t xml:space="preserve">Runs continuously alongside the main flow; enables a cohort-by-cohort go/no-go instead of a single all-or-nothing gate.</w:t>
            </w:r>
          </w:p>
        </w:tc>
      </w:tr>
    </w:tbl>
    <w:p>
      <w:pPr>
        <w:pStyle w:val="BodyText"/>
      </w:pPr>
      <w:r>
        <w:rPr>
          <w:iCs/>
          <w:i/>
        </w:rPr>
        <w:t xml:space="preserve">Trigger and timeline impact for E6.</w:t>
      </w:r>
    </w:p>
    <w:p>
      <w:pPr>
        <w:pStyle w:val="BodyText"/>
      </w:pPr>
      <w:r>
        <w:rPr>
          <w:bCs/>
          <w:b/>
        </w:rPr>
        <w:t xml:space="preserve">SIPOC</w:t>
      </w:r>
    </w:p>
    <w:tbl>
      <w:tblPr>
        <w:tblStyle w:val="Table"/>
        <w:tblW w:type="pct" w:w="4968"/>
        <w:tblLook w:firstRow="1" w:lastRow="0" w:firstColumn="0" w:lastColumn="0" w:noHBand="0" w:noVBand="0" w:val="0020"/>
        <w:jc w:val="start"/>
      </w:tblPr>
      <w:tblGrid>
        <w:gridCol w:w="977"/>
        <w:gridCol w:w="1752"/>
        <w:gridCol w:w="1550"/>
        <w:gridCol w:w="2561"/>
        <w:gridCol w:w="1027"/>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 (Tasks)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Site/Department leads; Program Manager.</w:t>
            </w:r>
          </w:p>
        </w:tc>
        <w:tc>
          <w:tcPr/>
          <w:p>
            <w:pPr>
              <w:pStyle w:val="Compact"/>
              <w:jc w:val="left"/>
            </w:pPr>
            <w:r>
              <w:t xml:space="preserve">Stakeholder Map; cohort-level ADKAR/Bridges/Kübler-Ross scores; site/department readiness benchmarks.</w:t>
            </w:r>
          </w:p>
        </w:tc>
        <w:tc>
          <w:tcPr/>
          <w:p>
            <w:pPr>
              <w:jc w:val="left"/>
            </w:pPr>
            <w:r>
              <w:t xml:space="preserve">1. Disaggregate the Composite Readiness Index by stakeholder group</w:t>
            </w:r>
          </w:p>
          <w:p>
            <w:pPr>
              <w:jc w:val="left"/>
            </w:pPr>
            <w:r>
              <w:t xml:space="preserve">2. Identify the specific cohorts driving the spread, high and low</w:t>
            </w:r>
          </w:p>
          <w:p>
            <w:pPr>
              <w:jc w:val="left"/>
            </w:pPr>
            <w:r>
              <w:t xml:space="preserve">3. Investigate what the strongest cohort did differently and what the weakest is missing</w:t>
            </w:r>
          </w:p>
          <w:p>
            <w:pPr>
              <w:jc w:val="left"/>
            </w:pPr>
            <w:r>
              <w:t xml:space="preserve">4. Transfer specific, concrete practices from the strongest cohort to the weakest</w:t>
            </w:r>
          </w:p>
          <w:p>
            <w:pPr>
              <w:jc w:val="left"/>
            </w:pPr>
            <w:r>
              <w:t xml:space="preserve">5. Continue reporting cohort-level readiness alongside the project-level number</w:t>
            </w:r>
          </w:p>
        </w:tc>
        <w:tc>
          <w:tcPr/>
          <w:p>
            <w:pPr>
              <w:pStyle w:val="Compact"/>
              <w:jc w:val="left"/>
            </w:pPr>
            <w:r>
              <w:t xml:space="preserve">Disaggregated, cohort-level readiness report; root-cause comparison between strongest and weakest cohorts; revised go/no-go recommendation by cohort.</w:t>
            </w:r>
          </w:p>
        </w:tc>
        <w:tc>
          <w:tcPr/>
          <w:p>
            <w:pPr>
              <w:pStyle w:val="Compact"/>
              <w:jc w:val="left"/>
            </w:pPr>
            <w:r>
              <w:t xml:space="preserve">Steering Committee; Site/Department leads; Change Manager.</w:t>
            </w:r>
          </w:p>
        </w:tc>
      </w:tr>
    </w:tbl>
    <w:p>
      <w:pPr>
        <w:pStyle w:val="BodyText"/>
      </w:pPr>
      <w:r>
        <w:rPr>
          <w:iCs/>
          <w:i/>
        </w:rPr>
        <w:t xml:space="preserve">SIPOC for E6 — Cohort Divergence Across Sites or Departments. The Process column lists this exception's five recovery Tasks in sequence.</w:t>
      </w:r>
    </w:p>
    <w:p>
      <w:pPr>
        <w:pStyle w:val="BodyText"/>
      </w:pPr>
      <w:r>
        <w:rPr>
          <w:bCs/>
          <w:b/>
        </w:rPr>
        <w:t xml:space="preserve">Tasks, Steps, Techniques &amp; RACSI</w:t>
      </w:r>
    </w:p>
    <w:p>
      <w:pPr>
        <w:pStyle w:val="BodyText"/>
      </w:pPr>
      <w:r>
        <w:rPr>
          <w:bCs/>
          <w:b/>
          <w:color w:val="3F827B"/>
          <w:sz w:val="24"/>
        </w:rPr>
        <w:t xml:space="preserve">Task 1 — [CHANGE] Disaggregate the Composite Readiness Index by stakeholder group</w:t>
      </w:r>
    </w:p>
    <w:p>
      <w:pPr>
        <w:pStyle w:val="BodyText"/>
      </w:pPr>
      <w:r>
        <w:rPr>
          <w:bCs/>
          <w:b/>
        </w:rPr>
        <w:t xml:space="preserve">journi:</w:t>
      </w:r>
      <w:r>
        <w:t xml:space="preserve"> </w:t>
      </w:r>
      <w:r>
        <w:rPr>
          <w:iCs/>
          <w:i/>
        </w:rPr>
        <w:t xml:space="preserve">This is entered/updated in journi — M4.</w:t>
      </w:r>
    </w:p>
    <w:p>
      <w:pPr>
        <w:pStyle w:val="BodyText"/>
      </w:pPr>
      <w:r>
        <w:rPr>
          <w:bCs/>
          <w:b/>
          <w:color w:val="5A8F89"/>
          <w:sz w:val="22"/>
        </w:rPr>
        <w:t xml:space="preserve">Step 1 — Disaggregate the readiness index</w:t>
      </w:r>
    </w:p>
    <w:p>
      <w:pPr>
        <w:pStyle w:val="BodyText"/>
      </w:pPr>
      <w:r>
        <w:t xml:space="preserve">A single blended project-level number is exactly what hides the kind of divergence this exception exists to catch — disaggregating by site and department is the fix.</w:t>
      </w:r>
    </w:p>
    <w:p>
      <w:pPr>
        <w:pStyle w:val="BodyText"/>
      </w:pPr>
      <w:r>
        <w:rPr>
          <w:iCs/>
          <w:i/>
        </w:rPr>
        <w:t xml:space="preserve">SIPOC for this step.</w:t>
      </w:r>
    </w:p>
    <w:tbl>
      <w:tblPr>
        <w:tblStyle w:val="Table"/>
        <w:tblW w:type="pct" w:w="4965"/>
        <w:tblLook w:firstRow="1" w:lastRow="0" w:firstColumn="0" w:lastColumn="0" w:noHBand="0" w:noVBand="0" w:val="0020"/>
        <w:jc w:val="start"/>
      </w:tblPr>
      <w:tblGrid>
        <w:gridCol w:w="1600"/>
        <w:gridCol w:w="2869"/>
        <w:gridCol w:w="855"/>
        <w:gridCol w:w="855"/>
        <w:gridCol w:w="168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Site/Department leads; Program Manager.</w:t>
            </w:r>
          </w:p>
        </w:tc>
        <w:tc>
          <w:tcPr/>
          <w:p>
            <w:pPr>
              <w:pStyle w:val="Compact"/>
              <w:jc w:val="left"/>
            </w:pPr>
            <w:r>
              <w:t xml:space="preserve">Stakeholder Map; cohort-level ADKAR/Bridges/Kübler-Ross scores; site/department readiness benchmarks.</w:t>
            </w:r>
          </w:p>
        </w:tc>
        <w:tc>
          <w:tcPr/>
          <w:p>
            <w:pPr>
              <w:pStyle w:val="Compact"/>
              <w:jc w:val="left"/>
            </w:pPr>
            <w:r>
              <w:t xml:space="preserve">Cohort segmentation analysis</w:t>
            </w:r>
          </w:p>
        </w:tc>
        <w:tc>
          <w:tcPr/>
          <w:p>
            <w:pPr>
              <w:pStyle w:val="Compact"/>
              <w:jc w:val="left"/>
            </w:pPr>
            <w:r>
              <w:t xml:space="preserve">Disaggregated readiness view</w:t>
            </w:r>
          </w:p>
        </w:tc>
        <w:tc>
          <w:tcPr/>
          <w:p>
            <w:pPr>
              <w:pStyle w:val="Compact"/>
              <w:jc w:val="left"/>
            </w:pPr>
            <w:r>
              <w:t xml:space="preserve">Steering Committee; Site/Department leads; Change Manager.</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73"/>
        <w:gridCol w:w="6244"/>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Cohort segmentation analysis</w:t>
            </w:r>
          </w:p>
        </w:tc>
      </w:tr>
      <w:tr>
        <w:tc>
          <w:tcPr/>
          <w:p>
            <w:pPr>
              <w:pStyle w:val="Compact"/>
              <w:jc w:val="left"/>
            </w:pPr>
            <w:r>
              <w:t xml:space="preserve">Technique Goal</w:t>
            </w:r>
          </w:p>
        </w:tc>
        <w:tc>
          <w:tcPr/>
          <w:p>
            <w:pPr>
              <w:pStyle w:val="Compact"/>
              <w:jc w:val="left"/>
            </w:pPr>
            <w:r>
              <w:t xml:space="preserve">Replace one blended score with a per-cohort view.</w:t>
            </w:r>
          </w:p>
        </w:tc>
      </w:tr>
      <w:tr>
        <w:tc>
          <w:tcPr/>
          <w:p>
            <w:pPr>
              <w:pStyle w:val="Compact"/>
              <w:jc w:val="left"/>
            </w:pPr>
            <w:r>
              <w:t xml:space="preserve">Technique Details</w:t>
            </w:r>
          </w:p>
        </w:tc>
        <w:tc>
          <w:tcPr/>
          <w:p>
            <w:pPr>
              <w:pStyle w:val="Compact"/>
              <w:jc w:val="left"/>
            </w:pPr>
            <w:r>
              <w:t xml:space="preserve">Rebuild the Composite Readiness Index view filtered by site and department rather than as a single project-level number.</w:t>
            </w:r>
          </w:p>
        </w:tc>
      </w:tr>
      <w:tr>
        <w:tc>
          <w:tcPr/>
          <w:p>
            <w:pPr>
              <w:pStyle w:val="Compact"/>
              <w:jc w:val="left"/>
            </w:pPr>
            <w:r>
              <w:t xml:space="preserve">Recommended Open-Source Tool</w:t>
            </w:r>
          </w:p>
        </w:tc>
        <w:tc>
          <w:tcPr/>
          <w:p>
            <w:pPr>
              <w:pStyle w:val="Compact"/>
              <w:jc w:val="left"/>
            </w:pPr>
            <w:r>
              <w:t xml:space="preserve">Metabase</w:t>
            </w:r>
          </w:p>
        </w:tc>
      </w:tr>
    </w:tbl>
    <w:p>
      <w:pPr>
        <w:pStyle w:val="BodyText"/>
      </w:pPr>
      <w:r>
        <w:rPr>
          <w:bCs/>
          <w:b/>
        </w:rPr>
        <w:t xml:space="preserve">journi:</w:t>
      </w:r>
      <w:r>
        <w:t xml:space="preserve"> </w:t>
      </w:r>
      <w:r>
        <w:rPr>
          <w:iCs/>
          <w:i/>
        </w:rPr>
        <w:t xml:space="preserve">This is entered/updated in journi — M4 — Stakeholder &amp; Impact Mapping.</w:t>
      </w:r>
    </w:p>
    <w:p>
      <w:pPr>
        <w:pStyle w:val="BodyText"/>
      </w:pPr>
      <w:r>
        <w:rPr>
          <w:iCs/>
          <w:i/>
        </w:rPr>
        <w:t xml:space="preserve">RACSI for Task 1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PM</w:t>
            </w:r>
          </w:p>
        </w:tc>
        <w:tc>
          <w:tcPr/>
          <w:p>
            <w:pPr>
              <w:pStyle w:val="Compact"/>
              <w:jc w:val="left"/>
            </w:pPr>
            <w:r>
              <w:t xml:space="preserve">ITL</w:t>
            </w:r>
          </w:p>
        </w:tc>
        <w:tc>
          <w:tcPr/>
          <w:p>
            <w:pPr>
              <w:pStyle w:val="Compact"/>
              <w:jc w:val="left"/>
            </w:pPr>
            <w:r>
              <w:t xml:space="preserve">ES, FPO, SUP, EU</w:t>
            </w:r>
          </w:p>
        </w:tc>
      </w:tr>
    </w:tbl>
    <w:p>
      <w:pPr>
        <w:pStyle w:val="BodyText"/>
      </w:pPr>
      <w:r>
        <w:rPr>
          <w:bCs/>
          <w:b/>
          <w:color w:val="3F827B"/>
          <w:sz w:val="24"/>
        </w:rPr>
        <w:t xml:space="preserve">Task 2 — [CHANGE] Identify the specific cohorts driving the spread, high and low</w:t>
      </w:r>
    </w:p>
    <w:p>
      <w:pPr>
        <w:pStyle w:val="BodyText"/>
      </w:pPr>
      <w:r>
        <w:rPr>
          <w:bCs/>
          <w:b/>
          <w:color w:val="5A8F89"/>
          <w:sz w:val="22"/>
        </w:rPr>
        <w:t xml:space="preserve">Step 1 — Rank cohorts by readiness</w:t>
      </w:r>
    </w:p>
    <w:p>
      <w:pPr>
        <w:pStyle w:val="BodyText"/>
      </w:pPr>
      <w:r>
        <w:t xml:space="preserve">Ranking every cohort, rather than reacting to whichever one complained loudest, ensures the investigation targets the genuine statistical outliers.</w:t>
      </w:r>
    </w:p>
    <w:p>
      <w:pPr>
        <w:pStyle w:val="BodyText"/>
      </w:pPr>
      <w:r>
        <w:rPr>
          <w:iCs/>
          <w:i/>
        </w:rPr>
        <w:t xml:space="preserve">SIPOC for this step.</w:t>
      </w:r>
    </w:p>
    <w:tbl>
      <w:tblPr>
        <w:tblStyle w:val="Table"/>
        <w:tblW w:type="pct" w:w="4963"/>
        <w:tblLook w:firstRow="1" w:lastRow="0" w:firstColumn="0" w:lastColumn="0" w:noHBand="0" w:noVBand="0" w:val="0020"/>
        <w:jc w:val="start"/>
      </w:tblPr>
      <w:tblGrid>
        <w:gridCol w:w="1682"/>
        <w:gridCol w:w="3017"/>
        <w:gridCol w:w="551"/>
        <w:gridCol w:w="841"/>
        <w:gridCol w:w="1769"/>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Site/Department leads; Program Manager.</w:t>
            </w:r>
          </w:p>
        </w:tc>
        <w:tc>
          <w:tcPr/>
          <w:p>
            <w:pPr>
              <w:pStyle w:val="Compact"/>
              <w:jc w:val="left"/>
            </w:pPr>
            <w:r>
              <w:t xml:space="preserve">Stakeholder Map; cohort-level ADKAR/Bridges/Kübler-Ross scores; site/department readiness benchmarks.</w:t>
            </w:r>
          </w:p>
        </w:tc>
        <w:tc>
          <w:tcPr/>
          <w:p>
            <w:pPr>
              <w:pStyle w:val="Compact"/>
              <w:jc w:val="left"/>
            </w:pPr>
            <w:r>
              <w:t xml:space="preserve">Outlier analysis</w:t>
            </w:r>
          </w:p>
        </w:tc>
        <w:tc>
          <w:tcPr/>
          <w:p>
            <w:pPr>
              <w:pStyle w:val="Compact"/>
              <w:jc w:val="left"/>
            </w:pPr>
            <w:r>
              <w:t xml:space="preserve">Ranked cohort outlier list</w:t>
            </w:r>
          </w:p>
        </w:tc>
        <w:tc>
          <w:tcPr/>
          <w:p>
            <w:pPr>
              <w:pStyle w:val="Compact"/>
              <w:jc w:val="left"/>
            </w:pPr>
            <w:r>
              <w:t xml:space="preserve">Steering Committee; Site/Department leads; Change Manager.</w:t>
            </w:r>
          </w:p>
        </w:tc>
      </w:tr>
    </w:tbl>
    <w:p>
      <w:pPr>
        <w:pStyle w:val="BodyText"/>
      </w:pPr>
      <w:r>
        <w:rPr>
          <w:iCs/>
          <w:i/>
        </w:rPr>
        <w:t xml:space="preserve">Technique detail for this step.</w:t>
      </w:r>
    </w:p>
    <w:tbl>
      <w:tblPr>
        <w:tblStyle w:val="Table"/>
        <w:tblW w:type="pct" w:w="4924"/>
        <w:tblLook w:firstRow="1" w:lastRow="0" w:firstColumn="0" w:lastColumn="0" w:noHBand="0" w:noVBand="0" w:val="0020"/>
        <w:jc w:val="start"/>
      </w:tblPr>
      <w:tblGrid>
        <w:gridCol w:w="1860"/>
        <w:gridCol w:w="5940"/>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Outlier analysis</w:t>
            </w:r>
          </w:p>
        </w:tc>
      </w:tr>
      <w:tr>
        <w:tc>
          <w:tcPr/>
          <w:p>
            <w:pPr>
              <w:pStyle w:val="Compact"/>
              <w:jc w:val="left"/>
            </w:pPr>
            <w:r>
              <w:t xml:space="preserve">Technique Goal</w:t>
            </w:r>
          </w:p>
        </w:tc>
        <w:tc>
          <w:tcPr/>
          <w:p>
            <w:pPr>
              <w:pStyle w:val="Compact"/>
              <w:jc w:val="left"/>
            </w:pPr>
            <w:r>
              <w:t xml:space="preserve">Pinpoint the best- and worst-performing cohorts.</w:t>
            </w:r>
          </w:p>
        </w:tc>
      </w:tr>
      <w:tr>
        <w:tc>
          <w:tcPr/>
          <w:p>
            <w:pPr>
              <w:pStyle w:val="Compact"/>
              <w:jc w:val="left"/>
            </w:pPr>
            <w:r>
              <w:t xml:space="preserve">Technique Details</w:t>
            </w:r>
          </w:p>
        </w:tc>
        <w:tc>
          <w:tcPr/>
          <w:p>
            <w:pPr>
              <w:pStyle w:val="Compact"/>
              <w:jc w:val="left"/>
            </w:pPr>
            <w:r>
              <w:t xml:space="preserve">Rank all cohorts by Composite Readiness Index and flag the top and bottom two for closer review.</w:t>
            </w:r>
          </w:p>
        </w:tc>
      </w:tr>
      <w:tr>
        <w:tc>
          <w:tcPr/>
          <w:p>
            <w:pPr>
              <w:pStyle w:val="Compact"/>
              <w:jc w:val="left"/>
            </w:pPr>
            <w:r>
              <w:t xml:space="preserve">Recommended Open-Source Tool</w:t>
            </w:r>
          </w:p>
        </w:tc>
        <w:tc>
          <w:tcPr/>
          <w:p>
            <w:pPr>
              <w:pStyle w:val="Compact"/>
              <w:jc w:val="left"/>
            </w:pPr>
            <w:r>
              <w:t xml:space="preserve">Apache Superset</w:t>
            </w:r>
          </w:p>
        </w:tc>
      </w:tr>
    </w:tbl>
    <w:p>
      <w:pPr>
        <w:pStyle w:val="BodyText"/>
      </w:pPr>
      <w:r>
        <w:rPr>
          <w:iCs/>
          <w:i/>
        </w:rPr>
        <w:t xml:space="preserve">RACSI for Task 2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FPO, PM</w:t>
            </w:r>
          </w:p>
        </w:tc>
        <w:tc>
          <w:tcPr/>
          <w:p>
            <w:pPr>
              <w:pStyle w:val="Compact"/>
              <w:jc w:val="left"/>
            </w:pPr>
            <w:r>
              <w:t xml:space="preserve">ITL</w:t>
            </w:r>
          </w:p>
        </w:tc>
        <w:tc>
          <w:tcPr/>
          <w:p>
            <w:pPr>
              <w:pStyle w:val="Compact"/>
              <w:jc w:val="left"/>
            </w:pPr>
            <w:r>
              <w:t xml:space="preserve">ES, SUP, EU</w:t>
            </w:r>
          </w:p>
        </w:tc>
      </w:tr>
    </w:tbl>
    <w:p>
      <w:pPr>
        <w:pStyle w:val="BodyText"/>
      </w:pPr>
      <w:r>
        <w:rPr>
          <w:bCs/>
          <w:b/>
          <w:color w:val="3F827B"/>
          <w:sz w:val="24"/>
        </w:rPr>
        <w:t xml:space="preserve">Task 3 — [CHANGE] Investigate what the strongest cohort did differently and what the weakest is missing</w:t>
      </w:r>
    </w:p>
    <w:p>
      <w:pPr>
        <w:pStyle w:val="BodyText"/>
      </w:pPr>
      <w:r>
        <w:rPr>
          <w:bCs/>
          <w:b/>
          <w:color w:val="5A8F89"/>
          <w:sz w:val="22"/>
        </w:rPr>
        <w:t xml:space="preserve">Step 1 — Compare strong and weak cohorts</w:t>
      </w:r>
    </w:p>
    <w:p>
      <w:pPr>
        <w:pStyle w:val="BodyText"/>
      </w:pPr>
      <w:r>
        <w:t xml:space="preserve">Using the identical question guide for both the strongest and weakest cohort is what makes the comparison genuinely apples-to-apples rather than two unrelated conversations.</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1562"/>
        <w:gridCol w:w="2801"/>
        <w:gridCol w:w="942"/>
        <w:gridCol w:w="915"/>
        <w:gridCol w:w="1643"/>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Site/Department leads; Program Manager.</w:t>
            </w:r>
          </w:p>
        </w:tc>
        <w:tc>
          <w:tcPr/>
          <w:p>
            <w:pPr>
              <w:pStyle w:val="Compact"/>
              <w:jc w:val="left"/>
            </w:pPr>
            <w:r>
              <w:t xml:space="preserve">Stakeholder Map; cohort-level ADKAR/Bridges/Kübler-Ross scores; site/department readiness benchmarks.</w:t>
            </w:r>
          </w:p>
        </w:tc>
        <w:tc>
          <w:tcPr/>
          <w:p>
            <w:pPr>
              <w:pStyle w:val="Compact"/>
              <w:jc w:val="left"/>
            </w:pPr>
            <w:r>
              <w:t xml:space="preserve">Comparative root-cause interview</w:t>
            </w:r>
          </w:p>
        </w:tc>
        <w:tc>
          <w:tcPr/>
          <w:p>
            <w:pPr>
              <w:pStyle w:val="Compact"/>
              <w:jc w:val="left"/>
            </w:pPr>
            <w:r>
              <w:t xml:space="preserve">Comparative root-cause findings</w:t>
            </w:r>
          </w:p>
        </w:tc>
        <w:tc>
          <w:tcPr/>
          <w:p>
            <w:pPr>
              <w:pStyle w:val="Compact"/>
              <w:jc w:val="left"/>
            </w:pPr>
            <w:r>
              <w:t xml:space="preserve">Steering Committee; Site/Department leads; Change Manager.</w:t>
            </w:r>
          </w:p>
        </w:tc>
      </w:tr>
    </w:tbl>
    <w:p>
      <w:pPr>
        <w:pStyle w:val="BodyText"/>
      </w:pPr>
      <w:r>
        <w:rPr>
          <w:iCs/>
          <w:i/>
        </w:rPr>
        <w:t xml:space="preserve">Technique detail for this step.</w:t>
      </w:r>
    </w:p>
    <w:tbl>
      <w:tblPr>
        <w:tblStyle w:val="Table"/>
        <w:tblW w:type="pct" w:w="4941"/>
        <w:tblLook w:firstRow="1" w:lastRow="0" w:firstColumn="0" w:lastColumn="0" w:noHBand="0" w:noVBand="0" w:val="0020"/>
        <w:jc w:val="start"/>
      </w:tblPr>
      <w:tblGrid>
        <w:gridCol w:w="1452"/>
        <w:gridCol w:w="6373"/>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Comparative root-cause interview</w:t>
            </w:r>
          </w:p>
        </w:tc>
      </w:tr>
      <w:tr>
        <w:tc>
          <w:tcPr/>
          <w:p>
            <w:pPr>
              <w:pStyle w:val="Compact"/>
              <w:jc w:val="left"/>
            </w:pPr>
            <w:r>
              <w:t xml:space="preserve">Technique Goal</w:t>
            </w:r>
          </w:p>
        </w:tc>
        <w:tc>
          <w:tcPr/>
          <w:p>
            <w:pPr>
              <w:pStyle w:val="Compact"/>
              <w:jc w:val="left"/>
            </w:pPr>
            <w:r>
              <w:t xml:space="preserve">Learn what the strong cohort did differently.</w:t>
            </w:r>
          </w:p>
        </w:tc>
      </w:tr>
      <w:tr>
        <w:tc>
          <w:tcPr/>
          <w:p>
            <w:pPr>
              <w:pStyle w:val="Compact"/>
              <w:jc w:val="left"/>
            </w:pPr>
            <w:r>
              <w:t xml:space="preserve">Technique Details</w:t>
            </w:r>
          </w:p>
        </w:tc>
        <w:tc>
          <w:tcPr/>
          <w:p>
            <w:pPr>
              <w:pStyle w:val="Compact"/>
              <w:jc w:val="left"/>
            </w:pPr>
            <w:r>
              <w:t xml:space="preserve">Interview supervisors and champions from both the strongest and weakest cohorts using the same question guide for a clean comparison.</w:t>
            </w:r>
          </w:p>
        </w:tc>
      </w:tr>
      <w:tr>
        <w:tc>
          <w:tcPr/>
          <w:p>
            <w:pPr>
              <w:pStyle w:val="Compact"/>
              <w:jc w:val="left"/>
            </w:pPr>
            <w:r>
              <w:t xml:space="preserve">Recommended Open-Source Tool</w:t>
            </w:r>
          </w:p>
        </w:tc>
        <w:tc>
          <w:tcPr/>
          <w:p>
            <w:pPr>
              <w:pStyle w:val="Compact"/>
              <w:jc w:val="left"/>
            </w:pPr>
            <w:r>
              <w:t xml:space="preserve">BigBlueButton</w:t>
            </w:r>
          </w:p>
        </w:tc>
      </w:tr>
    </w:tbl>
    <w:p>
      <w:pPr>
        <w:pStyle w:val="BodyText"/>
      </w:pPr>
      <w:r>
        <w:rPr>
          <w:iCs/>
          <w:i/>
        </w:rPr>
        <w:t xml:space="preserve">RACSI for Task 3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 CM</w:t>
            </w:r>
          </w:p>
        </w:tc>
        <w:tc>
          <w:tcPr/>
          <w:p>
            <w:pPr>
              <w:pStyle w:val="Compact"/>
              <w:jc w:val="left"/>
            </w:pPr>
            <w:r>
              <w:t xml:space="preserve">CM</w:t>
            </w:r>
          </w:p>
        </w:tc>
        <w:tc>
          <w:tcPr/>
          <w:p>
            <w:pPr>
              <w:pStyle w:val="Compact"/>
              <w:jc w:val="left"/>
            </w:pPr>
            <w:r>
              <w:t xml:space="preserve">FPO</w:t>
            </w:r>
          </w:p>
        </w:tc>
        <w:tc>
          <w:tcPr/>
          <w:p>
            <w:pPr>
              <w:pStyle w:val="Compact"/>
              <w:jc w:val="left"/>
            </w:pPr>
            <w:r>
              <w:t xml:space="preserve">ITL</w:t>
            </w:r>
          </w:p>
        </w:tc>
        <w:tc>
          <w:tcPr/>
          <w:p>
            <w:pPr>
              <w:pStyle w:val="Compact"/>
              <w:jc w:val="left"/>
            </w:pPr>
            <w:r>
              <w:t xml:space="preserve">ES, PM, EU</w:t>
            </w:r>
          </w:p>
        </w:tc>
      </w:tr>
    </w:tbl>
    <w:p>
      <w:pPr>
        <w:pStyle w:val="BodyText"/>
      </w:pPr>
      <w:r>
        <w:rPr>
          <w:bCs/>
          <w:b/>
          <w:color w:val="3F827B"/>
          <w:sz w:val="24"/>
        </w:rPr>
        <w:t xml:space="preserve">Task 4 — [JOINT] Transfer specific, concrete practices from the strongest cohort to the weakest</w:t>
      </w:r>
    </w:p>
    <w:p>
      <w:pPr>
        <w:pStyle w:val="BodyText"/>
      </w:pPr>
      <w:r>
        <w:rPr>
          <w:bCs/>
          <w:b/>
          <w:color w:val="5A8F89"/>
          <w:sz w:val="22"/>
        </w:rPr>
        <w:t xml:space="preserve">Step 1 — Transfer the practice directly</w:t>
      </w:r>
    </w:p>
    <w:p>
      <w:pPr>
        <w:pStyle w:val="BodyText"/>
      </w:pPr>
      <w:r>
        <w:t xml:space="preserve">A generic reminder to</w:t>
      </w:r>
      <w:r>
        <w:t xml:space="preserve"> </w:t>
      </w:r>
      <w:r>
        <w:t xml:space="preserve">“</w:t>
      </w:r>
      <w:r>
        <w:t xml:space="preserve">communicate more</w:t>
      </w:r>
      <w:r>
        <w:t xml:space="preserve">”</w:t>
      </w:r>
      <w:r>
        <w:t xml:space="preserve"> </w:t>
      </w:r>
      <w:r>
        <w:t xml:space="preserve">rarely changes anything; watching the strong cohort's champion demonstrate the exact practice live is what actually transfers.</w:t>
      </w:r>
    </w:p>
    <w:p>
      <w:pPr>
        <w:pStyle w:val="BodyText"/>
      </w:pPr>
      <w:r>
        <w:rPr>
          <w:iCs/>
          <w:i/>
        </w:rPr>
        <w:t xml:space="preserve">SIPOC for this step.</w:t>
      </w:r>
    </w:p>
    <w:tbl>
      <w:tblPr>
        <w:tblStyle w:val="Table"/>
        <w:tblW w:type="pct" w:w="4965"/>
        <w:tblLook w:firstRow="1" w:lastRow="0" w:firstColumn="0" w:lastColumn="0" w:noHBand="0" w:noVBand="0" w:val="0020"/>
        <w:jc w:val="start"/>
      </w:tblPr>
      <w:tblGrid>
        <w:gridCol w:w="1589"/>
        <w:gridCol w:w="2850"/>
        <w:gridCol w:w="794"/>
        <w:gridCol w:w="959"/>
        <w:gridCol w:w="1671"/>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Site/Department leads; Program Manager.</w:t>
            </w:r>
          </w:p>
        </w:tc>
        <w:tc>
          <w:tcPr/>
          <w:p>
            <w:pPr>
              <w:pStyle w:val="Compact"/>
              <w:jc w:val="left"/>
            </w:pPr>
            <w:r>
              <w:t xml:space="preserve">Stakeholder Map; cohort-level ADKAR/Bridges/Kübler-Ross scores; site/department readiness benchmarks.</w:t>
            </w:r>
          </w:p>
        </w:tc>
        <w:tc>
          <w:tcPr/>
          <w:p>
            <w:pPr>
              <w:pStyle w:val="Compact"/>
              <w:jc w:val="left"/>
            </w:pPr>
            <w:r>
              <w:t xml:space="preserve">Practice-transfer workshop</w:t>
            </w:r>
          </w:p>
        </w:tc>
        <w:tc>
          <w:tcPr/>
          <w:p>
            <w:pPr>
              <w:pStyle w:val="Compact"/>
              <w:jc w:val="left"/>
            </w:pPr>
            <w:r>
              <w:t xml:space="preserve">Documented transferred practices</w:t>
            </w:r>
          </w:p>
        </w:tc>
        <w:tc>
          <w:tcPr/>
          <w:p>
            <w:pPr>
              <w:pStyle w:val="Compact"/>
              <w:jc w:val="left"/>
            </w:pPr>
            <w:r>
              <w:t xml:space="preserve">Steering Committee; Site/Department leads; Change Manager.</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63"/>
        <w:gridCol w:w="625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Practice-transfer workshop</w:t>
            </w:r>
          </w:p>
        </w:tc>
      </w:tr>
      <w:tr>
        <w:tc>
          <w:tcPr/>
          <w:p>
            <w:pPr>
              <w:pStyle w:val="Compact"/>
              <w:jc w:val="left"/>
            </w:pPr>
            <w:r>
              <w:t xml:space="preserve">Technique Goal</w:t>
            </w:r>
          </w:p>
        </w:tc>
        <w:tc>
          <w:tcPr/>
          <w:p>
            <w:pPr>
              <w:pStyle w:val="Compact"/>
              <w:jc w:val="left"/>
            </w:pPr>
            <w:r>
              <w:t xml:space="preserve">Replicate specific, concrete actions, not generic reminders.</w:t>
            </w:r>
          </w:p>
        </w:tc>
      </w:tr>
      <w:tr>
        <w:tc>
          <w:tcPr/>
          <w:p>
            <w:pPr>
              <w:pStyle w:val="Compact"/>
              <w:jc w:val="left"/>
            </w:pPr>
            <w:r>
              <w:t xml:space="preserve">Technique Details</w:t>
            </w:r>
          </w:p>
        </w:tc>
        <w:tc>
          <w:tcPr/>
          <w:p>
            <w:pPr>
              <w:pStyle w:val="Compact"/>
              <w:jc w:val="left"/>
            </w:pPr>
            <w:r>
              <w:t xml:space="preserve">A working session where the strong cohort's champion walks the weak cohort's champion through the exact practice, live.</w:t>
            </w:r>
          </w:p>
        </w:tc>
      </w:tr>
      <w:tr>
        <w:tc>
          <w:tcPr/>
          <w:p>
            <w:pPr>
              <w:pStyle w:val="Compact"/>
              <w:jc w:val="left"/>
            </w:pPr>
            <w:r>
              <w:t xml:space="preserve">Recommended Open-Source Tool</w:t>
            </w:r>
          </w:p>
        </w:tc>
        <w:tc>
          <w:tcPr/>
          <w:p>
            <w:pPr>
              <w:pStyle w:val="Compact"/>
              <w:jc w:val="left"/>
            </w:pPr>
            <w:r>
              <w:t xml:space="preserve">Mattermost</w:t>
            </w:r>
          </w:p>
        </w:tc>
      </w:tr>
    </w:tbl>
    <w:p>
      <w:pPr>
        <w:pStyle w:val="BodyText"/>
      </w:pPr>
      <w:r>
        <w:rPr>
          <w:iCs/>
          <w:i/>
        </w:rPr>
        <w:t xml:space="preserve">RACSI for Task 4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SUP, CM</w:t>
            </w:r>
          </w:p>
        </w:tc>
        <w:tc>
          <w:tcPr/>
          <w:p>
            <w:pPr>
              <w:pStyle w:val="Compact"/>
              <w:jc w:val="left"/>
            </w:pPr>
            <w:r>
              <w:t xml:space="preserve">CM</w:t>
            </w:r>
          </w:p>
        </w:tc>
        <w:tc>
          <w:tcPr/>
          <w:p>
            <w:pPr>
              <w:pStyle w:val="Compact"/>
              <w:jc w:val="left"/>
            </w:pPr>
            <w:r>
              <w:t xml:space="preserve">FPO</w:t>
            </w:r>
          </w:p>
        </w:tc>
        <w:tc>
          <w:tcPr/>
          <w:p>
            <w:pPr>
              <w:pStyle w:val="Compact"/>
              <w:jc w:val="left"/>
            </w:pPr>
            <w:r>
              <w:t xml:space="preserve">ITL</w:t>
            </w:r>
          </w:p>
        </w:tc>
        <w:tc>
          <w:tcPr/>
          <w:p>
            <w:pPr>
              <w:pStyle w:val="Compact"/>
              <w:jc w:val="left"/>
            </w:pPr>
            <w:r>
              <w:t xml:space="preserve">ES, PM, EU</w:t>
            </w:r>
          </w:p>
        </w:tc>
      </w:tr>
    </w:tbl>
    <w:p>
      <w:pPr>
        <w:pStyle w:val="BodyText"/>
      </w:pPr>
      <w:r>
        <w:rPr>
          <w:bCs/>
          <w:b/>
          <w:color w:val="3F827B"/>
          <w:sz w:val="24"/>
        </w:rPr>
        <w:t xml:space="preserve">Task 5 — [JOINT] Continue reporting cohort-level readiness alongside the project-level number</w:t>
      </w:r>
    </w:p>
    <w:p>
      <w:pPr>
        <w:pStyle w:val="BodyText"/>
      </w:pPr>
      <w:r>
        <w:rPr>
          <w:bCs/>
          <w:b/>
          <w:color w:val="5A8F89"/>
          <w:sz w:val="22"/>
        </w:rPr>
        <w:t xml:space="preserve">Step 1 — Report the disaggregated view ongoing</w:t>
      </w:r>
    </w:p>
    <w:p>
      <w:pPr>
        <w:pStyle w:val="BodyText"/>
      </w:pPr>
      <w:r>
        <w:t xml:space="preserve">A one-time disaggregation exercise doesn't protect the rest of the program; making it a standing dashboard tab is what keeps the divergence visible at every future checkpoint.</w:t>
      </w:r>
    </w:p>
    <w:p>
      <w:pPr>
        <w:pStyle w:val="BodyText"/>
      </w:pPr>
      <w:r>
        <w:rPr>
          <w:iCs/>
          <w:i/>
        </w:rPr>
        <w:t xml:space="preserve">SIPOC for this step.</w:t>
      </w:r>
    </w:p>
    <w:tbl>
      <w:tblPr>
        <w:tblStyle w:val="Table"/>
        <w:tblW w:type="pct" w:w="4966"/>
        <w:tblLook w:firstRow="1" w:lastRow="0" w:firstColumn="0" w:lastColumn="0" w:noHBand="0" w:noVBand="0" w:val="0020"/>
        <w:jc w:val="start"/>
      </w:tblPr>
      <w:tblGrid>
        <w:gridCol w:w="1551"/>
        <w:gridCol w:w="2782"/>
        <w:gridCol w:w="856"/>
        <w:gridCol w:w="1043"/>
        <w:gridCol w:w="1632"/>
      </w:tblGrid>
      <w:tr>
        <w:trPr>
          <w:tblHeader w:val="true"/>
        </w:trPr>
        <w:tc>
          <w:tcPr>
            <w:shd w:val="clear" w:fill="1F4B45"/>
          </w:tcPr>
          <w:p>
            <w:pPr>
              <w:pStyle w:val="Compact"/>
              <w:jc w:val="left"/>
            </w:pPr>
            <w:r>
              <w:rPr>
                <w:bCs/>
                <w:b/>
                <w:color w:val="FFFFFF"/>
              </w:rPr>
              <w:t xml:space="preserve">Suppliers</w:t>
            </w:r>
          </w:p>
        </w:tc>
        <w:tc>
          <w:tcPr>
            <w:shd w:val="clear" w:fill="1F4B45"/>
          </w:tcPr>
          <w:p>
            <w:pPr>
              <w:pStyle w:val="Compact"/>
              <w:jc w:val="left"/>
            </w:pPr>
            <w:r>
              <w:rPr>
                <w:bCs/>
                <w:b/>
                <w:color w:val="FFFFFF"/>
              </w:rPr>
              <w:t xml:space="preserve">Inputs</w:t>
            </w:r>
          </w:p>
        </w:tc>
        <w:tc>
          <w:tcPr>
            <w:shd w:val="clear" w:fill="1F4B45"/>
          </w:tcPr>
          <w:p>
            <w:pPr>
              <w:pStyle w:val="Compact"/>
              <w:jc w:val="left"/>
            </w:pPr>
            <w:r>
              <w:rPr>
                <w:bCs/>
                <w:b/>
                <w:color w:val="FFFFFF"/>
              </w:rPr>
              <w:t xml:space="preserve">Process</w:t>
            </w:r>
          </w:p>
        </w:tc>
        <w:tc>
          <w:tcPr>
            <w:shd w:val="clear" w:fill="1F4B45"/>
          </w:tcPr>
          <w:p>
            <w:pPr>
              <w:pStyle w:val="Compact"/>
              <w:jc w:val="left"/>
            </w:pPr>
            <w:r>
              <w:rPr>
                <w:bCs/>
                <w:b/>
                <w:color w:val="FFFFFF"/>
              </w:rPr>
              <w:t xml:space="preserve">Outputs</w:t>
            </w:r>
          </w:p>
        </w:tc>
        <w:tc>
          <w:tcPr>
            <w:shd w:val="clear" w:fill="1F4B45"/>
          </w:tcPr>
          <w:p>
            <w:pPr>
              <w:pStyle w:val="Compact"/>
              <w:jc w:val="left"/>
            </w:pPr>
            <w:r>
              <w:rPr>
                <w:bCs/>
                <w:b/>
                <w:color w:val="FFFFFF"/>
              </w:rPr>
              <w:t xml:space="preserve">Customers</w:t>
            </w:r>
          </w:p>
        </w:tc>
      </w:tr>
      <w:tr>
        <w:tc>
          <w:tcPr/>
          <w:p>
            <w:pPr>
              <w:pStyle w:val="Compact"/>
              <w:jc w:val="left"/>
            </w:pPr>
            <w:r>
              <w:t xml:space="preserve">Change Manager; Site/Department leads; Program Manager.</w:t>
            </w:r>
          </w:p>
        </w:tc>
        <w:tc>
          <w:tcPr/>
          <w:p>
            <w:pPr>
              <w:pStyle w:val="Compact"/>
              <w:jc w:val="left"/>
            </w:pPr>
            <w:r>
              <w:t xml:space="preserve">Stakeholder Map; cohort-level ADKAR/Bridges/Kübler-Ross scores; site/department readiness benchmarks.</w:t>
            </w:r>
          </w:p>
        </w:tc>
        <w:tc>
          <w:tcPr/>
          <w:p>
            <w:pPr>
              <w:pStyle w:val="Compact"/>
              <w:jc w:val="left"/>
            </w:pPr>
            <w:r>
              <w:t xml:space="preserve">Recurring dashboard reporting</w:t>
            </w:r>
          </w:p>
        </w:tc>
        <w:tc>
          <w:tcPr/>
          <w:p>
            <w:pPr>
              <w:pStyle w:val="Compact"/>
              <w:jc w:val="left"/>
            </w:pPr>
            <w:r>
              <w:t xml:space="preserve">Standing disaggregated dashboard tab</w:t>
            </w:r>
          </w:p>
        </w:tc>
        <w:tc>
          <w:tcPr/>
          <w:p>
            <w:pPr>
              <w:pStyle w:val="Compact"/>
              <w:jc w:val="left"/>
            </w:pPr>
            <w:r>
              <w:t xml:space="preserve">Steering Committee; Site/Department leads; Change Manager.</w:t>
            </w:r>
          </w:p>
        </w:tc>
      </w:tr>
    </w:tbl>
    <w:p>
      <w:pPr>
        <w:pStyle w:val="BodyText"/>
      </w:pPr>
      <w:r>
        <w:rPr>
          <w:iCs/>
          <w:i/>
        </w:rPr>
        <w:t xml:space="preserve">Technique detail for this step.</w:t>
      </w:r>
    </w:p>
    <w:tbl>
      <w:tblPr>
        <w:tblStyle w:val="Table"/>
        <w:tblW w:type="pct" w:w="4936"/>
        <w:tblLook w:firstRow="1" w:lastRow="0" w:firstColumn="0" w:lastColumn="0" w:noHBand="0" w:noVBand="0" w:val="0020"/>
        <w:jc w:val="start"/>
      </w:tblPr>
      <w:tblGrid>
        <w:gridCol w:w="1563"/>
        <w:gridCol w:w="6255"/>
      </w:tblGrid>
      <w:tr>
        <w:trPr>
          <w:tblHeader w:val="true"/>
        </w:trPr>
        <w:tc>
          <w:tcPr>
            <w:shd w:val="clear" w:fill="1F4B45"/>
          </w:tcPr>
          <w:p>
            <w:pPr>
              <w:pStyle w:val="Compact"/>
              <w:jc w:val="left"/>
            </w:pPr>
            <w:r>
              <w:rPr>
                <w:bCs/>
                <w:b/>
                <w:color w:val="FFFFFF"/>
              </w:rPr>
              <w:t xml:space="preserve">Element</w:t>
            </w:r>
          </w:p>
        </w:tc>
        <w:tc>
          <w:tcPr>
            <w:shd w:val="clear" w:fill="1F4B45"/>
          </w:tcPr>
          <w:p>
            <w:pPr>
              <w:pStyle w:val="Compact"/>
              <w:jc w:val="left"/>
            </w:pPr>
            <w:r>
              <w:rPr>
                <w:bCs/>
                <w:b/>
                <w:color w:val="FFFFFF"/>
              </w:rPr>
              <w:t xml:space="preserve">Detail</w:t>
            </w:r>
          </w:p>
        </w:tc>
      </w:tr>
      <w:tr>
        <w:tc>
          <w:tcPr/>
          <w:p>
            <w:pPr>
              <w:pStyle w:val="Compact"/>
              <w:jc w:val="left"/>
            </w:pPr>
            <w:r>
              <w:t xml:space="preserve">Technique Name</w:t>
            </w:r>
          </w:p>
        </w:tc>
        <w:tc>
          <w:tcPr/>
          <w:p>
            <w:pPr>
              <w:pStyle w:val="Compact"/>
              <w:jc w:val="left"/>
            </w:pPr>
            <w:r>
              <w:t xml:space="preserve">Recurring dashboard reporting</w:t>
            </w:r>
          </w:p>
        </w:tc>
      </w:tr>
      <w:tr>
        <w:tc>
          <w:tcPr/>
          <w:p>
            <w:pPr>
              <w:pStyle w:val="Compact"/>
              <w:jc w:val="left"/>
            </w:pPr>
            <w:r>
              <w:t xml:space="preserve">Technique Goal</w:t>
            </w:r>
          </w:p>
        </w:tc>
        <w:tc>
          <w:tcPr/>
          <w:p>
            <w:pPr>
              <w:pStyle w:val="Compact"/>
              <w:jc w:val="left"/>
            </w:pPr>
            <w:r>
              <w:t xml:space="preserve">Keep the disaggregated view visible at every go/no-go.</w:t>
            </w:r>
          </w:p>
        </w:tc>
      </w:tr>
      <w:tr>
        <w:tc>
          <w:tcPr/>
          <w:p>
            <w:pPr>
              <w:pStyle w:val="Compact"/>
              <w:jc w:val="left"/>
            </w:pPr>
            <w:r>
              <w:t xml:space="preserve">Technique Details</w:t>
            </w:r>
          </w:p>
        </w:tc>
        <w:tc>
          <w:tcPr/>
          <w:p>
            <w:pPr>
              <w:pStyle w:val="Compact"/>
              <w:jc w:val="left"/>
            </w:pPr>
            <w:r>
              <w:t xml:space="preserve">Add the disaggregated cohort view as a standing tab on the Steering Committee dashboard for the remainder of the program.</w:t>
            </w:r>
          </w:p>
        </w:tc>
      </w:tr>
      <w:tr>
        <w:tc>
          <w:tcPr/>
          <w:p>
            <w:pPr>
              <w:pStyle w:val="Compact"/>
              <w:jc w:val="left"/>
            </w:pPr>
            <w:r>
              <w:t xml:space="preserve">Recommended Open-Source Tool</w:t>
            </w:r>
          </w:p>
        </w:tc>
        <w:tc>
          <w:tcPr/>
          <w:p>
            <w:pPr>
              <w:pStyle w:val="Compact"/>
              <w:jc w:val="left"/>
            </w:pPr>
            <w:r>
              <w:t xml:space="preserve">Apache Superset</w:t>
            </w:r>
          </w:p>
        </w:tc>
      </w:tr>
    </w:tbl>
    <w:p>
      <w:pPr>
        <w:pStyle w:val="BodyText"/>
      </w:pPr>
      <w:r>
        <w:rPr>
          <w:iCs/>
          <w:i/>
        </w:rPr>
        <w:t xml:space="preserve">RACSI for Task 5 — multiple roles may share Responsible; exactly one role is Accountable.</w:t>
      </w:r>
    </w:p>
    <w:tbl>
      <w:tblPr>
        <w:tblStyle w:val="Table"/>
        <w:tblW w:type="pct" w:w="4928"/>
        <w:tblLook w:firstRow="1" w:lastRow="0" w:firstColumn="0" w:lastColumn="0" w:noHBand="0" w:noVBand="0" w:val="0020"/>
        <w:jc w:val="start"/>
      </w:tblPr>
      <w:tblGrid>
        <w:gridCol w:w="2393"/>
        <w:gridCol w:w="2165"/>
        <w:gridCol w:w="1139"/>
        <w:gridCol w:w="1025"/>
        <w:gridCol w:w="1082"/>
      </w:tblGrid>
      <w:tr>
        <w:trPr>
          <w:tblHeader w:val="true"/>
        </w:trPr>
        <w:tc>
          <w:tcPr>
            <w:shd w:val="clear" w:fill="1F4B45"/>
          </w:tcPr>
          <w:p>
            <w:pPr>
              <w:pStyle w:val="Compact"/>
              <w:jc w:val="left"/>
            </w:pPr>
            <w:r>
              <w:rPr>
                <w:bCs/>
                <w:b/>
                <w:color w:val="FFFFFF"/>
              </w:rPr>
              <w:t xml:space="preserve">R (Responsible — may be multiple)</w:t>
            </w:r>
          </w:p>
        </w:tc>
        <w:tc>
          <w:tcPr>
            <w:shd w:val="clear" w:fill="1F4B45"/>
          </w:tcPr>
          <w:p>
            <w:pPr>
              <w:pStyle w:val="Compact"/>
              <w:jc w:val="left"/>
            </w:pPr>
            <w:r>
              <w:rPr>
                <w:bCs/>
                <w:b/>
                <w:color w:val="FFFFFF"/>
              </w:rPr>
              <w:t xml:space="preserve">A (Accountable — exactly one)</w:t>
            </w:r>
          </w:p>
        </w:tc>
        <w:tc>
          <w:tcPr>
            <w:shd w:val="clear" w:fill="1F4B45"/>
          </w:tcPr>
          <w:p>
            <w:pPr>
              <w:pStyle w:val="Compact"/>
              <w:jc w:val="left"/>
            </w:pPr>
            <w:r>
              <w:rPr>
                <w:bCs/>
                <w:b/>
                <w:color w:val="FFFFFF"/>
              </w:rPr>
              <w:t xml:space="preserve">C (Consulted)</w:t>
            </w:r>
          </w:p>
        </w:tc>
        <w:tc>
          <w:tcPr>
            <w:shd w:val="clear" w:fill="1F4B45"/>
          </w:tcPr>
          <w:p>
            <w:pPr>
              <w:pStyle w:val="Compact"/>
              <w:jc w:val="left"/>
            </w:pPr>
            <w:r>
              <w:rPr>
                <w:bCs/>
                <w:b/>
                <w:color w:val="FFFFFF"/>
              </w:rPr>
              <w:t xml:space="preserve">S (Support)</w:t>
            </w:r>
          </w:p>
        </w:tc>
        <w:tc>
          <w:tcPr>
            <w:shd w:val="clear" w:fill="1F4B45"/>
          </w:tcPr>
          <w:p>
            <w:pPr>
              <w:pStyle w:val="Compact"/>
              <w:jc w:val="left"/>
            </w:pPr>
            <w:r>
              <w:rPr>
                <w:bCs/>
                <w:b/>
                <w:color w:val="FFFFFF"/>
              </w:rPr>
              <w:t xml:space="preserve">I (Informed)</w:t>
            </w:r>
          </w:p>
        </w:tc>
      </w:tr>
      <w:tr>
        <w:tc>
          <w:tcPr/>
          <w:p>
            <w:pPr>
              <w:pStyle w:val="Compact"/>
              <w:jc w:val="left"/>
            </w:pPr>
            <w:r>
              <w:t xml:space="preserve">CM</w:t>
            </w:r>
          </w:p>
        </w:tc>
        <w:tc>
          <w:tcPr/>
          <w:p>
            <w:pPr>
              <w:pStyle w:val="Compact"/>
              <w:jc w:val="left"/>
            </w:pPr>
            <w:r>
              <w:t xml:space="preserve">CM</w:t>
            </w:r>
          </w:p>
        </w:tc>
        <w:tc>
          <w:tcPr/>
          <w:p>
            <w:pPr>
              <w:pStyle w:val="Compact"/>
              <w:jc w:val="left"/>
            </w:pPr>
            <w:r>
              <w:t xml:space="preserve">PM</w:t>
            </w:r>
          </w:p>
        </w:tc>
        <w:tc>
          <w:tcPr/>
          <w:p>
            <w:pPr>
              <w:pStyle w:val="Compact"/>
              <w:jc w:val="left"/>
            </w:pPr>
            <w:r>
              <w:t xml:space="preserve">ITL</w:t>
            </w:r>
          </w:p>
        </w:tc>
        <w:tc>
          <w:tcPr/>
          <w:p>
            <w:pPr>
              <w:pStyle w:val="Compact"/>
              <w:jc w:val="left"/>
            </w:pPr>
            <w:r>
              <w:t xml:space="preserve">ES, FPO, SUP, EU</w:t>
            </w:r>
          </w:p>
        </w:tc>
      </w:tr>
    </w:tbl>
    <w:p>
      <w:pPr>
        <w:pStyle w:val="BodyText"/>
      </w:pPr>
      <w:r>
        <w:rPr>
          <w:bCs/>
          <w:b/>
          <w:color w:val="1F4B45"/>
          <w:sz w:val="34"/>
        </w:rPr>
        <w:t xml:space="preserve">10. Governance &amp; Reporting Cadence</w:t>
      </w:r>
    </w:p>
    <w:tbl>
      <w:tblPr>
        <w:tblStyle w:val="Table"/>
        <w:tblW w:type="pct" w:w="4951"/>
        <w:tblLook w:firstRow="1" w:lastRow="0" w:firstColumn="0" w:lastColumn="0" w:noHBand="0" w:noVBand="0" w:val="0020"/>
        <w:jc w:val="start"/>
      </w:tblPr>
      <w:tblGrid>
        <w:gridCol w:w="1131"/>
        <w:gridCol w:w="1287"/>
        <w:gridCol w:w="1404"/>
        <w:gridCol w:w="4018"/>
      </w:tblGrid>
      <w:tr>
        <w:trPr>
          <w:tblHeader w:val="true"/>
        </w:trPr>
        <w:tc>
          <w:tcPr>
            <w:shd w:val="clear" w:fill="1F4B45"/>
          </w:tcPr>
          <w:p>
            <w:pPr>
              <w:pStyle w:val="Compact"/>
              <w:jc w:val="left"/>
            </w:pPr>
            <w:r>
              <w:rPr>
                <w:bCs/>
                <w:b/>
                <w:color w:val="FFFFFF"/>
              </w:rPr>
              <w:t xml:space="preserve">Forum</w:t>
            </w:r>
          </w:p>
        </w:tc>
        <w:tc>
          <w:tcPr>
            <w:shd w:val="clear" w:fill="1F4B45"/>
          </w:tcPr>
          <w:p>
            <w:pPr>
              <w:pStyle w:val="Compact"/>
              <w:jc w:val="left"/>
            </w:pPr>
            <w:r>
              <w:rPr>
                <w:bCs/>
                <w:b/>
                <w:color w:val="FFFFFF"/>
              </w:rPr>
              <w:t xml:space="preserve">Frequency</w:t>
            </w:r>
          </w:p>
        </w:tc>
        <w:tc>
          <w:tcPr>
            <w:shd w:val="clear" w:fill="1F4B45"/>
          </w:tcPr>
          <w:p>
            <w:pPr>
              <w:pStyle w:val="Compact"/>
              <w:jc w:val="left"/>
            </w:pPr>
            <w:r>
              <w:rPr>
                <w:bCs/>
                <w:b/>
                <w:color w:val="FFFFFF"/>
              </w:rPr>
              <w:t xml:space="preserve">Attendees</w:t>
            </w:r>
          </w:p>
        </w:tc>
        <w:tc>
          <w:tcPr>
            <w:shd w:val="clear" w:fill="1F4B45"/>
          </w:tcPr>
          <w:p>
            <w:pPr>
              <w:pStyle w:val="Compact"/>
              <w:jc w:val="left"/>
            </w:pPr>
            <w:r>
              <w:rPr>
                <w:bCs/>
                <w:b/>
                <w:color w:val="FFFFFF"/>
              </w:rPr>
              <w:t xml:space="preserve">Purpose</w:t>
            </w:r>
          </w:p>
        </w:tc>
      </w:tr>
      <w:tr>
        <w:tc>
          <w:tcPr/>
          <w:p>
            <w:pPr>
              <w:pStyle w:val="Compact"/>
              <w:jc w:val="left"/>
            </w:pPr>
            <w:r>
              <w:t xml:space="preserve">CM Standup</w:t>
            </w:r>
          </w:p>
        </w:tc>
        <w:tc>
          <w:tcPr/>
          <w:p>
            <w:pPr>
              <w:pStyle w:val="Compact"/>
              <w:jc w:val="left"/>
            </w:pPr>
            <w:r>
              <w:t xml:space="preserve">Weekly</w:t>
            </w:r>
          </w:p>
        </w:tc>
        <w:tc>
          <w:tcPr/>
          <w:p>
            <w:pPr>
              <w:pStyle w:val="Compact"/>
              <w:jc w:val="left"/>
            </w:pPr>
            <w:r>
              <w:t xml:space="preserve">CM, training lead, champion leads</w:t>
            </w:r>
          </w:p>
        </w:tc>
        <w:tc>
          <w:tcPr/>
          <w:p>
            <w:pPr>
              <w:pStyle w:val="Compact"/>
              <w:jc w:val="left"/>
            </w:pPr>
            <w:r>
              <w:t xml:space="preserve">Review barrier-reason notes, champion feedback, and the weekly dashboard (Table 7.6).</w:t>
            </w:r>
          </w:p>
        </w:tc>
      </w:tr>
      <w:tr>
        <w:tc>
          <w:tcPr/>
          <w:p>
            <w:pPr>
              <w:pStyle w:val="Compact"/>
              <w:jc w:val="left"/>
            </w:pPr>
            <w:r>
              <w:t xml:space="preserve">Champion Network Check-in</w:t>
            </w:r>
          </w:p>
        </w:tc>
        <w:tc>
          <w:tcPr/>
          <w:p>
            <w:pPr>
              <w:pStyle w:val="Compact"/>
              <w:jc w:val="left"/>
            </w:pPr>
            <w:r>
              <w:t xml:space="preserve">Bi-weekly</w:t>
            </w:r>
          </w:p>
        </w:tc>
        <w:tc>
          <w:tcPr/>
          <w:p>
            <w:pPr>
              <w:pStyle w:val="Compact"/>
              <w:jc w:val="left"/>
            </w:pPr>
            <w:r>
              <w:t xml:space="preserve">CM, champions</w:t>
            </w:r>
          </w:p>
        </w:tc>
        <w:tc>
          <w:tcPr/>
          <w:p>
            <w:pPr>
              <w:pStyle w:val="Compact"/>
              <w:jc w:val="left"/>
            </w:pPr>
            <w:r>
              <w:t xml:space="preserve">Surface early Desire and sentiment signals before they show up in formal pulses.</w:t>
            </w:r>
          </w:p>
        </w:tc>
      </w:tr>
      <w:tr>
        <w:tc>
          <w:tcPr/>
          <w:p>
            <w:pPr>
              <w:pStyle w:val="Compact"/>
              <w:jc w:val="left"/>
            </w:pPr>
            <w:r>
              <w:t xml:space="preserve">Steering Committee Readout</w:t>
            </w:r>
          </w:p>
        </w:tc>
        <w:tc>
          <w:tcPr/>
          <w:p>
            <w:pPr>
              <w:pStyle w:val="Compact"/>
              <w:jc w:val="left"/>
            </w:pPr>
            <w:r>
              <w:t xml:space="preserve">Monthly</w:t>
            </w:r>
          </w:p>
        </w:tc>
        <w:tc>
          <w:tcPr/>
          <w:p>
            <w:pPr>
              <w:pStyle w:val="Compact"/>
              <w:jc w:val="left"/>
            </w:pPr>
            <w:r>
              <w:t xml:space="preserve">ES, PM, CM, FPOs</w:t>
            </w:r>
          </w:p>
        </w:tc>
        <w:tc>
          <w:tcPr/>
          <w:p>
            <w:pPr>
              <w:pStyle w:val="Compact"/>
              <w:jc w:val="left"/>
            </w:pPr>
            <w:r>
              <w:t xml:space="preserve">Review the Composite Readiness Index trend, Lewin phase justification, and open risk register items.</w:t>
            </w:r>
          </w:p>
        </w:tc>
      </w:tr>
      <w:tr>
        <w:tc>
          <w:tcPr/>
          <w:p>
            <w:pPr>
              <w:pStyle w:val="Compact"/>
              <w:jc w:val="left"/>
            </w:pPr>
            <w:r>
              <w:t xml:space="preserve">Phase Gate Review</w:t>
            </w:r>
          </w:p>
        </w:tc>
        <w:tc>
          <w:tcPr/>
          <w:p>
            <w:pPr>
              <w:pStyle w:val="Compact"/>
              <w:jc w:val="left"/>
            </w:pPr>
            <w:r>
              <w:t xml:space="preserve">End of each phase (Section 5)</w:t>
            </w:r>
          </w:p>
        </w:tc>
        <w:tc>
          <w:tcPr/>
          <w:p>
            <w:pPr>
              <w:pStyle w:val="Compact"/>
              <w:jc w:val="left"/>
            </w:pPr>
            <w:r>
              <w:t xml:space="preserve">ES, PM, CM</w:t>
            </w:r>
          </w:p>
        </w:tc>
        <w:tc>
          <w:tcPr/>
          <w:p>
            <w:pPr>
              <w:pStyle w:val="Compact"/>
              <w:jc w:val="left"/>
            </w:pPr>
            <w:r>
              <w:t xml:space="preserve">Confirm the phase's framework reading against evidence before the next phase opens.</w:t>
            </w:r>
          </w:p>
        </w:tc>
      </w:tr>
      <w:tr>
        <w:tc>
          <w:tcPr/>
          <w:p>
            <w:pPr>
              <w:pStyle w:val="Compact"/>
              <w:jc w:val="left"/>
            </w:pPr>
            <w:r>
              <w:t xml:space="preserve">Go/No-Go Decision</w:t>
            </w:r>
          </w:p>
        </w:tc>
        <w:tc>
          <w:tcPr/>
          <w:p>
            <w:pPr>
              <w:pStyle w:val="Compact"/>
              <w:jc w:val="left"/>
            </w:pPr>
            <w:r>
              <w:t xml:space="preserve">End of Phase 5, and at Cutover</w:t>
            </w:r>
          </w:p>
        </w:tc>
        <w:tc>
          <w:tcPr/>
          <w:p>
            <w:pPr>
              <w:pStyle w:val="Compact"/>
              <w:jc w:val="left"/>
            </w:pPr>
            <w:r>
              <w:t xml:space="preserve">ES, PM, CM, FPOs</w:t>
            </w:r>
          </w:p>
        </w:tc>
        <w:tc>
          <w:tcPr/>
          <w:p>
            <w:pPr>
              <w:pStyle w:val="Compact"/>
              <w:jc w:val="left"/>
            </w:pPr>
            <w:r>
              <w:t xml:space="preserve">Confirm cohort-level (not just blended) readiness against M14 benchmarking bands.</w:t>
            </w:r>
          </w:p>
        </w:tc>
      </w:tr>
    </w:tbl>
    <w:p>
      <w:pPr>
        <w:pStyle w:val="BodyText"/>
      </w:pPr>
      <w:r>
        <w:rPr>
          <w:iCs/>
          <w:i/>
        </w:rPr>
        <w:t xml:space="preserve">Table 10.1 — Standing governance cadence, cross-referenced to the weekly timeline in Section 5.</w:t>
      </w:r>
    </w:p>
    <w:p>
      <w:pPr>
        <w:pStyle w:val="BodyText"/>
      </w:pPr>
      <w:r>
        <w:rPr>
          <w:bCs/>
          <w:b/>
          <w:color w:val="1F4B45"/>
          <w:sz w:val="34"/>
        </w:rPr>
        <w:t xml:space="preserve">Appendix — Quick Reference</w:t>
      </w:r>
    </w:p>
    <w:p>
      <w:pPr>
        <w:pStyle w:val="BodyText"/>
      </w:pPr>
      <w:r>
        <w:rPr>
          <w:bCs/>
          <w:b/>
        </w:rPr>
        <w:t xml:space="preserve">A.1 Role Legend</w:t>
      </w:r>
    </w:p>
    <w:tbl>
      <w:tblPr>
        <w:tblStyle w:val="Table"/>
        <w:tblW w:type="pct" w:w="4910"/>
        <w:tblLook w:firstRow="1" w:lastRow="0" w:firstColumn="0" w:lastColumn="0" w:noHBand="0" w:noVBand="0" w:val="0020"/>
        <w:jc w:val="start"/>
      </w:tblPr>
      <w:tblGrid>
        <w:gridCol w:w="784"/>
        <w:gridCol w:w="6992"/>
      </w:tblGrid>
      <w:tr>
        <w:trPr>
          <w:tblHeader w:val="true"/>
        </w:trPr>
        <w:tc>
          <w:tcPr>
            <w:shd w:val="clear" w:fill="1F4B45"/>
          </w:tcPr>
          <w:p>
            <w:pPr>
              <w:pStyle w:val="Compact"/>
              <w:jc w:val="left"/>
            </w:pPr>
            <w:r>
              <w:rPr>
                <w:bCs/>
                <w:b/>
                <w:color w:val="FFFFFF"/>
              </w:rPr>
              <w:t xml:space="preserve">Code</w:t>
            </w:r>
          </w:p>
        </w:tc>
        <w:tc>
          <w:tcPr>
            <w:shd w:val="clear" w:fill="1F4B45"/>
          </w:tcPr>
          <w:p>
            <w:pPr>
              <w:pStyle w:val="Compact"/>
              <w:jc w:val="left"/>
            </w:pPr>
            <w:r>
              <w:rPr>
                <w:bCs/>
                <w:b/>
                <w:color w:val="FFFFFF"/>
              </w:rPr>
              <w:t xml:space="preserve">Meaning</w:t>
            </w:r>
          </w:p>
        </w:tc>
      </w:tr>
      <w:tr>
        <w:tc>
          <w:tcPr/>
          <w:p>
            <w:pPr>
              <w:pStyle w:val="Compact"/>
              <w:jc w:val="left"/>
            </w:pPr>
            <w:r>
              <w:t xml:space="preserve">ES</w:t>
            </w:r>
          </w:p>
        </w:tc>
        <w:tc>
          <w:tcPr/>
          <w:p>
            <w:pPr>
              <w:pStyle w:val="Compact"/>
              <w:jc w:val="left"/>
            </w:pPr>
            <w:r>
              <w:t xml:space="preserve">Executive Sponsor — owns the business case and clears organizational barriers.</w:t>
            </w:r>
          </w:p>
        </w:tc>
      </w:tr>
      <w:tr>
        <w:tc>
          <w:tcPr/>
          <w:p>
            <w:pPr>
              <w:pStyle w:val="Compact"/>
              <w:jc w:val="left"/>
            </w:pPr>
            <w:r>
              <w:t xml:space="preserve">CM</w:t>
            </w:r>
          </w:p>
        </w:tc>
        <w:tc>
          <w:tcPr/>
          <w:p>
            <w:pPr>
              <w:pStyle w:val="Compact"/>
              <w:jc w:val="left"/>
            </w:pPr>
            <w:r>
              <w:t xml:space="preserve">Change Manager — owns the journi project, the four framework readings, and the adoption plan.</w:t>
            </w:r>
          </w:p>
        </w:tc>
      </w:tr>
      <w:tr>
        <w:tc>
          <w:tcPr/>
          <w:p>
            <w:pPr>
              <w:pStyle w:val="Compact"/>
              <w:jc w:val="left"/>
            </w:pPr>
            <w:r>
              <w:t xml:space="preserve">PM</w:t>
            </w:r>
          </w:p>
        </w:tc>
        <w:tc>
          <w:tcPr/>
          <w:p>
            <w:pPr>
              <w:pStyle w:val="Compact"/>
              <w:jc w:val="left"/>
            </w:pPr>
            <w:r>
              <w:t xml:space="preserve">Program / Project Manager — owns scope, schedule, budget and delivery milestones.</w:t>
            </w:r>
          </w:p>
        </w:tc>
      </w:tr>
      <w:tr>
        <w:tc>
          <w:tcPr/>
          <w:p>
            <w:pPr>
              <w:pStyle w:val="Compact"/>
              <w:jc w:val="left"/>
            </w:pPr>
            <w:r>
              <w:t xml:space="preserve">FPO</w:t>
            </w:r>
          </w:p>
        </w:tc>
        <w:tc>
          <w:tcPr/>
          <w:p>
            <w:pPr>
              <w:pStyle w:val="Compact"/>
              <w:jc w:val="left"/>
            </w:pPr>
            <w:r>
              <w:t xml:space="preserve">Functional Process Owner — the business SME who owns the future-state process.</w:t>
            </w:r>
          </w:p>
        </w:tc>
      </w:tr>
      <w:tr>
        <w:tc>
          <w:tcPr/>
          <w:p>
            <w:pPr>
              <w:pStyle w:val="Compact"/>
              <w:jc w:val="left"/>
            </w:pPr>
            <w:r>
              <w:t xml:space="preserve">ITL</w:t>
            </w:r>
          </w:p>
        </w:tc>
        <w:tc>
          <w:tcPr/>
          <w:p>
            <w:pPr>
              <w:pStyle w:val="Compact"/>
              <w:jc w:val="left"/>
            </w:pPr>
            <w:r>
              <w:t xml:space="preserve">IT / Technical Lead — owns configuration, data, integration and technical cutover.</w:t>
            </w:r>
          </w:p>
        </w:tc>
      </w:tr>
      <w:tr>
        <w:tc>
          <w:tcPr/>
          <w:p>
            <w:pPr>
              <w:pStyle w:val="Compact"/>
              <w:jc w:val="left"/>
            </w:pPr>
            <w:r>
              <w:t xml:space="preserve">SUP</w:t>
            </w:r>
          </w:p>
        </w:tc>
        <w:tc>
          <w:tcPr/>
          <w:p>
            <w:pPr>
              <w:pStyle w:val="Compact"/>
              <w:jc w:val="left"/>
            </w:pPr>
            <w:r>
              <w:t xml:space="preserve">Frontline Supervisor / People Manager — coaches the cohort day to day.</w:t>
            </w:r>
          </w:p>
        </w:tc>
      </w:tr>
      <w:tr>
        <w:tc>
          <w:tcPr/>
          <w:p>
            <w:pPr>
              <w:pStyle w:val="Compact"/>
              <w:jc w:val="left"/>
            </w:pPr>
            <w:r>
              <w:t xml:space="preserve">EU</w:t>
            </w:r>
          </w:p>
        </w:tc>
        <w:tc>
          <w:tcPr/>
          <w:p>
            <w:pPr>
              <w:pStyle w:val="Compact"/>
              <w:jc w:val="left"/>
            </w:pPr>
            <w:r>
              <w:t xml:space="preserve">End User / Impacted Employee cohort — performs the process.</w:t>
            </w:r>
          </w:p>
        </w:tc>
      </w:tr>
    </w:tbl>
    <w:p>
      <w:pPr>
        <w:pStyle w:val="BodyText"/>
      </w:pPr>
      <w:r>
        <w:rPr>
          <w:bCs/>
          <w:b/>
        </w:rPr>
        <w:t xml:space="preserve">A.2 RACSI Legend</w:t>
      </w:r>
    </w:p>
    <w:tbl>
      <w:tblPr>
        <w:tblStyle w:val="Table"/>
        <w:tblW w:type="pct" w:w="4903"/>
        <w:tblLook w:firstRow="1" w:lastRow="0" w:firstColumn="0" w:lastColumn="0" w:noHBand="0" w:noVBand="0" w:val="0020"/>
        <w:jc w:val="start"/>
      </w:tblPr>
      <w:tblGrid>
        <w:gridCol w:w="845"/>
        <w:gridCol w:w="6920"/>
      </w:tblGrid>
      <w:tr>
        <w:trPr>
          <w:tblHeader w:val="true"/>
        </w:trPr>
        <w:tc>
          <w:tcPr>
            <w:shd w:val="clear" w:fill="1F4B45"/>
          </w:tcPr>
          <w:p>
            <w:pPr>
              <w:pStyle w:val="Compact"/>
              <w:jc w:val="left"/>
            </w:pPr>
            <w:r>
              <w:rPr>
                <w:bCs/>
                <w:b/>
                <w:color w:val="FFFFFF"/>
              </w:rPr>
              <w:t xml:space="preserve">Code</w:t>
            </w:r>
          </w:p>
        </w:tc>
        <w:tc>
          <w:tcPr>
            <w:shd w:val="clear" w:fill="1F4B45"/>
          </w:tcPr>
          <w:p>
            <w:pPr>
              <w:pStyle w:val="Compact"/>
              <w:jc w:val="left"/>
            </w:pPr>
            <w:r>
              <w:rPr>
                <w:bCs/>
                <w:b/>
                <w:color w:val="FFFFFF"/>
              </w:rPr>
              <w:t xml:space="preserve">Meaning</w:t>
            </w:r>
          </w:p>
        </w:tc>
      </w:tr>
      <w:tr>
        <w:tc>
          <w:tcPr/>
          <w:p>
            <w:pPr>
              <w:pStyle w:val="Compact"/>
              <w:jc w:val="left"/>
            </w:pPr>
            <w:r>
              <w:t xml:space="preserve">R</w:t>
            </w:r>
          </w:p>
        </w:tc>
        <w:tc>
          <w:tcPr/>
          <w:p>
            <w:pPr>
              <w:pStyle w:val="Compact"/>
              <w:jc w:val="left"/>
            </w:pPr>
            <w:r>
              <w:t xml:space="preserve">Responsible — does the work. More than one role may be Responsible for the same Task.</w:t>
            </w:r>
          </w:p>
        </w:tc>
      </w:tr>
      <w:tr>
        <w:tc>
          <w:tcPr/>
          <w:p>
            <w:pPr>
              <w:pStyle w:val="Compact"/>
              <w:jc w:val="left"/>
            </w:pPr>
            <w:r>
              <w:t xml:space="preserve">A</w:t>
            </w:r>
          </w:p>
        </w:tc>
        <w:tc>
          <w:tcPr/>
          <w:p>
            <w:pPr>
              <w:pStyle w:val="Compact"/>
              <w:jc w:val="left"/>
            </w:pPr>
            <w:r>
              <w:t xml:space="preserve">Accountable — owns the outcome; exactly one role per Task.</w:t>
            </w:r>
          </w:p>
        </w:tc>
      </w:tr>
      <w:tr>
        <w:tc>
          <w:tcPr/>
          <w:p>
            <w:pPr>
              <w:pStyle w:val="Compact"/>
              <w:jc w:val="left"/>
            </w:pPr>
            <w:r>
              <w:t xml:space="preserve">C</w:t>
            </w:r>
          </w:p>
        </w:tc>
        <w:tc>
          <w:tcPr/>
          <w:p>
            <w:pPr>
              <w:pStyle w:val="Compact"/>
              <w:jc w:val="left"/>
            </w:pPr>
            <w:r>
              <w:t xml:space="preserve">Consulted — two-way input sought before/during the Task.</w:t>
            </w:r>
          </w:p>
        </w:tc>
      </w:tr>
      <w:tr>
        <w:tc>
          <w:tcPr/>
          <w:p>
            <w:pPr>
              <w:pStyle w:val="Compact"/>
              <w:jc w:val="left"/>
            </w:pPr>
            <w:r>
              <w:t xml:space="preserve">S</w:t>
            </w:r>
          </w:p>
        </w:tc>
        <w:tc>
          <w:tcPr/>
          <w:p>
            <w:pPr>
              <w:pStyle w:val="Compact"/>
              <w:jc w:val="left"/>
            </w:pPr>
            <w:r>
              <w:t xml:space="preserve">Support — provides resources or assistance without owning the Task.</w:t>
            </w:r>
          </w:p>
        </w:tc>
      </w:tr>
      <w:tr>
        <w:tc>
          <w:tcPr/>
          <w:p>
            <w:pPr>
              <w:pStyle w:val="Compact"/>
              <w:jc w:val="left"/>
            </w:pPr>
            <w:r>
              <w:t xml:space="preserve">I</w:t>
            </w:r>
          </w:p>
        </w:tc>
        <w:tc>
          <w:tcPr/>
          <w:p>
            <w:pPr>
              <w:pStyle w:val="Compact"/>
              <w:jc w:val="left"/>
            </w:pPr>
            <w:r>
              <w:t xml:space="preserve">Informed — kept up to date, one-way.</w:t>
            </w:r>
          </w:p>
        </w:tc>
      </w:tr>
    </w:tbl>
    <w:p>
      <w:pPr>
        <w:pStyle w:val="BodyText"/>
      </w:pPr>
      <w:r>
        <w:rPr>
          <w:bCs/>
          <w:b/>
        </w:rPr>
        <w:t xml:space="preserve">A.3 Project / Change Tag Legend</w:t>
      </w:r>
    </w:p>
    <w:tbl>
      <w:tblPr>
        <w:tblStyle w:val="Table"/>
        <w:tblW w:type="pct" w:w="4919"/>
        <w:tblLook w:firstRow="1" w:lastRow="0" w:firstColumn="0" w:lastColumn="0" w:noHBand="0" w:noVBand="0" w:val="0020"/>
        <w:jc w:val="start"/>
      </w:tblPr>
      <w:tblGrid>
        <w:gridCol w:w="901"/>
        <w:gridCol w:w="6889"/>
      </w:tblGrid>
      <w:tr>
        <w:trPr>
          <w:tblHeader w:val="true"/>
        </w:trPr>
        <w:tc>
          <w:tcPr>
            <w:shd w:val="clear" w:fill="1F4B45"/>
          </w:tcPr>
          <w:p>
            <w:pPr>
              <w:pStyle w:val="Compact"/>
              <w:jc w:val="left"/>
            </w:pPr>
            <w:r>
              <w:rPr>
                <w:bCs/>
                <w:b/>
                <w:color w:val="FFFFFF"/>
              </w:rPr>
              <w:t xml:space="preserve">Tag</w:t>
            </w:r>
          </w:p>
        </w:tc>
        <w:tc>
          <w:tcPr>
            <w:shd w:val="clear" w:fill="1F4B45"/>
          </w:tcPr>
          <w:p>
            <w:pPr>
              <w:pStyle w:val="Compact"/>
              <w:jc w:val="left"/>
            </w:pPr>
            <w:r>
              <w:rPr>
                <w:bCs/>
                <w:b/>
                <w:color w:val="FFFFFF"/>
              </w:rPr>
              <w:t xml:space="preserve">Meaning</w:t>
            </w:r>
          </w:p>
        </w:tc>
      </w:tr>
      <w:tr>
        <w:tc>
          <w:tcPr/>
          <w:p>
            <w:pPr>
              <w:pStyle w:val="Compact"/>
              <w:jc w:val="left"/>
            </w:pPr>
            <w:r>
              <w:t xml:space="preserve">[PROJECT]</w:t>
            </w:r>
          </w:p>
        </w:tc>
        <w:tc>
          <w:tcPr/>
          <w:p>
            <w:pPr>
              <w:pStyle w:val="Compact"/>
              <w:jc w:val="left"/>
            </w:pPr>
            <w:r>
              <w:t xml:space="preserve">Delivery-owned: scope, schedule, budget, configuration, data, technical cutover.</w:t>
            </w:r>
          </w:p>
        </w:tc>
      </w:tr>
      <w:tr>
        <w:tc>
          <w:tcPr/>
          <w:p>
            <w:pPr>
              <w:pStyle w:val="Compact"/>
              <w:jc w:val="left"/>
            </w:pPr>
            <w:r>
              <w:t xml:space="preserve">[CHANGE]</w:t>
            </w:r>
          </w:p>
        </w:tc>
        <w:tc>
          <w:tcPr/>
          <w:p>
            <w:pPr>
              <w:pStyle w:val="Compact"/>
              <w:jc w:val="left"/>
            </w:pPr>
            <w:r>
              <w:t xml:space="preserve">Adoption-owned: awareness, desire, capability coaching, sentiment, identity/transition work.</w:t>
            </w:r>
          </w:p>
        </w:tc>
      </w:tr>
      <w:tr>
        <w:tc>
          <w:tcPr/>
          <w:p>
            <w:pPr>
              <w:pStyle w:val="Compact"/>
              <w:jc w:val="left"/>
            </w:pPr>
            <w:r>
              <w:t xml:space="preserve">[JOINT]</w:t>
            </w:r>
          </w:p>
        </w:tc>
        <w:tc>
          <w:tcPr/>
          <w:p>
            <w:pPr>
              <w:pStyle w:val="Compact"/>
              <w:jc w:val="left"/>
            </w:pPr>
            <w:r>
              <w:t xml:space="preserve">Cannot be meaningfully split — a delivery decision and an adoption decision are fused into one action.</w:t>
            </w:r>
          </w:p>
        </w:tc>
      </w:tr>
    </w:tbl>
    <w:p>
      <w:pPr>
        <w:pStyle w:val="BodyText"/>
      </w:pPr>
      <w:r>
        <w:rPr>
          <w:bCs/>
          <w:b/>
        </w:rPr>
        <w:t xml:space="preserve">A.4 Blank Weekly Tracker Template</w:t>
      </w:r>
    </w:p>
    <w:p>
      <w:pPr>
        <w:pStyle w:val="BodyText"/>
      </w:pPr>
      <w:r>
        <w:t xml:space="preserve">Duplicate this table for each week of the live program.</w:t>
      </w:r>
    </w:p>
    <w:tbl>
      <w:tblPr>
        <w:tblStyle w:val="Table"/>
        <w:tblW w:type="auto" w:w="0"/>
        <w:tblLook w:firstRow="0" w:lastRow="0" w:firstColumn="0" w:lastColumn="0" w:noHBand="0" w:noVBand="0" w:val="0000"/>
        <w:jc w:val="start"/>
      </w:tblPr>
      <w:tblGrid>
        <w:gridCol w:w="7920"/>
      </w:tblGrid>
      <w:tr>
        <w:tc>
          <w:tcPr>
            <w:shd w:val="clear" w:fill="1F4B45"/>
          </w:tcPr>
          <w:p>
            <w:pPr>
              <w:pStyle w:val="Compact"/>
              <w:jc w:val="left"/>
            </w:pPr>
            <w:r>
              <w:rPr>
                <w:bCs/>
                <w:b/>
                <w:color w:val="FFFFFF"/>
              </w:rPr>
              <w:t xml:space="preserve">Week</w:t>
            </w:r>
            <w:r>
              <w:rPr>
                <w:b/>
                <w:color w:val="FFFFFF"/>
              </w:rPr>
              <w:t xml:space="preserve"> </w:t>
            </w:r>
            <w:r>
              <w:rPr>
                <w:bCs/>
                <w:b/>
                <w:color w:val="FFFFFF"/>
              </w:rPr>
              <w:t xml:space="preserve">Phase</w:t>
            </w:r>
            <w:r>
              <w:rPr>
                <w:b/>
                <w:color w:val="FFFFFF"/>
              </w:rPr>
              <w:t xml:space="preserve"> </w:t>
            </w:r>
            <w:r>
              <w:rPr>
                <w:bCs/>
                <w:b/>
                <w:color w:val="FFFFFF"/>
              </w:rPr>
              <w:t xml:space="preserve">Key Actions Completed</w:t>
            </w:r>
            <w:r>
              <w:rPr>
                <w:b/>
                <w:color w:val="FFFFFF"/>
              </w:rPr>
              <w:t xml:space="preserve"> </w:t>
            </w:r>
            <w:r>
              <w:rPr>
                <w:bCs/>
                <w:b/>
                <w:color w:val="FFFFFF"/>
              </w:rPr>
              <w:t xml:space="preserve">Modules Updated</w:t>
            </w:r>
            <w:r>
              <w:rPr>
                <w:b/>
                <w:color w:val="FFFFFF"/>
              </w:rPr>
              <w:t xml:space="preserve"> </w:t>
            </w:r>
            <w:r>
              <w:rPr>
                <w:bCs/>
                <w:b/>
                <w:color w:val="FFFFFF"/>
              </w:rPr>
              <w:t xml:space="preserve">Signals Observed</w:t>
            </w:r>
            <w:r>
              <w:rPr>
                <w:b/>
                <w:color w:val="FFFFFF"/>
              </w:rPr>
              <w:t xml:space="preserve"> </w:t>
            </w:r>
            <w:r>
              <w:rPr>
                <w:bCs/>
                <w:b/>
                <w:color w:val="FFFFFF"/>
              </w:rPr>
              <w:t xml:space="preserve">Escalations Raised</w:t>
            </w:r>
          </w:p>
        </w:tc>
      </w:tr>
    </w:tbl>
    <w:p>
      <w:r>
        <w:pict>
          <v:rect style="width:0;height:1.5pt" o:hralign="center" o:hrstd="t" o:hr="t"/>
        </w:pict>
      </w:r>
    </w:p>
    <w:p>
      <w:pPr>
        <w:pStyle w:val="FirstParagraph"/>
      </w:pPr>
      <w:r>
        <w:rPr>
          <w:bCs/>
          <w:b/>
        </w:rPr>
        <w:t xml:space="preserve">A.5 Consolidated Open-Source Tool Reference</w:t>
      </w:r>
    </w:p>
    <w:p>
      <w:pPr>
        <w:pStyle w:val="BodyText"/>
      </w:pPr>
      <w:r>
        <w:t xml:space="preserve">Every open-source tool recommended in Sections 6 and 9, gathered in one place for procurement or IT-approval purposes. Where a proprietary equivalent is already standard in your organization, substitute it — the technique and its goal matter more than the specific tool.</w:t>
      </w:r>
    </w:p>
    <w:tbl>
      <w:tblPr>
        <w:tblStyle w:val="Table"/>
        <w:tblW w:type="pct" w:w="4922"/>
        <w:tblLook w:firstRow="1" w:lastRow="0" w:firstColumn="0" w:lastColumn="0" w:noHBand="0" w:noVBand="0" w:val="0020"/>
        <w:jc w:val="start"/>
      </w:tblPr>
      <w:tblGrid>
        <w:gridCol w:w="1918"/>
        <w:gridCol w:w="1918"/>
        <w:gridCol w:w="3960"/>
      </w:tblGrid>
      <w:tr>
        <w:trPr>
          <w:tblHeader w:val="true"/>
        </w:trPr>
        <w:tc>
          <w:tcPr>
            <w:shd w:val="clear" w:fill="1F4B45"/>
          </w:tcPr>
          <w:p>
            <w:pPr>
              <w:pStyle w:val="Compact"/>
              <w:jc w:val="left"/>
            </w:pPr>
            <w:r>
              <w:rPr>
                <w:bCs/>
                <w:b/>
                <w:color w:val="FFFFFF"/>
              </w:rPr>
              <w:t xml:space="preserve">Tool</w:t>
            </w:r>
          </w:p>
        </w:tc>
        <w:tc>
          <w:tcPr>
            <w:shd w:val="clear" w:fill="1F4B45"/>
          </w:tcPr>
          <w:p>
            <w:pPr>
              <w:pStyle w:val="Compact"/>
              <w:jc w:val="left"/>
            </w:pPr>
            <w:r>
              <w:rPr>
                <w:bCs/>
                <w:b/>
                <w:color w:val="FFFFFF"/>
              </w:rPr>
              <w:t xml:space="preserve">Category</w:t>
            </w:r>
          </w:p>
        </w:tc>
        <w:tc>
          <w:tcPr>
            <w:shd w:val="clear" w:fill="1F4B45"/>
          </w:tcPr>
          <w:p>
            <w:pPr>
              <w:pStyle w:val="Compact"/>
              <w:jc w:val="left"/>
            </w:pPr>
            <w:r>
              <w:rPr>
                <w:bCs/>
                <w:b/>
                <w:color w:val="FFFFFF"/>
              </w:rPr>
              <w:t xml:space="preserve">Typical Use in This Guide</w:t>
            </w:r>
          </w:p>
        </w:tc>
      </w:tr>
      <w:tr>
        <w:tc>
          <w:tcPr/>
          <w:p>
            <w:pPr>
              <w:pStyle w:val="Compact"/>
              <w:jc w:val="left"/>
            </w:pPr>
            <w:r>
              <w:t xml:space="preserve">BPMN.io</w:t>
            </w:r>
          </w:p>
        </w:tc>
        <w:tc>
          <w:tcPr/>
          <w:p>
            <w:pPr>
              <w:pStyle w:val="Compact"/>
              <w:jc w:val="left"/>
            </w:pPr>
            <w:r>
              <w:t xml:space="preserve">Process mapping</w:t>
            </w:r>
          </w:p>
        </w:tc>
        <w:tc>
          <w:tcPr/>
          <w:p>
            <w:pPr>
              <w:pStyle w:val="Compact"/>
              <w:jc w:val="left"/>
            </w:pPr>
            <w:r>
              <w:t xml:space="preserve">Current-state and future-state process diagrams.</w:t>
            </w:r>
          </w:p>
        </w:tc>
      </w:tr>
      <w:tr>
        <w:tc>
          <w:tcPr/>
          <w:p>
            <w:pPr>
              <w:pStyle w:val="Compact"/>
              <w:jc w:val="left"/>
            </w:pPr>
            <w:r>
              <w:t xml:space="preserve">Taguette</w:t>
            </w:r>
          </w:p>
        </w:tc>
        <w:tc>
          <w:tcPr/>
          <w:p>
            <w:pPr>
              <w:pStyle w:val="Compact"/>
              <w:jc w:val="left"/>
            </w:pPr>
            <w:r>
              <w:t xml:space="preserve">Qualitative coding</w:t>
            </w:r>
          </w:p>
        </w:tc>
        <w:tc>
          <w:tcPr/>
          <w:p>
            <w:pPr>
              <w:pStyle w:val="Compact"/>
              <w:jc w:val="left"/>
            </w:pPr>
            <w:r>
              <w:t xml:space="preserve">Coding interview and 1:1 transcripts for themes.</w:t>
            </w:r>
          </w:p>
        </w:tc>
      </w:tr>
      <w:tr>
        <w:tc>
          <w:tcPr/>
          <w:p>
            <w:pPr>
              <w:pStyle w:val="Compact"/>
              <w:jc w:val="left"/>
            </w:pPr>
            <w:r>
              <w:t xml:space="preserve">OpenRefine</w:t>
            </w:r>
          </w:p>
        </w:tc>
        <w:tc>
          <w:tcPr/>
          <w:p>
            <w:pPr>
              <w:pStyle w:val="Compact"/>
              <w:jc w:val="left"/>
            </w:pPr>
            <w:r>
              <w:t xml:space="preserve">Data profiling / cleansing</w:t>
            </w:r>
          </w:p>
        </w:tc>
        <w:tc>
          <w:tcPr/>
          <w:p>
            <w:pPr>
              <w:pStyle w:val="Compact"/>
              <w:jc w:val="left"/>
            </w:pPr>
            <w:r>
              <w:t xml:space="preserve">Assessing and cleaning data quality before migration.</w:t>
            </w:r>
          </w:p>
        </w:tc>
      </w:tr>
      <w:tr>
        <w:tc>
          <w:tcPr/>
          <w:p>
            <w:pPr>
              <w:pStyle w:val="Compact"/>
              <w:jc w:val="left"/>
            </w:pPr>
            <w:r>
              <w:t xml:space="preserve">LibreOffice Calc</w:t>
            </w:r>
          </w:p>
        </w:tc>
        <w:tc>
          <w:tcPr/>
          <w:p>
            <w:pPr>
              <w:pStyle w:val="Compact"/>
              <w:jc w:val="left"/>
            </w:pPr>
            <w:r>
              <w:t xml:space="preserve">Spreadsheet</w:t>
            </w:r>
          </w:p>
        </w:tc>
        <w:tc>
          <w:tcPr/>
          <w:p>
            <w:pPr>
              <w:pStyle w:val="Compact"/>
              <w:jc w:val="left"/>
            </w:pPr>
            <w:r>
              <w:t xml:space="preserve">Cost-of-inaction models, reconciliation checklists, trackers.</w:t>
            </w:r>
          </w:p>
        </w:tc>
      </w:tr>
      <w:tr>
        <w:tc>
          <w:tcPr/>
          <w:p>
            <w:pPr>
              <w:pStyle w:val="Compact"/>
              <w:jc w:val="left"/>
            </w:pPr>
            <w:r>
              <w:t xml:space="preserve">draw.io (diagrams.net)</w:t>
            </w:r>
          </w:p>
        </w:tc>
        <w:tc>
          <w:tcPr/>
          <w:p>
            <w:pPr>
              <w:pStyle w:val="Compact"/>
              <w:jc w:val="left"/>
            </w:pPr>
            <w:r>
              <w:t xml:space="preserve">Diagramming</w:t>
            </w:r>
          </w:p>
        </w:tc>
        <w:tc>
          <w:tcPr/>
          <w:p>
            <w:pPr>
              <w:pStyle w:val="Compact"/>
              <w:jc w:val="left"/>
            </w:pPr>
            <w:r>
              <w:t xml:space="preserve">Design principles, integration contracts, affinity mapping.</w:t>
            </w:r>
          </w:p>
        </w:tc>
      </w:tr>
      <w:tr>
        <w:tc>
          <w:tcPr/>
          <w:p>
            <w:pPr>
              <w:pStyle w:val="Compact"/>
              <w:jc w:val="left"/>
            </w:pPr>
            <w:r>
              <w:t xml:space="preserve">OpenProject</w:t>
            </w:r>
          </w:p>
        </w:tc>
        <w:tc>
          <w:tcPr/>
          <w:p>
            <w:pPr>
              <w:pStyle w:val="Compact"/>
              <w:jc w:val="left"/>
            </w:pPr>
            <w:r>
              <w:t xml:space="preserve">Project / work management</w:t>
            </w:r>
          </w:p>
        </w:tc>
        <w:tc>
          <w:tcPr/>
          <w:p>
            <w:pPr>
              <w:pStyle w:val="Compact"/>
              <w:jc w:val="left"/>
            </w:pPr>
            <w:r>
              <w:t xml:space="preserve">Initiative registry, backlogs, decision logs, checklists.</w:t>
            </w:r>
          </w:p>
        </w:tc>
      </w:tr>
      <w:tr>
        <w:tc>
          <w:tcPr/>
          <w:p>
            <w:pPr>
              <w:pStyle w:val="Compact"/>
              <w:jc w:val="left"/>
            </w:pPr>
            <w:r>
              <w:t xml:space="preserve">LimeSurvey</w:t>
            </w:r>
          </w:p>
        </w:tc>
        <w:tc>
          <w:tcPr/>
          <w:p>
            <w:pPr>
              <w:pStyle w:val="Compact"/>
              <w:jc w:val="left"/>
            </w:pPr>
            <w:r>
              <w:t xml:space="preserve">Survey platform</w:t>
            </w:r>
          </w:p>
        </w:tc>
        <w:tc>
          <w:tcPr/>
          <w:p>
            <w:pPr>
              <w:pStyle w:val="Compact"/>
              <w:jc w:val="left"/>
            </w:pPr>
            <w:r>
              <w:t xml:space="preserve">ADKAR, Bridges and Kübler-Ross pulse surveys.</w:t>
            </w:r>
          </w:p>
        </w:tc>
      </w:tr>
      <w:tr>
        <w:tc>
          <w:tcPr/>
          <w:p>
            <w:pPr>
              <w:pStyle w:val="Compact"/>
              <w:jc w:val="left"/>
            </w:pPr>
            <w:r>
              <w:t xml:space="preserve">spaCy</w:t>
            </w:r>
          </w:p>
        </w:tc>
        <w:tc>
          <w:tcPr/>
          <w:p>
            <w:pPr>
              <w:pStyle w:val="Compact"/>
              <w:jc w:val="left"/>
            </w:pPr>
            <w:r>
              <w:t xml:space="preserve">NLP / text analytics</w:t>
            </w:r>
          </w:p>
        </w:tc>
        <w:tc>
          <w:tcPr/>
          <w:p>
            <w:pPr>
              <w:pStyle w:val="Compact"/>
              <w:jc w:val="left"/>
            </w:pPr>
            <w:r>
              <w:t xml:space="preserve">Mining open-text pulse comments for themes.</w:t>
            </w:r>
          </w:p>
        </w:tc>
      </w:tr>
      <w:tr>
        <w:tc>
          <w:tcPr/>
          <w:p>
            <w:pPr>
              <w:pStyle w:val="Compact"/>
              <w:jc w:val="left"/>
            </w:pPr>
            <w:r>
              <w:t xml:space="preserve">GitLab</w:t>
            </w:r>
          </w:p>
        </w:tc>
        <w:tc>
          <w:tcPr/>
          <w:p>
            <w:pPr>
              <w:pStyle w:val="Compact"/>
              <w:jc w:val="left"/>
            </w:pPr>
            <w:r>
              <w:t xml:space="preserve">Version control / review</w:t>
            </w:r>
          </w:p>
        </w:tc>
        <w:tc>
          <w:tcPr/>
          <w:p>
            <w:pPr>
              <w:pStyle w:val="Compact"/>
              <w:jc w:val="left"/>
            </w:pPr>
            <w:r>
              <w:t xml:space="preserve">Configuration-as-code peer review.</w:t>
            </w:r>
          </w:p>
        </w:tc>
      </w:tr>
      <w:tr>
        <w:tc>
          <w:tcPr/>
          <w:p>
            <w:pPr>
              <w:pStyle w:val="Compact"/>
              <w:jc w:val="left"/>
            </w:pPr>
            <w:r>
              <w:t xml:space="preserve">BigBlueButton</w:t>
            </w:r>
          </w:p>
        </w:tc>
        <w:tc>
          <w:tcPr/>
          <w:p>
            <w:pPr>
              <w:pStyle w:val="Compact"/>
              <w:jc w:val="left"/>
            </w:pPr>
            <w:r>
              <w:t xml:space="preserve">Video conferencing</w:t>
            </w:r>
          </w:p>
        </w:tc>
        <w:tc>
          <w:tcPr/>
          <w:p>
            <w:pPr>
              <w:pStyle w:val="Compact"/>
              <w:jc w:val="left"/>
            </w:pPr>
            <w:r>
              <w:t xml:space="preserve">Demos, workshops, 1:1s, listening sessions, huddles.</w:t>
            </w:r>
          </w:p>
        </w:tc>
      </w:tr>
      <w:tr>
        <w:tc>
          <w:tcPr/>
          <w:p>
            <w:pPr>
              <w:pStyle w:val="Compact"/>
              <w:jc w:val="left"/>
            </w:pPr>
            <w:r>
              <w:t xml:space="preserve">Listmonk</w:t>
            </w:r>
          </w:p>
        </w:tc>
        <w:tc>
          <w:tcPr/>
          <w:p>
            <w:pPr>
              <w:pStyle w:val="Compact"/>
              <w:jc w:val="left"/>
            </w:pPr>
            <w:r>
              <w:t xml:space="preserve">Email / mailing lists</w:t>
            </w:r>
          </w:p>
        </w:tc>
        <w:tc>
          <w:tcPr/>
          <w:p>
            <w:pPr>
              <w:pStyle w:val="Compact"/>
              <w:jc w:val="left"/>
            </w:pPr>
            <w:r>
              <w:t xml:space="preserve">Phase communications and go-live announcements.</w:t>
            </w:r>
          </w:p>
        </w:tc>
      </w:tr>
      <w:tr>
        <w:tc>
          <w:tcPr/>
          <w:p>
            <w:pPr>
              <w:pStyle w:val="Compact"/>
              <w:jc w:val="left"/>
            </w:pPr>
            <w:r>
              <w:t xml:space="preserve">BookStack</w:t>
            </w:r>
          </w:p>
        </w:tc>
        <w:tc>
          <w:tcPr/>
          <w:p>
            <w:pPr>
              <w:pStyle w:val="Compact"/>
              <w:jc w:val="left"/>
            </w:pPr>
            <w:r>
              <w:t xml:space="preserve">Knowledge base / wiki</w:t>
            </w:r>
          </w:p>
        </w:tc>
        <w:tc>
          <w:tcPr/>
          <w:p>
            <w:pPr>
              <w:pStyle w:val="Compact"/>
              <w:jc w:val="left"/>
            </w:pPr>
            <w:r>
              <w:t xml:space="preserve">FAQ channels, policy documentation, handover materials.</w:t>
            </w:r>
          </w:p>
        </w:tc>
      </w:tr>
      <w:tr>
        <w:tc>
          <w:tcPr/>
          <w:p>
            <w:pPr>
              <w:pStyle w:val="Compact"/>
              <w:jc w:val="left"/>
            </w:pPr>
            <w:r>
              <w:t xml:space="preserve">Mattermost</w:t>
            </w:r>
          </w:p>
        </w:tc>
        <w:tc>
          <w:tcPr/>
          <w:p>
            <w:pPr>
              <w:pStyle w:val="Compact"/>
              <w:jc w:val="left"/>
            </w:pPr>
            <w:r>
              <w:t xml:space="preserve">Team chat</w:t>
            </w:r>
          </w:p>
        </w:tc>
        <w:tc>
          <w:tcPr/>
          <w:p>
            <w:pPr>
              <w:pStyle w:val="Compact"/>
              <w:jc w:val="left"/>
            </w:pPr>
            <w:r>
              <w:t xml:space="preserve">Champion-network coordination and practice-transfer.</w:t>
            </w:r>
          </w:p>
        </w:tc>
      </w:tr>
      <w:tr>
        <w:tc>
          <w:tcPr/>
          <w:p>
            <w:pPr>
              <w:pStyle w:val="Compact"/>
              <w:jc w:val="left"/>
            </w:pPr>
            <w:r>
              <w:t xml:space="preserve">Metabase</w:t>
            </w:r>
          </w:p>
        </w:tc>
        <w:tc>
          <w:tcPr/>
          <w:p>
            <w:pPr>
              <w:pStyle w:val="Compact"/>
              <w:jc w:val="left"/>
            </w:pPr>
            <w:r>
              <w:t xml:space="preserve">BI / dashboards</w:t>
            </w:r>
          </w:p>
        </w:tc>
        <w:tc>
          <w:tcPr/>
          <w:p>
            <w:pPr>
              <w:pStyle w:val="Compact"/>
              <w:jc w:val="left"/>
            </w:pPr>
            <w:r>
              <w:t xml:space="preserve">Trend analysis, Composite Readiness Index, Divergence alerts.</w:t>
            </w:r>
          </w:p>
        </w:tc>
      </w:tr>
      <w:tr>
        <w:tc>
          <w:tcPr/>
          <w:p>
            <w:pPr>
              <w:pStyle w:val="Compact"/>
              <w:jc w:val="left"/>
            </w:pPr>
            <w:r>
              <w:t xml:space="preserve">Apache Superset</w:t>
            </w:r>
          </w:p>
        </w:tc>
        <w:tc>
          <w:tcPr/>
          <w:p>
            <w:pPr>
              <w:pStyle w:val="Compact"/>
              <w:jc w:val="left"/>
            </w:pPr>
            <w:r>
              <w:t xml:space="preserve">BI / dashboards</w:t>
            </w:r>
          </w:p>
        </w:tc>
        <w:tc>
          <w:tcPr/>
          <w:p>
            <w:pPr>
              <w:pStyle w:val="Compact"/>
              <w:jc w:val="left"/>
            </w:pPr>
            <w:r>
              <w:t xml:space="preserve">Adoption dashboards and cohort disaggregation views.</w:t>
            </w:r>
          </w:p>
        </w:tc>
      </w:tr>
      <w:tr>
        <w:tc>
          <w:tcPr/>
          <w:p>
            <w:pPr>
              <w:pStyle w:val="Compact"/>
              <w:jc w:val="left"/>
            </w:pPr>
            <w:r>
              <w:t xml:space="preserve">Apache NiFi</w:t>
            </w:r>
          </w:p>
        </w:tc>
        <w:tc>
          <w:tcPr/>
          <w:p>
            <w:pPr>
              <w:pStyle w:val="Compact"/>
              <w:jc w:val="left"/>
            </w:pPr>
            <w:r>
              <w:t xml:space="preserve">ETL / data flow</w:t>
            </w:r>
          </w:p>
        </w:tc>
        <w:tc>
          <w:tcPr/>
          <w:p>
            <w:pPr>
              <w:pStyle w:val="Compact"/>
              <w:jc w:val="left"/>
            </w:pPr>
            <w:r>
              <w:t xml:space="preserve">Data transformation, migration runs, legacy archival.</w:t>
            </w:r>
          </w:p>
        </w:tc>
      </w:tr>
      <w:tr>
        <w:tc>
          <w:tcPr/>
          <w:p>
            <w:pPr>
              <w:pStyle w:val="Compact"/>
              <w:jc w:val="left"/>
            </w:pPr>
            <w:r>
              <w:t xml:space="preserve">Apache JMeter</w:t>
            </w:r>
          </w:p>
        </w:tc>
        <w:tc>
          <w:tcPr/>
          <w:p>
            <w:pPr>
              <w:pStyle w:val="Compact"/>
              <w:jc w:val="left"/>
            </w:pPr>
            <w:r>
              <w:t xml:space="preserve">Integration / load testing</w:t>
            </w:r>
          </w:p>
        </w:tc>
        <w:tc>
          <w:tcPr/>
          <w:p>
            <w:pPr>
              <w:pStyle w:val="Compact"/>
              <w:jc w:val="left"/>
            </w:pPr>
            <w:r>
              <w:t xml:space="preserve">Validating interface behavior between systems.</w:t>
            </w:r>
          </w:p>
        </w:tc>
      </w:tr>
      <w:tr>
        <w:tc>
          <w:tcPr/>
          <w:p>
            <w:pPr>
              <w:pStyle w:val="Compact"/>
              <w:jc w:val="left"/>
            </w:pPr>
            <w:r>
              <w:t xml:space="preserve">Rundeck</w:t>
            </w:r>
          </w:p>
        </w:tc>
        <w:tc>
          <w:tcPr/>
          <w:p>
            <w:pPr>
              <w:pStyle w:val="Compact"/>
              <w:jc w:val="left"/>
            </w:pPr>
            <w:r>
              <w:t xml:space="preserve">Runbook automation</w:t>
            </w:r>
          </w:p>
        </w:tc>
        <w:tc>
          <w:tcPr/>
          <w:p>
            <w:pPr>
              <w:pStyle w:val="Compact"/>
              <w:jc w:val="left"/>
            </w:pPr>
            <w:r>
              <w:t xml:space="preserve">Mock migration rehearsals and cutover runbook execution.</w:t>
            </w:r>
          </w:p>
        </w:tc>
      </w:tr>
      <w:tr>
        <w:tc>
          <w:tcPr/>
          <w:p>
            <w:pPr>
              <w:pStyle w:val="Compact"/>
              <w:jc w:val="left"/>
            </w:pPr>
            <w:r>
              <w:t xml:space="preserve">Kiwi TCMS</w:t>
            </w:r>
          </w:p>
        </w:tc>
        <w:tc>
          <w:tcPr/>
          <w:p>
            <w:pPr>
              <w:pStyle w:val="Compact"/>
              <w:jc w:val="left"/>
            </w:pPr>
            <w:r>
              <w:t xml:space="preserve">Test case management</w:t>
            </w:r>
          </w:p>
        </w:tc>
        <w:tc>
          <w:tcPr/>
          <w:p>
            <w:pPr>
              <w:pStyle w:val="Compact"/>
              <w:jc w:val="left"/>
            </w:pPr>
            <w:r>
              <w:t xml:space="preserve">SIT/UAT scripted execution and readiness checklists.</w:t>
            </w:r>
          </w:p>
        </w:tc>
      </w:tr>
      <w:tr>
        <w:tc>
          <w:tcPr/>
          <w:p>
            <w:pPr>
              <w:pStyle w:val="Compact"/>
              <w:jc w:val="left"/>
            </w:pPr>
            <w:r>
              <w:t xml:space="preserve">Mantis BT</w:t>
            </w:r>
          </w:p>
        </w:tc>
        <w:tc>
          <w:tcPr/>
          <w:p>
            <w:pPr>
              <w:pStyle w:val="Compact"/>
              <w:jc w:val="left"/>
            </w:pPr>
            <w:r>
              <w:t xml:space="preserve">Defect tracking</w:t>
            </w:r>
          </w:p>
        </w:tc>
        <w:tc>
          <w:tcPr/>
          <w:p>
            <w:pPr>
              <w:pStyle w:val="Compact"/>
              <w:jc w:val="left"/>
            </w:pPr>
            <w:r>
              <w:t xml:space="preserve">Logging, triaging and cross-referencing defects.</w:t>
            </w:r>
          </w:p>
        </w:tc>
      </w:tr>
      <w:tr>
        <w:tc>
          <w:tcPr/>
          <w:p>
            <w:pPr>
              <w:pStyle w:val="Compact"/>
              <w:jc w:val="left"/>
            </w:pPr>
            <w:r>
              <w:t xml:space="preserve">H5P / Moodle</w:t>
            </w:r>
          </w:p>
        </w:tc>
        <w:tc>
          <w:tcPr/>
          <w:p>
            <w:pPr>
              <w:pStyle w:val="Compact"/>
              <w:jc w:val="left"/>
            </w:pPr>
            <w:r>
              <w:t xml:space="preserve">e-learning authoring / LMS</w:t>
            </w:r>
          </w:p>
        </w:tc>
        <w:tc>
          <w:tcPr/>
          <w:p>
            <w:pPr>
              <w:pStyle w:val="Compact"/>
              <w:jc w:val="left"/>
            </w:pPr>
            <w:r>
              <w:t xml:space="preserve">Role-based training content and completion tracking.</w:t>
            </w:r>
          </w:p>
        </w:tc>
      </w:tr>
      <w:tr>
        <w:tc>
          <w:tcPr/>
          <w:p>
            <w:pPr>
              <w:pStyle w:val="Compact"/>
              <w:jc w:val="left"/>
            </w:pPr>
            <w:r>
              <w:t xml:space="preserve">Scribus</w:t>
            </w:r>
          </w:p>
        </w:tc>
        <w:tc>
          <w:tcPr/>
          <w:p>
            <w:pPr>
              <w:pStyle w:val="Compact"/>
              <w:jc w:val="left"/>
            </w:pPr>
            <w:r>
              <w:t xml:space="preserve">Desktop publishing</w:t>
            </w:r>
          </w:p>
        </w:tc>
        <w:tc>
          <w:tcPr/>
          <w:p>
            <w:pPr>
              <w:pStyle w:val="Compact"/>
              <w:jc w:val="left"/>
            </w:pPr>
            <w:r>
              <w:t xml:space="preserve">Job aids and quick-reference guides.</w:t>
            </w:r>
          </w:p>
        </w:tc>
      </w:tr>
      <w:tr>
        <w:tc>
          <w:tcPr/>
          <w:p>
            <w:pPr>
              <w:pStyle w:val="Compact"/>
              <w:jc w:val="left"/>
            </w:pPr>
            <w:r>
              <w:t xml:space="preserve">ERPNext</w:t>
            </w:r>
          </w:p>
        </w:tc>
        <w:tc>
          <w:tcPr/>
          <w:p>
            <w:pPr>
              <w:pStyle w:val="Compact"/>
              <w:jc w:val="left"/>
            </w:pPr>
            <w:r>
              <w:t xml:space="preserve">Open-source ERP</w:t>
            </w:r>
          </w:p>
        </w:tc>
        <w:tc>
          <w:tcPr/>
          <w:p>
            <w:pPr>
              <w:pStyle w:val="Compact"/>
              <w:jc w:val="left"/>
            </w:pPr>
            <w:r>
              <w:t xml:space="preserve">Sandbox practice environment for hands-on training.</w:t>
            </w:r>
          </w:p>
        </w:tc>
      </w:tr>
      <w:tr>
        <w:tc>
          <w:tcPr/>
          <w:p>
            <w:pPr>
              <w:pStyle w:val="Compact"/>
              <w:jc w:val="left"/>
            </w:pPr>
            <w:r>
              <w:t xml:space="preserve">FreeIPA</w:t>
            </w:r>
          </w:p>
        </w:tc>
        <w:tc>
          <w:tcPr/>
          <w:p>
            <w:pPr>
              <w:pStyle w:val="Compact"/>
              <w:jc w:val="left"/>
            </w:pPr>
            <w:r>
              <w:t xml:space="preserve">Identity / access management</w:t>
            </w:r>
          </w:p>
        </w:tc>
        <w:tc>
          <w:tcPr/>
          <w:p>
            <w:pPr>
              <w:pStyle w:val="Compact"/>
              <w:jc w:val="left"/>
            </w:pPr>
            <w:r>
              <w:t xml:space="preserve">Legacy access revocation at cutover.</w:t>
            </w:r>
          </w:p>
        </w:tc>
      </w:tr>
      <w:tr>
        <w:tc>
          <w:tcPr/>
          <w:p>
            <w:pPr>
              <w:pStyle w:val="Compact"/>
              <w:jc w:val="left"/>
            </w:pPr>
            <w:r>
              <w:t xml:space="preserve">osTicket / Zammad</w:t>
            </w:r>
          </w:p>
        </w:tc>
        <w:tc>
          <w:tcPr/>
          <w:p>
            <w:pPr>
              <w:pStyle w:val="Compact"/>
              <w:jc w:val="left"/>
            </w:pPr>
            <w:r>
              <w:t xml:space="preserve">Help-desk ticketing</w:t>
            </w:r>
          </w:p>
        </w:tc>
        <w:tc>
          <w:tcPr/>
          <w:p>
            <w:pPr>
              <w:pStyle w:val="Compact"/>
              <w:jc w:val="left"/>
            </w:pPr>
            <w:r>
              <w:t xml:space="preserve">Hypercare support desk and taper handover.</w:t>
            </w:r>
          </w:p>
        </w:tc>
      </w:tr>
      <w:tr>
        <w:tc>
          <w:tcPr/>
          <w:p>
            <w:pPr>
              <w:pStyle w:val="Compact"/>
              <w:jc w:val="left"/>
            </w:pPr>
            <w:r>
              <w:t xml:space="preserve">LibreOffice Impress / Writer</w:t>
            </w:r>
          </w:p>
        </w:tc>
        <w:tc>
          <w:tcPr/>
          <w:p>
            <w:pPr>
              <w:pStyle w:val="Compact"/>
              <w:jc w:val="left"/>
            </w:pPr>
            <w:r>
              <w:t xml:space="preserve">Presentation / documentation</w:t>
            </w:r>
          </w:p>
        </w:tc>
        <w:tc>
          <w:tcPr/>
          <w:p>
            <w:pPr>
              <w:pStyle w:val="Compact"/>
              <w:jc w:val="left"/>
            </w:pPr>
            <w:r>
              <w:t xml:space="preserve">Steering readouts and formal sign-off memos.</w:t>
            </w:r>
          </w:p>
        </w:tc>
      </w:tr>
    </w:tbl>
    <w:p>
      <w:pPr>
        <w:pStyle w:val="BodyText"/>
      </w:pPr>
      <w:r>
        <w:rPr>
          <w:bCs/>
          <w:b/>
        </w:rPr>
        <w:t xml:space="preserve">A.6 Recommended Reading Order by Role</w:t>
      </w:r>
    </w:p>
    <w:p>
      <w:pPr>
        <w:pStyle w:val="BodyText"/>
      </w:pPr>
      <w:r>
        <w:t xml:space="preserve">Not every reader needs every section on day one. Use the table below to prioritize.</w:t>
      </w:r>
    </w:p>
    <w:tbl>
      <w:tblPr>
        <w:tblStyle w:val="Table"/>
        <w:tblW w:type="pct" w:w="4940"/>
        <w:tblLook w:firstRow="1" w:lastRow="0" w:firstColumn="0" w:lastColumn="0" w:noHBand="0" w:noVBand="0" w:val="0020"/>
        <w:jc w:val="start"/>
      </w:tblPr>
      <w:tblGrid>
        <w:gridCol w:w="1555"/>
        <w:gridCol w:w="3582"/>
        <w:gridCol w:w="2687"/>
      </w:tblGrid>
      <w:tr>
        <w:trPr>
          <w:tblHeader w:val="true"/>
        </w:trPr>
        <w:tc>
          <w:tcPr>
            <w:shd w:val="clear" w:fill="1F4B45"/>
          </w:tcPr>
          <w:p>
            <w:pPr>
              <w:pStyle w:val="Compact"/>
              <w:jc w:val="left"/>
            </w:pPr>
            <w:r>
              <w:rPr>
                <w:bCs/>
                <w:b/>
                <w:color w:val="FFFFFF"/>
              </w:rPr>
              <w:t xml:space="preserve">Role</w:t>
            </w:r>
          </w:p>
        </w:tc>
        <w:tc>
          <w:tcPr>
            <w:shd w:val="clear" w:fill="1F4B45"/>
          </w:tcPr>
          <w:p>
            <w:pPr>
              <w:pStyle w:val="Compact"/>
              <w:jc w:val="left"/>
            </w:pPr>
            <w:r>
              <w:rPr>
                <w:bCs/>
                <w:b/>
                <w:color w:val="FFFFFF"/>
              </w:rPr>
              <w:t xml:space="preserve">Read First</w:t>
            </w:r>
          </w:p>
        </w:tc>
        <w:tc>
          <w:tcPr>
            <w:shd w:val="clear" w:fill="1F4B45"/>
          </w:tcPr>
          <w:p>
            <w:pPr>
              <w:pStyle w:val="Compact"/>
              <w:jc w:val="left"/>
            </w:pPr>
            <w:r>
              <w:rPr>
                <w:bCs/>
                <w:b/>
                <w:color w:val="FFFFFF"/>
              </w:rPr>
              <w:t xml:space="preserve">Read as Needed</w:t>
            </w:r>
          </w:p>
        </w:tc>
      </w:tr>
      <w:tr>
        <w:tc>
          <w:tcPr/>
          <w:p>
            <w:pPr>
              <w:pStyle w:val="Compact"/>
              <w:jc w:val="left"/>
            </w:pPr>
            <w:r>
              <w:t xml:space="preserve">Change Manager (CM)</w:t>
            </w:r>
          </w:p>
        </w:tc>
        <w:tc>
          <w:tcPr/>
          <w:p>
            <w:pPr>
              <w:pStyle w:val="Compact"/>
              <w:jc w:val="left"/>
            </w:pPr>
            <w:r>
              <w:t xml:space="preserve">Executive Summary, Sections 2, 3, 4, 6 (all phases), 7</w:t>
            </w:r>
          </w:p>
        </w:tc>
        <w:tc>
          <w:tcPr/>
          <w:p>
            <w:pPr>
              <w:pStyle w:val="Compact"/>
              <w:jc w:val="left"/>
            </w:pPr>
            <w:r>
              <w:t xml:space="preserve">Section 8 (Meridian), Section 9 (exceptions), Appendix</w:t>
            </w:r>
          </w:p>
        </w:tc>
      </w:tr>
      <w:tr>
        <w:tc>
          <w:tcPr/>
          <w:p>
            <w:pPr>
              <w:pStyle w:val="Compact"/>
              <w:jc w:val="left"/>
            </w:pPr>
            <w:r>
              <w:t xml:space="preserve">Program / Project Manager (PM)</w:t>
            </w:r>
          </w:p>
        </w:tc>
        <w:tc>
          <w:tcPr/>
          <w:p>
            <w:pPr>
              <w:pStyle w:val="Compact"/>
              <w:jc w:val="left"/>
            </w:pPr>
            <w:r>
              <w:t xml:space="preserve">Executive Summary, Sections 1, 4, 5, 6 ([PROJECT] and [JOINT] Tasks)</w:t>
            </w:r>
          </w:p>
        </w:tc>
        <w:tc>
          <w:tcPr/>
          <w:p>
            <w:pPr>
              <w:pStyle w:val="Compact"/>
              <w:jc w:val="left"/>
            </w:pPr>
            <w:r>
              <w:t xml:space="preserve">Section 10 (governance), Section 7.5 (escalations)</w:t>
            </w:r>
          </w:p>
        </w:tc>
      </w:tr>
      <w:tr>
        <w:tc>
          <w:tcPr/>
          <w:p>
            <w:pPr>
              <w:pStyle w:val="Compact"/>
              <w:jc w:val="left"/>
            </w:pPr>
            <w:r>
              <w:t xml:space="preserve">Executive Sponsor (ES)</w:t>
            </w:r>
          </w:p>
        </w:tc>
        <w:tc>
          <w:tcPr/>
          <w:p>
            <w:pPr>
              <w:pStyle w:val="Compact"/>
              <w:jc w:val="left"/>
            </w:pPr>
            <w:r>
              <w:t xml:space="preserve">Executive Summary, Sections 1, 4, 7.6, 10</w:t>
            </w:r>
          </w:p>
        </w:tc>
        <w:tc>
          <w:tcPr/>
          <w:p>
            <w:pPr>
              <w:pStyle w:val="Compact"/>
              <w:jc w:val="left"/>
            </w:pPr>
            <w:r>
              <w:t xml:space="preserve">Section 8 (Meridian) for a worked illustration</w:t>
            </w:r>
          </w:p>
        </w:tc>
      </w:tr>
      <w:tr>
        <w:tc>
          <w:tcPr/>
          <w:p>
            <w:pPr>
              <w:pStyle w:val="Compact"/>
              <w:jc w:val="left"/>
            </w:pPr>
            <w:r>
              <w:t xml:space="preserve">Frontline Supervisor (SUP)</w:t>
            </w:r>
          </w:p>
        </w:tc>
        <w:tc>
          <w:tcPr/>
          <w:p>
            <w:pPr>
              <w:pStyle w:val="Compact"/>
              <w:jc w:val="left"/>
            </w:pPr>
            <w:r>
              <w:t xml:space="preserve">Section 3 (signal catalogue), Section 6 ([CHANGE] Tasks in Phases 5–8)</w:t>
            </w:r>
          </w:p>
        </w:tc>
        <w:tc>
          <w:tcPr/>
          <w:p>
            <w:pPr>
              <w:pStyle w:val="Compact"/>
              <w:jc w:val="left"/>
            </w:pPr>
            <w:r>
              <w:t xml:space="preserve">Section 9, Exceptions E2 and E4</w:t>
            </w:r>
          </w:p>
        </w:tc>
      </w:tr>
    </w:tbl>
    <w:p>
      <w:pPr>
        <w:pStyle w:val="BodyText"/>
      </w:pPr>
      <w:r>
        <w:rPr>
          <w:iCs/>
          <w:i/>
        </w:rPr>
        <w:t xml:space="preserve">Table A.6 — Suggested reading path by role; every reader can still use the full guide as a reference.</w:t>
      </w:r>
    </w:p>
    <w:p>
      <w:pPr>
        <w:pStyle w:val="BodyText"/>
      </w:pPr>
      <w:r>
        <w:rPr>
          <w:bCs/>
          <w:b/>
        </w:rPr>
        <w:t xml:space="preserve">A.7 Frequently Asked Questions</w:t>
      </w:r>
    </w:p>
    <w:p>
      <w:pPr>
        <w:pStyle w:val="BodyText"/>
      </w:pPr>
      <w:r>
        <w:rPr>
          <w:bCs/>
          <w:b/>
        </w:rPr>
        <w:t xml:space="preserve">Why does journi never auto-compute Lewin, Bridges or Kübler-Ross?</w:t>
      </w:r>
    </w:p>
    <w:p>
      <w:pPr>
        <w:pStyle w:val="BodyText"/>
      </w:pPr>
      <w:r>
        <w:t xml:space="preserve">Because these three are judgment calls that depend on context a formula cannot see — who said what, in what tone, after what event. Automating them would trade real signal for false precision. The two metrics journi does compute (Composite Readiness Index and the Divergence Pattern Detector) were chosen precisely because they are numeric enough, and narrow enough, to blend safely.</w:t>
      </w:r>
    </w:p>
    <w:p>
      <w:pPr>
        <w:pStyle w:val="BodyText"/>
      </w:pPr>
      <w:r>
        <w:rPr>
          <w:bCs/>
          <w:b/>
        </w:rPr>
        <w:t xml:space="preserve">What if a Task's Responsible list and Accountable role overlap?</w:t>
      </w:r>
    </w:p>
    <w:p>
      <w:pPr>
        <w:pStyle w:val="BodyText"/>
      </w:pPr>
      <w:r>
        <w:t xml:space="preserve">That is expected and common in leaner project structures — the same role can be both Responsible and Accountable for a Task, especially for Change-Management-owned Tasks run largely by the Change Manager. What must never happen is more than one role carrying the Accountable designation for the same Task.</w:t>
      </w:r>
    </w:p>
    <w:p>
      <w:pPr>
        <w:pStyle w:val="BodyText"/>
      </w:pPr>
      <w:r>
        <w:rPr>
          <w:bCs/>
          <w:b/>
        </w:rPr>
        <w:t xml:space="preserve">Our program is shorter (or longer) than 12 months — how do we use the weekly timeline?</w:t>
      </w:r>
    </w:p>
    <w:p>
      <w:pPr>
        <w:pStyle w:val="BodyText"/>
      </w:pPr>
      <w:r>
        <w:t xml:space="preserve">Scale the week numbers proportionally to your own program length rather than compressing phases unevenly. The phase order, the SIPOC content, the Tasks, Steps and RACSI assignments in Section 6 do not depend on the 12-month assumption and can be reused directly.</w:t>
      </w:r>
    </w:p>
    <w:p>
      <w:pPr>
        <w:pStyle w:val="BodyText"/>
      </w:pPr>
      <w:r>
        <w:rPr>
          <w:bCs/>
          <w:b/>
        </w:rPr>
        <w:t xml:space="preserve">Can we substitute our own tools for the open-source tools recommended in Section 6?</w:t>
      </w:r>
    </w:p>
    <w:p>
      <w:pPr>
        <w:pStyle w:val="BodyText"/>
      </w:pPr>
      <w:r>
        <w:t xml:space="preserve">Yes. The technique and its goal are the load-bearing part of each Step; the recommended tool is a concrete, zero-license-cost starting point, not a requirement. Appendix A.5 consolidates every tool mentioned for a single procurement conversation.</w:t>
      </w:r>
    </w:p>
    <w:p>
      <w:pPr>
        <w:pStyle w:val="BodyText"/>
      </w:pPr>
      <w:r>
        <w:rPr>
          <w:bCs/>
          <w:b/>
        </w:rPr>
        <w:t xml:space="preserve">What should we do if a phase's actual dates slip against the Section 5 timeline?</w:t>
      </w:r>
    </w:p>
    <w:p>
      <w:pPr>
        <w:pStyle w:val="BodyText"/>
      </w:pPr>
      <w:r>
        <w:t xml:space="preserve">Update the week labels, not the sequence or the RACSI ownership. The dependencies between Tasks — for example, that Section 6's Divergence Pattern check depends on UAT data existing — are what matters; the calendar is a planning aid, not a constraint on the underlying logic.</w:t>
      </w:r>
    </w:p>
    <w:p>
      <w:pPr>
        <w:pStyle w:val="BodyText"/>
      </w:pPr>
      <w:r>
        <w:rPr>
          <w:bCs/>
          <w:b/>
        </w:rPr>
        <w:t xml:space="preserve">A.8 Glossary</w:t>
      </w:r>
    </w:p>
    <w:p>
      <w:pPr>
        <w:numPr>
          <w:ilvl w:val="0"/>
          <w:numId w:val="1006"/>
        </w:numPr>
      </w:pPr>
      <w:r>
        <w:t xml:space="preserve">Task — a macro unit of work within a phase (or exception), tagged [PROJECT], [CHANGE] or [JOINT], and owned by a RACSI assignment. Each phase and exception has 5 Tasks.</w:t>
      </w:r>
    </w:p>
    <w:p>
      <w:pPr>
        <w:numPr>
          <w:ilvl w:val="0"/>
          <w:numId w:val="1006"/>
        </w:numPr>
      </w:pPr>
      <w:r>
        <w:t xml:space="preserve">Step — the fine-grained breakdown of a Task; each Step names one technique, its goal, an execution description, a recommended open-source tool, its own mini-SIPOC, and (where relevant) a journi module cross-reference.</w:t>
      </w:r>
    </w:p>
    <w:p>
      <w:pPr>
        <w:numPr>
          <w:ilvl w:val="0"/>
          <w:numId w:val="1006"/>
        </w:numPr>
      </w:pPr>
      <w:r>
        <w:t xml:space="preserve">Technique — the specific facilitation, analysis or execution method used to carry out a Step (e.g. </w:t>
      </w:r>
      <w:r>
        <w:t xml:space="preserve">“</w:t>
      </w:r>
      <w:r>
        <w:t xml:space="preserve">Pulse survey,</w:t>
      </w:r>
      <w:r>
        <w:t xml:space="preserve">”</w:t>
      </w:r>
      <w:r>
        <w:t xml:space="preserve"> </w:t>
      </w:r>
      <w:r>
        <w:t xml:space="preserve">“</w:t>
      </w:r>
      <w:r>
        <w:t xml:space="preserve">Affinity mapping</w:t>
      </w:r>
      <w:r>
        <w:t xml:space="preserve">”</w:t>
      </w:r>
      <w:r>
        <w:t xml:space="preserve">).</w:t>
      </w:r>
    </w:p>
    <w:p>
      <w:pPr>
        <w:numPr>
          <w:ilvl w:val="0"/>
          <w:numId w:val="1006"/>
        </w:numPr>
      </w:pPr>
      <w:r>
        <w:t xml:space="preserve">Composite Readiness Index (CRI) — a 0–100 score blending ADKAR (50%), Kübler-Ross sentiment (25%) and training completion (25%); recalculated at least monthly.</w:t>
      </w:r>
    </w:p>
    <w:p>
      <w:pPr>
        <w:numPr>
          <w:ilvl w:val="0"/>
          <w:numId w:val="1006"/>
        </w:numPr>
      </w:pPr>
      <w:r>
        <w:t xml:space="preserve">Divergence Pattern — strong ADKAR Knowledge/Ability scores paired with a Bridges reading still at</w:t>
      </w:r>
      <w:r>
        <w:t xml:space="preserve"> </w:t>
      </w:r>
      <w:r>
        <w:t xml:space="preserve">“</w:t>
      </w:r>
      <w:r>
        <w:t xml:space="preserve">Ending</w:t>
      </w:r>
      <w:r>
        <w:t xml:space="preserve">”</w:t>
      </w:r>
      <w:r>
        <w:t xml:space="preserve">; a boolean alert, not a blended score.</w:t>
      </w:r>
    </w:p>
    <w:p>
      <w:pPr>
        <w:numPr>
          <w:ilvl w:val="0"/>
          <w:numId w:val="1006"/>
        </w:numPr>
      </w:pPr>
      <w:r>
        <w:t xml:space="preserve">Two-Clock Problem — the organizational/delivery clock (Lewin) and the emotional clock (Bridges, Kübler-Ross) moving at different speeds, most visible at go-live.</w:t>
      </w:r>
    </w:p>
    <w:p>
      <w:pPr>
        <w:numPr>
          <w:ilvl w:val="0"/>
          <w:numId w:val="1006"/>
        </w:numPr>
      </w:pPr>
      <w:r>
        <w:t xml:space="preserve">Barrier Reason — a mandatory written note explaining any ADKAR block scored 2 or below; required for the score to be actionable.</w:t>
      </w:r>
    </w:p>
    <w:p>
      <w:pPr>
        <w:numPr>
          <w:ilvl w:val="0"/>
          <w:numId w:val="1006"/>
        </w:numPr>
      </w:pPr>
      <w:r>
        <w:t xml:space="preserve">SIPOC — Suppliers – Inputs – Process – Outputs – Customers; defines what happens in a process and who touches it. Used at both Task level (the Process column lists all Steps) and Step level (the Process column names that one technique).</w:t>
      </w:r>
    </w:p>
    <w:p>
      <w:pPr>
        <w:numPr>
          <w:ilvl w:val="0"/>
          <w:numId w:val="1006"/>
        </w:numPr>
      </w:pPr>
      <w:r>
        <w:t xml:space="preserve">RACSI — Responsible – Accountable – Consulted – Support – Informed; defines who does what at each Task. More than one role may be Responsible; exactly one role is Accountable.</w:t>
      </w:r>
    </w:p>
    <w:p>
      <w:pPr>
        <w:numPr>
          <w:ilvl w:val="0"/>
          <w:numId w:val="1006"/>
        </w:numPr>
      </w:pPr>
      <w:r>
        <w:t xml:space="preserve">Cohort — a defined group of end users (by role, site or department) tracked separately in M4 so readiness can be disaggregated rather than blended.</w:t>
      </w:r>
    </w:p>
    <w:p>
      <w:pPr>
        <w:pStyle w:val="FirstParagraph"/>
      </w:pPr>
      <w:r>
        <w:rPr>
          <w:bCs/>
          <w:b/>
        </w:rPr>
        <w:t xml:space="preserve">A.9 Technique Reference</w:t>
      </w:r>
    </w:p>
    <w:p>
      <w:pPr>
        <w:pStyle w:val="BodyText"/>
      </w:pPr>
      <w:r>
        <w:t xml:space="preserve">Every technique named in Sections 6 and 9 is explained below in general terms — what it is and when it is useful — independent of the specific step it supports in this guide. Near-identical variants (for example, the several pulse-survey re-issues used across the program) are consolidated into a single entry.</w:t>
      </w:r>
    </w:p>
    <w:tbl>
      <w:tblPr>
        <w:tblStyle w:val="Table"/>
        <w:tblW w:type="pct" w:w="4976"/>
        <w:tblLook w:firstRow="1" w:lastRow="0" w:firstColumn="0" w:lastColumn="0" w:noHBand="0" w:noVBand="0" w:val="0020"/>
        <w:jc w:val="start"/>
      </w:tblPr>
      <w:tblGrid>
        <w:gridCol w:w="801"/>
        <w:gridCol w:w="7080"/>
      </w:tblGrid>
      <w:tr>
        <w:trPr>
          <w:tblHeader w:val="true"/>
        </w:trPr>
        <w:tc>
          <w:tcPr>
            <w:shd w:val="clear" w:fill="1F4B45"/>
          </w:tcPr>
          <w:p>
            <w:pPr>
              <w:pStyle w:val="Compact"/>
              <w:jc w:val="left"/>
            </w:pPr>
            <w:r>
              <w:rPr>
                <w:bCs/>
                <w:b/>
                <w:color w:val="FFFFFF"/>
              </w:rPr>
              <w:t xml:space="preserve">Technique</w:t>
            </w:r>
          </w:p>
        </w:tc>
        <w:tc>
          <w:tcPr>
            <w:shd w:val="clear" w:fill="1F4B45"/>
          </w:tcPr>
          <w:p>
            <w:pPr>
              <w:pStyle w:val="Compact"/>
              <w:jc w:val="left"/>
            </w:pPr>
            <w:r>
              <w:rPr>
                <w:bCs/>
                <w:b/>
                <w:color w:val="FFFFFF"/>
              </w:rPr>
              <w:t xml:space="preserve">Explanation</w:t>
            </w:r>
          </w:p>
        </w:tc>
      </w:tr>
      <w:tr>
        <w:tc>
          <w:tcPr/>
          <w:p>
            <w:pPr>
              <w:pStyle w:val="Compact"/>
              <w:jc w:val="left"/>
            </w:pPr>
            <w:r>
              <w:t xml:space="preserve">Access-revocation checklist</w:t>
            </w:r>
          </w:p>
        </w:tc>
        <w:tc>
          <w:tcPr/>
          <w:p>
            <w:pPr>
              <w:pStyle w:val="Compact"/>
              <w:jc w:val="left"/>
            </w:pPr>
            <w:r>
              <w:t xml:space="preserve">A structured procedure to remove or downgrade access to a system being retired, for all but a small audit or support group.</w:t>
            </w:r>
          </w:p>
        </w:tc>
      </w:tr>
      <w:tr>
        <w:tc>
          <w:tcPr/>
          <w:p>
            <w:pPr>
              <w:pStyle w:val="Compact"/>
              <w:jc w:val="left"/>
            </w:pPr>
            <w:r>
              <w:t xml:space="preserve">Adoption dashboard</w:t>
            </w:r>
          </w:p>
        </w:tc>
        <w:tc>
          <w:tcPr/>
          <w:p>
            <w:pPr>
              <w:pStyle w:val="Compact"/>
              <w:jc w:val="left"/>
            </w:pPr>
            <w:r>
              <w:t xml:space="preserve">A visual display of usage and quality metrics — transaction volume, error rate, ticket volume — plotted against a pre-change baseline to make trends checkable at a glance.</w:t>
            </w:r>
          </w:p>
        </w:tc>
      </w:tr>
      <w:tr>
        <w:tc>
          <w:tcPr/>
          <w:p>
            <w:pPr>
              <w:pStyle w:val="Compact"/>
              <w:jc w:val="left"/>
            </w:pPr>
            <w:r>
              <w:t xml:space="preserve">Affinity mapping</w:t>
            </w:r>
          </w:p>
        </w:tc>
        <w:tc>
          <w:tcPr/>
          <w:p>
            <w:pPr>
              <w:pStyle w:val="Compact"/>
              <w:jc w:val="left"/>
            </w:pPr>
            <w:r>
              <w:t xml:space="preserve">A clustering technique where individual notes or comments are grouped into a small number of named themes on a shared board, surfacing patterns that are invisible when reading each note in isolation.</w:t>
            </w:r>
          </w:p>
        </w:tc>
      </w:tr>
      <w:tr>
        <w:tc>
          <w:tcPr/>
          <w:p>
            <w:pPr>
              <w:pStyle w:val="Compact"/>
              <w:jc w:val="left"/>
            </w:pPr>
            <w:r>
              <w:t xml:space="preserve">Affinity Mapping</w:t>
            </w:r>
          </w:p>
        </w:tc>
        <w:tc>
          <w:tcPr/>
          <w:p>
            <w:pPr>
              <w:pStyle w:val="Compact"/>
              <w:jc w:val="left"/>
            </w:pPr>
            <w:r>
              <w:t xml:space="preserve">A clustering technique where individual notes or comments are grouped into a small number of named themes on a shared board, surfacing patterns that are invisible when reading each note in isolation.</w:t>
            </w:r>
          </w:p>
        </w:tc>
      </w:tr>
      <w:tr>
        <w:tc>
          <w:tcPr/>
          <w:p>
            <w:pPr>
              <w:pStyle w:val="Compact"/>
              <w:jc w:val="left"/>
            </w:pPr>
            <w:r>
              <w:t xml:space="preserve">Alert triage</w:t>
            </w:r>
          </w:p>
        </w:tc>
        <w:tc>
          <w:tcPr/>
          <w:p>
            <w:pPr>
              <w:pStyle w:val="Compact"/>
              <w:jc w:val="left"/>
            </w:pPr>
            <w:r>
              <w:t xml:space="preserve">Reviewing an automated alert against independent human observation before acting on it, since an automated rule can indicate a pattern is possible without confirming it is real for a specific case.</w:t>
            </w:r>
          </w:p>
        </w:tc>
      </w:tr>
      <w:tr>
        <w:tc>
          <w:tcPr/>
          <w:p>
            <w:pPr>
              <w:pStyle w:val="Compact"/>
              <w:jc w:val="left"/>
            </w:pPr>
            <w:r>
              <w:t xml:space="preserve">Automated integration testing</w:t>
            </w:r>
          </w:p>
        </w:tc>
        <w:tc>
          <w:tcPr/>
          <w:p>
            <w:pPr>
              <w:pStyle w:val="Compact"/>
              <w:jc w:val="left"/>
            </w:pPr>
            <w:r>
              <w:t xml:space="preserve">Scripted, repeatable test cases that validate an interface's behavior automatically, covering the expected path and the most likely failure modes.</w:t>
            </w:r>
          </w:p>
        </w:tc>
      </w:tr>
      <w:tr>
        <w:tc>
          <w:tcPr/>
          <w:p>
            <w:pPr>
              <w:pStyle w:val="Compact"/>
              <w:jc w:val="left"/>
            </w:pPr>
            <w:r>
              <w:t xml:space="preserve">Barrier-reason logging</w:t>
            </w:r>
          </w:p>
        </w:tc>
        <w:tc>
          <w:tcPr/>
          <w:p>
            <w:pPr>
              <w:pStyle w:val="Compact"/>
              <w:jc w:val="left"/>
            </w:pPr>
            <w:r>
              <w:t xml:space="preserve">A mandatory, specific, written explanation required whenever a tracked score falls below an actionable threshold, turning a low number into something a reviewer can actually act on.</w:t>
            </w:r>
          </w:p>
        </w:tc>
      </w:tr>
      <w:tr>
        <w:tc>
          <w:tcPr/>
          <w:p>
            <w:pPr>
              <w:pStyle w:val="Compact"/>
              <w:jc w:val="left"/>
            </w:pPr>
            <w:r>
              <w:t xml:space="preserve">Benchmarking review</w:t>
            </w:r>
          </w:p>
        </w:tc>
        <w:tc>
          <w:tcPr/>
          <w:p>
            <w:pPr>
              <w:pStyle w:val="Compact"/>
              <w:jc w:val="left"/>
            </w:pPr>
            <w:r>
              <w:t xml:space="preserve">Comparing current scores against a published reference band to judge whether a cohort or program is on track relative to an established standard.</w:t>
            </w:r>
          </w:p>
        </w:tc>
      </w:tr>
      <w:tr>
        <w:tc>
          <w:tcPr/>
          <w:p>
            <w:pPr>
              <w:pStyle w:val="Compact"/>
              <w:jc w:val="left"/>
            </w:pPr>
            <w:r>
              <w:t xml:space="preserve">Blended-learning course design</w:t>
            </w:r>
          </w:p>
        </w:tc>
        <w:tc>
          <w:tcPr/>
          <w:p>
            <w:pPr>
              <w:pStyle w:val="Compact"/>
              <w:jc w:val="left"/>
            </w:pPr>
            <w:r>
              <w:t xml:space="preserve">Structuring training as a sequence of short self-paced content followed immediately by live or hands-on practice, rather than a single long-format session.</w:t>
            </w:r>
          </w:p>
        </w:tc>
      </w:tr>
      <w:tr>
        <w:tc>
          <w:tcPr/>
          <w:p>
            <w:pPr>
              <w:pStyle w:val="Compact"/>
              <w:jc w:val="left"/>
            </w:pPr>
            <w:r>
              <w:t xml:space="preserve">Budget / staffing extension review</w:t>
            </w:r>
          </w:p>
        </w:tc>
        <w:tc>
          <w:tcPr/>
          <w:p>
            <w:pPr>
              <w:pStyle w:val="Compact"/>
              <w:jc w:val="left"/>
            </w:pPr>
            <w:r>
              <w:t xml:space="preserve">Confirming that resourcing for a time-bound activity remains at planned levels for as long as the activity's actual completion criteria require, rather than a fixed calendar date.</w:t>
            </w:r>
          </w:p>
        </w:tc>
      </w:tr>
      <w:tr>
        <w:tc>
          <w:tcPr/>
          <w:p>
            <w:pPr>
              <w:pStyle w:val="Compact"/>
              <w:jc w:val="left"/>
            </w:pPr>
            <w:r>
              <w:t xml:space="preserve">Champion kickoff workshop</w:t>
            </w:r>
          </w:p>
        </w:tc>
        <w:tc>
          <w:tcPr/>
          <w:p>
            <w:pPr>
              <w:pStyle w:val="Compact"/>
              <w:jc w:val="left"/>
            </w:pPr>
            <w:r>
              <w:t xml:space="preserve">An onboarding session for a newly formed peer-champion network, covering their role, cadence and escalation path so they function as an active network from day one.</w:t>
            </w:r>
          </w:p>
        </w:tc>
      </w:tr>
      <w:tr>
        <w:tc>
          <w:tcPr/>
          <w:p>
            <w:pPr>
              <w:pStyle w:val="Compact"/>
              <w:jc w:val="left"/>
            </w:pPr>
            <w:r>
              <w:t xml:space="preserve">Charter workshop</w:t>
            </w:r>
          </w:p>
        </w:tc>
        <w:tc>
          <w:tcPr/>
          <w:p>
            <w:pPr>
              <w:pStyle w:val="Compact"/>
              <w:jc w:val="left"/>
            </w:pPr>
            <w:r>
              <w:t xml:space="preserve">A session that formally reconfirms a group's mandate, membership and specific accountabilities, used to reactivate a network that has gone quiet.</w:t>
            </w:r>
          </w:p>
        </w:tc>
      </w:tr>
      <w:tr>
        <w:tc>
          <w:tcPr/>
          <w:p>
            <w:pPr>
              <w:pStyle w:val="Compact"/>
              <w:jc w:val="left"/>
            </w:pPr>
            <w:r>
              <w:t xml:space="preserve">Coaching-plan template</w:t>
            </w:r>
          </w:p>
        </w:tc>
        <w:tc>
          <w:tcPr/>
          <w:p>
            <w:pPr>
              <w:pStyle w:val="Compact"/>
              <w:jc w:val="left"/>
            </w:pPr>
            <w:r>
              <w:t xml:space="preserve">A fill-in document that turns a general coaching responsibility into a concrete, named list of at-risk individuals and specific process steps to watch.</w:t>
            </w:r>
          </w:p>
        </w:tc>
      </w:tr>
      <w:tr>
        <w:tc>
          <w:tcPr/>
          <w:p>
            <w:pPr>
              <w:pStyle w:val="Compact"/>
              <w:jc w:val="left"/>
            </w:pPr>
            <w:r>
              <w:t xml:space="preserve">Cohort segmentation analysis</w:t>
            </w:r>
          </w:p>
        </w:tc>
        <w:tc>
          <w:tcPr/>
          <w:p>
            <w:pPr>
              <w:pStyle w:val="Compact"/>
              <w:jc w:val="left"/>
            </w:pPr>
            <w:r>
              <w:t xml:space="preserve">Rebuilding an aggregate metric as a set of views filtered by defined subgroup (site, department, role) so within-population variation becomes visible.</w:t>
            </w:r>
          </w:p>
        </w:tc>
      </w:tr>
      <w:tr>
        <w:tc>
          <w:tcPr/>
          <w:p>
            <w:pPr>
              <w:pStyle w:val="Compact"/>
              <w:jc w:val="left"/>
            </w:pPr>
            <w:r>
              <w:t xml:space="preserve">Cohort trend comparison</w:t>
            </w:r>
          </w:p>
        </w:tc>
        <w:tc>
          <w:tcPr/>
          <w:p>
            <w:pPr>
              <w:pStyle w:val="Compact"/>
              <w:jc w:val="left"/>
            </w:pPr>
            <w:r>
              <w:t xml:space="preserve">Plotting a cohort's tracked metrics over time against a reference call or benchmark, used to check whether a decision made earlier is still supported by the latest evidence.</w:t>
            </w:r>
          </w:p>
        </w:tc>
      </w:tr>
      <w:tr>
        <w:tc>
          <w:tcPr/>
          <w:p>
            <w:pPr>
              <w:pStyle w:val="Compact"/>
              <w:jc w:val="left"/>
            </w:pPr>
            <w:r>
              <w:t xml:space="preserve">Communications planning</w:t>
            </w:r>
          </w:p>
        </w:tc>
        <w:tc>
          <w:tcPr/>
          <w:p>
            <w:pPr>
              <w:pStyle w:val="Compact"/>
              <w:jc w:val="left"/>
            </w:pPr>
            <w:r>
              <w:t xml:space="preserve">Mapping out messages, audiences, channels and senders across a timeline so that communication is sequenced deliberately rather than improvised reactively.</w:t>
            </w:r>
          </w:p>
        </w:tc>
      </w:tr>
      <w:tr>
        <w:tc>
          <w:tcPr/>
          <w:p>
            <w:pPr>
              <w:pStyle w:val="Compact"/>
              <w:jc w:val="left"/>
            </w:pPr>
            <w:r>
              <w:t xml:space="preserve">Comparative root-cause interview</w:t>
            </w:r>
          </w:p>
        </w:tc>
        <w:tc>
          <w:tcPr/>
          <w:p>
            <w:pPr>
              <w:pStyle w:val="Compact"/>
              <w:jc w:val="left"/>
            </w:pPr>
            <w:r>
              <w:t xml:space="preserve">Interviewing two contrasting groups using an identical question guide, so differences in their answers can be attributed to the groups themselves rather than to the questions asked.</w:t>
            </w:r>
          </w:p>
        </w:tc>
      </w:tr>
      <w:tr>
        <w:tc>
          <w:tcPr/>
          <w:p>
            <w:pPr>
              <w:pStyle w:val="Compact"/>
              <w:jc w:val="left"/>
            </w:pPr>
            <w:r>
              <w:t xml:space="preserve">Configuration peer review</w:t>
            </w:r>
          </w:p>
        </w:tc>
        <w:tc>
          <w:tcPr/>
          <w:p>
            <w:pPr>
              <w:pStyle w:val="Compact"/>
              <w:jc w:val="left"/>
            </w:pPr>
            <w:r>
              <w:t xml:space="preserve">A second qualified person examines every completed configuration change against agreed standards before it is marked complete, catching drift early and cheaply.</w:t>
            </w:r>
          </w:p>
        </w:tc>
      </w:tr>
      <w:tr>
        <w:tc>
          <w:tcPr/>
          <w:p>
            <w:pPr>
              <w:pStyle w:val="Compact"/>
              <w:jc w:val="left"/>
            </w:pPr>
            <w:r>
              <w:t xml:space="preserve">Correlation check</w:t>
            </w:r>
          </w:p>
        </w:tc>
        <w:tc>
          <w:tcPr/>
          <w:p>
            <w:pPr>
              <w:pStyle w:val="Compact"/>
              <w:jc w:val="left"/>
            </w:pPr>
            <w:r>
              <w:t xml:space="preserve">Comparing the timing of two events (such as a metric regression and a logged incident) to test whether one plausibly explains the other before concluding they are related.</w:t>
            </w:r>
          </w:p>
        </w:tc>
      </w:tr>
      <w:tr>
        <w:tc>
          <w:tcPr/>
          <w:p>
            <w:pPr>
              <w:pStyle w:val="Compact"/>
              <w:jc w:val="left"/>
            </w:pPr>
            <w:r>
              <w:t xml:space="preserve">Cost-of-inaction workshop</w:t>
            </w:r>
          </w:p>
        </w:tc>
        <w:tc>
          <w:tcPr/>
          <w:p>
            <w:pPr>
              <w:pStyle w:val="Compact"/>
              <w:jc w:val="left"/>
            </w:pPr>
            <w:r>
              <w:t xml:space="preserve">A facilitated session that converts qualitative pain points into a quantified, annualized business-case figure that leadership can act on.</w:t>
            </w:r>
          </w:p>
        </w:tc>
      </w:tr>
      <w:tr>
        <w:tc>
          <w:tcPr/>
          <w:p>
            <w:pPr>
              <w:pStyle w:val="Compact"/>
              <w:jc w:val="left"/>
            </w:pPr>
            <w:r>
              <w:t xml:space="preserve">Daily stand-up triage</w:t>
            </w:r>
          </w:p>
        </w:tc>
        <w:tc>
          <w:tcPr/>
          <w:p>
            <w:pPr>
              <w:pStyle w:val="Compact"/>
              <w:jc w:val="left"/>
            </w:pPr>
            <w:r>
              <w:t xml:space="preserve">A brief, recurring cross-functional meeting to review new issues and emerging patterns while they are still small and easy to address.</w:t>
            </w:r>
          </w:p>
        </w:tc>
      </w:tr>
      <w:tr>
        <w:tc>
          <w:tcPr/>
          <w:p>
            <w:pPr>
              <w:pStyle w:val="Compact"/>
              <w:jc w:val="left"/>
            </w:pPr>
            <w:r>
              <w:t xml:space="preserve">Dashboard publication</w:t>
            </w:r>
          </w:p>
        </w:tc>
        <w:tc>
          <w:tcPr/>
          <w:p>
            <w:pPr>
              <w:pStyle w:val="Compact"/>
              <w:jc w:val="left"/>
            </w:pPr>
            <w:r>
              <w:t xml:space="preserve">Making a metric or trend visible on a shared, regularly updated display for a defined audience, rather than communicating it only verbally or on request.</w:t>
            </w:r>
          </w:p>
        </w:tc>
      </w:tr>
      <w:tr>
        <w:tc>
          <w:tcPr/>
          <w:p>
            <w:pPr>
              <w:pStyle w:val="Compact"/>
              <w:jc w:val="left"/>
            </w:pPr>
            <w:r>
              <w:t xml:space="preserve">Data profiling</w:t>
            </w:r>
          </w:p>
        </w:tc>
        <w:tc>
          <w:tcPr/>
          <w:p>
            <w:pPr>
              <w:pStyle w:val="Compact"/>
              <w:jc w:val="left"/>
            </w:pPr>
            <w:r>
              <w:t xml:space="preserve">Systematic examination of a data set — null rates, duplicates, out-of-range values, format inconsistencies — to establish its quality before it is used, mapped or migrated.</w:t>
            </w:r>
          </w:p>
        </w:tc>
      </w:tr>
      <w:tr>
        <w:tc>
          <w:tcPr/>
          <w:p>
            <w:pPr>
              <w:pStyle w:val="Compact"/>
              <w:jc w:val="left"/>
            </w:pPr>
            <w:r>
              <w:t xml:space="preserve">Data-freeze checklist</w:t>
            </w:r>
          </w:p>
        </w:tc>
        <w:tc>
          <w:tcPr/>
          <w:p>
            <w:pPr>
              <w:pStyle w:val="Compact"/>
              <w:jc w:val="left"/>
            </w:pPr>
            <w:r>
              <w:t xml:space="preserve">A coordinated procedure to lock write access to a source system at an agreed time, confirmed with every system owner in writing, so a migration runs against stable data.</w:t>
            </w:r>
          </w:p>
        </w:tc>
      </w:tr>
      <w:tr>
        <w:tc>
          <w:tcPr/>
          <w:p>
            <w:pPr>
              <w:pStyle w:val="Compact"/>
              <w:jc w:val="left"/>
            </w:pPr>
            <w:r>
              <w:t xml:space="preserve">Decision log</w:t>
            </w:r>
          </w:p>
        </w:tc>
        <w:tc>
          <w:tcPr/>
          <w:p>
            <w:pPr>
              <w:pStyle w:val="Compact"/>
              <w:jc w:val="left"/>
            </w:pPr>
            <w:r>
              <w:t xml:space="preserve">A running, dated record of every non-obvious decision and its rationale, so the reasoning behind a choice remains available long after the meeting where it was made.</w:t>
            </w:r>
          </w:p>
        </w:tc>
      </w:tr>
      <w:tr>
        <w:tc>
          <w:tcPr/>
          <w:p>
            <w:pPr>
              <w:pStyle w:val="Compact"/>
              <w:jc w:val="left"/>
            </w:pPr>
            <w:r>
              <w:t xml:space="preserve">Decision-rights clarification</w:t>
            </w:r>
          </w:p>
        </w:tc>
        <w:tc>
          <w:tcPr/>
          <w:p>
            <w:pPr>
              <w:pStyle w:val="Compact"/>
              <w:jc w:val="left"/>
            </w:pPr>
            <w:r>
              <w:t xml:space="preserve">Explicitly documenting which decisions belong to which role or process, preventing one decision (such as a delivery milestone) from being mistaken for authority over a separate decision.</w:t>
            </w:r>
          </w:p>
        </w:tc>
      </w:tr>
      <w:tr>
        <w:tc>
          <w:tcPr/>
          <w:p>
            <w:pPr>
              <w:pStyle w:val="Compact"/>
              <w:jc w:val="left"/>
            </w:pPr>
            <w:r>
              <w:t xml:space="preserve">Defect remediation sprint</w:t>
            </w:r>
          </w:p>
        </w:tc>
        <w:tc>
          <w:tcPr/>
          <w:p>
            <w:pPr>
              <w:pStyle w:val="Compact"/>
              <w:jc w:val="left"/>
            </w:pPr>
            <w:r>
              <w:t xml:space="preserve">A short, focused work period dedicated to closing or formally accepting outstanding defects before a phase gate, rather than letting them carry forward indefinitely.</w:t>
            </w:r>
          </w:p>
        </w:tc>
      </w:tr>
      <w:tr>
        <w:tc>
          <w:tcPr/>
          <w:p>
            <w:pPr>
              <w:pStyle w:val="Compact"/>
              <w:jc w:val="left"/>
            </w:pPr>
            <w:r>
              <w:t xml:space="preserve">Defect triage</w:t>
            </w:r>
          </w:p>
        </w:tc>
        <w:tc>
          <w:tcPr/>
          <w:p>
            <w:pPr>
              <w:pStyle w:val="Compact"/>
              <w:jc w:val="left"/>
            </w:pPr>
            <w:r>
              <w:t xml:space="preserve">Reviewing newly logged defects promptly to assign severity and ownership, preventing a growing backlog of unprioritized issues.</w:t>
            </w:r>
          </w:p>
        </w:tc>
      </w:tr>
      <w:tr>
        <w:tc>
          <w:tcPr/>
          <w:p>
            <w:pPr>
              <w:pStyle w:val="Compact"/>
              <w:jc w:val="left"/>
            </w:pPr>
            <w:r>
              <w:t xml:space="preserve">Design-principles workshop</w:t>
            </w:r>
          </w:p>
        </w:tc>
        <w:tc>
          <w:tcPr/>
          <w:p>
            <w:pPr>
              <w:pStyle w:val="Compact"/>
              <w:jc w:val="left"/>
            </w:pPr>
            <w:r>
              <w:t xml:space="preserve">A facilitated session to agree a short list of non-negotiable rules that every later configuration or process decision must satisfy, reducing the need to relitigate the same debate repeatedly.</w:t>
            </w:r>
          </w:p>
        </w:tc>
      </w:tr>
      <w:tr>
        <w:tc>
          <w:tcPr/>
          <w:p>
            <w:pPr>
              <w:pStyle w:val="Compact"/>
              <w:jc w:val="left"/>
            </w:pPr>
            <w:r>
              <w:t xml:space="preserve">Direct sponsor communication</w:t>
            </w:r>
          </w:p>
        </w:tc>
        <w:tc>
          <w:tcPr/>
          <w:p>
            <w:pPr>
              <w:pStyle w:val="Compact"/>
              <w:jc w:val="left"/>
            </w:pPr>
            <w:r>
              <w:t xml:space="preserve">A message delivered personally and live by the Executive Sponsor rather than through a written channel or a delegate, used when the credibility of the messenger matters as much as the message.</w:t>
            </w:r>
          </w:p>
        </w:tc>
      </w:tr>
      <w:tr>
        <w:tc>
          <w:tcPr/>
          <w:p>
            <w:pPr>
              <w:pStyle w:val="Compact"/>
              <w:jc w:val="left"/>
            </w:pPr>
            <w:r>
              <w:t xml:space="preserve">Divergence Pattern review</w:t>
            </w:r>
          </w:p>
        </w:tc>
        <w:tc>
          <w:tcPr/>
          <w:p>
            <w:pPr>
              <w:pStyle w:val="Compact"/>
              <w:jc w:val="left"/>
            </w:pPr>
            <w:r>
              <w:t xml:space="preserve">Running journi's automated rule — strong Knowledge/Ability paired with a Bridges reading still at Ending — against current scores to flag compliance-without-commitment cases.</w:t>
            </w:r>
          </w:p>
        </w:tc>
      </w:tr>
      <w:tr>
        <w:tc>
          <w:tcPr/>
          <w:p>
            <w:pPr>
              <w:pStyle w:val="Compact"/>
              <w:jc w:val="left"/>
            </w:pPr>
            <w:r>
              <w:t xml:space="preserve">Elevated help-desk staffing</w:t>
            </w:r>
          </w:p>
        </w:tc>
        <w:tc>
          <w:tcPr/>
          <w:p>
            <w:pPr>
              <w:pStyle w:val="Compact"/>
              <w:jc w:val="left"/>
            </w:pPr>
            <w:r>
              <w:t xml:space="preserve">Temporarily increasing support-desk capacity above standard levels to absorb a predictable, short-term spike in demand.</w:t>
            </w:r>
          </w:p>
        </w:tc>
      </w:tr>
      <w:tr>
        <w:tc>
          <w:tcPr/>
          <w:p>
            <w:pPr>
              <w:pStyle w:val="Compact"/>
              <w:jc w:val="left"/>
            </w:pPr>
            <w:r>
              <w:t xml:space="preserve">ETL scripting</w:t>
            </w:r>
          </w:p>
        </w:tc>
        <w:tc>
          <w:tcPr/>
          <w:p>
            <w:pPr>
              <w:pStyle w:val="Compact"/>
              <w:jc w:val="left"/>
            </w:pPr>
            <w:r>
              <w:t xml:space="preserve">Building repeatable Extract-Transform-Load flows that pull data from a source system, reshape it to a target model, and load it — documented so the flow can be re-run and audited.</w:t>
            </w:r>
          </w:p>
        </w:tc>
      </w:tr>
      <w:tr>
        <w:tc>
          <w:tcPr/>
          <w:p>
            <w:pPr>
              <w:pStyle w:val="Compact"/>
              <w:jc w:val="left"/>
            </w:pPr>
            <w:r>
              <w:t xml:space="preserve">Evidence-based gate review</w:t>
            </w:r>
          </w:p>
        </w:tc>
        <w:tc>
          <w:tcPr/>
          <w:p>
            <w:pPr>
              <w:pStyle w:val="Compact"/>
              <w:jc w:val="left"/>
            </w:pPr>
            <w:r>
              <w:t xml:space="preserve">Holding a planned decision or milestone open until defined evidence criteria are met, rather than letting it proceed automatically on a calendar date.</w:t>
            </w:r>
          </w:p>
        </w:tc>
      </w:tr>
      <w:tr>
        <w:tc>
          <w:tcPr/>
          <w:p>
            <w:pPr>
              <w:pStyle w:val="Compact"/>
              <w:jc w:val="left"/>
            </w:pPr>
            <w:r>
              <w:t xml:space="preserve">Evidence-based phase-call review</w:t>
            </w:r>
          </w:p>
        </w:tc>
        <w:tc>
          <w:tcPr/>
          <w:p>
            <w:pPr>
              <w:pStyle w:val="Compact"/>
              <w:jc w:val="left"/>
            </w:pPr>
            <w:r>
              <w:t xml:space="preserve">A disciplined review of two or more consecutive data points, rather than a single reading, before committing to a formal framework phase call.</w:t>
            </w:r>
          </w:p>
        </w:tc>
      </w:tr>
      <w:tr>
        <w:tc>
          <w:tcPr/>
          <w:p>
            <w:pPr>
              <w:pStyle w:val="Compact"/>
              <w:jc w:val="left"/>
            </w:pPr>
            <w:r>
              <w:t xml:space="preserve">Evidence-based review</w:t>
            </w:r>
          </w:p>
        </w:tc>
        <w:tc>
          <w:tcPr/>
          <w:p>
            <w:pPr>
              <w:pStyle w:val="Compact"/>
              <w:jc w:val="left"/>
            </w:pPr>
            <w:r>
              <w:t xml:space="preserve">A decision-making step that requires reviewing current data before finalizing or reversing an earlier call, rather than letting the earlier call stand by default.</w:t>
            </w:r>
          </w:p>
        </w:tc>
      </w:tr>
      <w:tr>
        <w:tc>
          <w:tcPr/>
          <w:p>
            <w:pPr>
              <w:pStyle w:val="Compact"/>
              <w:jc w:val="left"/>
            </w:pPr>
            <w:r>
              <w:t xml:space="preserve">Facilitated phase-call review</w:t>
            </w:r>
          </w:p>
        </w:tc>
        <w:tc>
          <w:tcPr/>
          <w:p>
            <w:pPr>
              <w:pStyle w:val="Compact"/>
              <w:jc w:val="left"/>
            </w:pPr>
            <w:r>
              <w:t xml:space="preserve">A structured discussion, run against a defined signal catalogue, where the Change Manager and Sponsor jointly select a framework phase value from evidence rather than assumption.</w:t>
            </w:r>
          </w:p>
        </w:tc>
      </w:tr>
      <w:tr>
        <w:tc>
          <w:tcPr/>
          <w:p>
            <w:pPr>
              <w:pStyle w:val="Compact"/>
              <w:jc w:val="left"/>
            </w:pPr>
            <w:r>
              <w:t xml:space="preserve">Facilitated UAT session</w:t>
            </w:r>
          </w:p>
        </w:tc>
        <w:tc>
          <w:tcPr/>
          <w:p>
            <w:pPr>
              <w:pStyle w:val="Compact"/>
              <w:jc w:val="left"/>
            </w:pPr>
            <w:r>
              <w:t xml:space="preserve">An observed session where a real end user attempts real-world tasks in the new system, paired with an observer who notes friction and defects as they occur.</w:t>
            </w:r>
          </w:p>
        </w:tc>
      </w:tr>
      <w:tr>
        <w:tc>
          <w:tcPr/>
          <w:p>
            <w:pPr>
              <w:pStyle w:val="Compact"/>
              <w:jc w:val="left"/>
            </w:pPr>
            <w:r>
              <w:t xml:space="preserve">Facilitated workshop</w:t>
            </w:r>
          </w:p>
        </w:tc>
        <w:tc>
          <w:tcPr/>
          <w:p>
            <w:pPr>
              <w:pStyle w:val="Compact"/>
              <w:jc w:val="left"/>
            </w:pPr>
            <w:r>
              <w:t xml:space="preserve">A structured, timeboxed group session led by a neutral facilitator to extract shared understanding — a process map, a set of principles, a decision — directly from the people who do the work.</w:t>
            </w:r>
          </w:p>
        </w:tc>
      </w:tr>
      <w:tr>
        <w:tc>
          <w:tcPr/>
          <w:p>
            <w:pPr>
              <w:pStyle w:val="Compact"/>
              <w:jc w:val="left"/>
            </w:pPr>
            <w:r>
              <w:t xml:space="preserve">FAQ update</w:t>
            </w:r>
          </w:p>
        </w:tc>
        <w:tc>
          <w:tcPr/>
          <w:p>
            <w:pPr>
              <w:pStyle w:val="Compact"/>
              <w:jc w:val="left"/>
            </w:pPr>
            <w:r>
              <w:t xml:space="preserve">Adding new, situation-specific content to an existing knowledge base to address the questions a particular moment (such as go-live week) is most likely to generate.</w:t>
            </w:r>
          </w:p>
        </w:tc>
      </w:tr>
      <w:tr>
        <w:tc>
          <w:tcPr/>
          <w:p>
            <w:pPr>
              <w:pStyle w:val="Compact"/>
              <w:jc w:val="left"/>
            </w:pPr>
            <w:r>
              <w:t xml:space="preserve">Final migration run</w:t>
            </w:r>
          </w:p>
        </w:tc>
        <w:tc>
          <w:tcPr/>
          <w:p>
            <w:pPr>
              <w:pStyle w:val="Compact"/>
              <w:jc w:val="left"/>
            </w:pPr>
            <w:r>
              <w:t xml:space="preserve">The production execution of a previously rehearsed data-migration sequence, monitored in real time by a technical lead.</w:t>
            </w:r>
          </w:p>
        </w:tc>
      </w:tr>
      <w:tr>
        <w:tc>
          <w:tcPr/>
          <w:p>
            <w:pPr>
              <w:pStyle w:val="Compact"/>
              <w:jc w:val="left"/>
            </w:pPr>
            <w:r>
              <w:t xml:space="preserve">Focus group</w:t>
            </w:r>
          </w:p>
        </w:tc>
        <w:tc>
          <w:tcPr/>
          <w:p>
            <w:pPr>
              <w:pStyle w:val="Compact"/>
              <w:jc w:val="left"/>
            </w:pPr>
            <w:r>
              <w:t xml:space="preserve">A small, facilitated group discussion in a psychologically safe setting, used to validate a hypothesis (such as a suspected root cause) directly with the people affected by it.</w:t>
            </w:r>
          </w:p>
        </w:tc>
      </w:tr>
      <w:tr>
        <w:tc>
          <w:tcPr/>
          <w:p>
            <w:pPr>
              <w:pStyle w:val="Compact"/>
              <w:jc w:val="left"/>
            </w:pPr>
            <w:r>
              <w:t xml:space="preserve">Formal go/no-go workshop</w:t>
            </w:r>
          </w:p>
        </w:tc>
        <w:tc>
          <w:tcPr/>
          <w:p>
            <w:pPr>
              <w:pStyle w:val="Compact"/>
              <w:jc w:val="left"/>
            </w:pPr>
            <w:r>
              <w:t xml:space="preserve">A decision-making session where a Sponsor and stakeholders review evidence and record an explicit go, no-go, or conditional-go decision, rather than allowing a decision to happen by default.</w:t>
            </w:r>
          </w:p>
        </w:tc>
      </w:tr>
      <w:tr>
        <w:tc>
          <w:tcPr/>
          <w:p>
            <w:pPr>
              <w:pStyle w:val="Compact"/>
              <w:jc w:val="left"/>
            </w:pPr>
            <w:r>
              <w:t xml:space="preserve">Formal sign-off</w:t>
            </w:r>
          </w:p>
        </w:tc>
        <w:tc>
          <w:tcPr/>
          <w:p>
            <w:pPr>
              <w:pStyle w:val="Compact"/>
              <w:jc w:val="left"/>
            </w:pPr>
            <w:r>
              <w:t xml:space="preserve">Obtaining and filing an explicit, written confirmation from an accountable role, creating a durable record of when and why a decision was made.</w:t>
            </w:r>
          </w:p>
        </w:tc>
      </w:tr>
      <w:tr>
        <w:tc>
          <w:tcPr/>
          <w:p>
            <w:pPr>
              <w:pStyle w:val="Compact"/>
              <w:jc w:val="left"/>
            </w:pPr>
            <w:r>
              <w:t xml:space="preserve">Future-state process mapping</w:t>
            </w:r>
          </w:p>
        </w:tc>
        <w:tc>
          <w:tcPr/>
          <w:p>
            <w:pPr>
              <w:pStyle w:val="Compact"/>
              <w:jc w:val="left"/>
            </w:pPr>
            <w:r>
              <w:t xml:space="preserve">Diagramming the target-state workflow step by step, validated against real operating constraints, to serve as the reference every later configuration decision is checked against.</w:t>
            </w:r>
          </w:p>
        </w:tc>
      </w:tr>
      <w:tr>
        <w:tc>
          <w:tcPr/>
          <w:p>
            <w:pPr>
              <w:pStyle w:val="Compact"/>
              <w:jc w:val="left"/>
            </w:pPr>
            <w:r>
              <w:t xml:space="preserve">Go-live announcement</w:t>
            </w:r>
          </w:p>
        </w:tc>
        <w:tc>
          <w:tcPr/>
          <w:p>
            <w:pPr>
              <w:pStyle w:val="Compact"/>
              <w:jc w:val="left"/>
            </w:pPr>
            <w:r>
              <w:t xml:space="preserve">A short, fast communication confirming a system is live and stating where to get help, prioritizing speed and clarity over polish.</w:t>
            </w:r>
          </w:p>
        </w:tc>
      </w:tr>
      <w:tr>
        <w:tc>
          <w:tcPr/>
          <w:p>
            <w:pPr>
              <w:pStyle w:val="Compact"/>
              <w:jc w:val="left"/>
            </w:pPr>
            <w:r>
              <w:t xml:space="preserve">Handover documentation</w:t>
            </w:r>
          </w:p>
        </w:tc>
        <w:tc>
          <w:tcPr/>
          <w:p>
            <w:pPr>
              <w:pStyle w:val="Compact"/>
              <w:jc w:val="left"/>
            </w:pPr>
            <w:r>
              <w:t xml:space="preserve">A single, organized package that gives a receiving owner everything needed to sustain a process or mechanism after the originating team steps back.</w:t>
            </w:r>
          </w:p>
        </w:tc>
      </w:tr>
      <w:tr>
        <w:tc>
          <w:tcPr/>
          <w:p>
            <w:pPr>
              <w:pStyle w:val="Compact"/>
              <w:jc w:val="left"/>
            </w:pPr>
            <w:r>
              <w:t xml:space="preserve">HR policy integration</w:t>
            </w:r>
          </w:p>
        </w:tc>
        <w:tc>
          <w:tcPr/>
          <w:p>
            <w:pPr>
              <w:pStyle w:val="Compact"/>
              <w:jc w:val="left"/>
            </w:pPr>
            <w:r>
              <w:t xml:space="preserve">Confirming, directly with the owning HR function, that an agreed metric or practice is genuinely built into a formal process, not merely documented.</w:t>
            </w:r>
          </w:p>
        </w:tc>
      </w:tr>
      <w:tr>
        <w:tc>
          <w:tcPr/>
          <w:p>
            <w:pPr>
              <w:pStyle w:val="Compact"/>
              <w:jc w:val="left"/>
            </w:pPr>
            <w:r>
              <w:t xml:space="preserve">Incident communication</w:t>
            </w:r>
          </w:p>
        </w:tc>
        <w:tc>
          <w:tcPr/>
          <w:p>
            <w:pPr>
              <w:pStyle w:val="Compact"/>
              <w:jc w:val="left"/>
            </w:pPr>
            <w:r>
              <w:t xml:space="preserve">A prompt, honest status update sent to an affected audience about a known issue, closing an information gap before it gets filled with speculation.</w:t>
            </w:r>
          </w:p>
        </w:tc>
      </w:tr>
      <w:tr>
        <w:tc>
          <w:tcPr/>
          <w:p>
            <w:pPr>
              <w:pStyle w:val="Compact"/>
              <w:jc w:val="left"/>
            </w:pPr>
            <w:r>
              <w:t xml:space="preserve">Incident-linkage check</w:t>
            </w:r>
          </w:p>
        </w:tc>
        <w:tc>
          <w:tcPr/>
          <w:p>
            <w:pPr>
              <w:pStyle w:val="Compact"/>
              <w:jc w:val="left"/>
            </w:pPr>
            <w:r>
              <w:t xml:space="preserve">Systematically checking whether a change in a tracked score can be explained by a specific, known incident before treating it as a broader trend.</w:t>
            </w:r>
          </w:p>
        </w:tc>
      </w:tr>
      <w:tr>
        <w:tc>
          <w:tcPr/>
          <w:p>
            <w:pPr>
              <w:pStyle w:val="Compact"/>
              <w:jc w:val="left"/>
            </w:pPr>
            <w:r>
              <w:t xml:space="preserve">Initiative registration</w:t>
            </w:r>
          </w:p>
        </w:tc>
        <w:tc>
          <w:tcPr/>
          <w:p>
            <w:pPr>
              <w:pStyle w:val="Compact"/>
              <w:jc w:val="left"/>
            </w:pPr>
            <w:r>
              <w:t xml:space="preserve">The administrative act of creating a formal project record — scope, sponsor, timeline — in a system of record, making later tracking and reporting possible.</w:t>
            </w:r>
          </w:p>
        </w:tc>
      </w:tr>
      <w:tr>
        <w:tc>
          <w:tcPr/>
          <w:p>
            <w:pPr>
              <w:pStyle w:val="Compact"/>
              <w:jc w:val="left"/>
            </w:pPr>
            <w:r>
              <w:t xml:space="preserve">Instructor-led session</w:t>
            </w:r>
          </w:p>
        </w:tc>
        <w:tc>
          <w:tcPr/>
          <w:p>
            <w:pPr>
              <w:pStyle w:val="Compact"/>
              <w:jc w:val="left"/>
            </w:pPr>
            <w:r>
              <w:t xml:space="preserve">A live training session with a trainer present to demonstrate, guide practice and answer unscripted questions in real time.</w:t>
            </w:r>
          </w:p>
        </w:tc>
      </w:tr>
      <w:tr>
        <w:tc>
          <w:tcPr/>
          <w:p>
            <w:pPr>
              <w:pStyle w:val="Compact"/>
              <w:jc w:val="left"/>
            </w:pPr>
            <w:r>
              <w:t xml:space="preserve">Integration design workshop</w:t>
            </w:r>
          </w:p>
        </w:tc>
        <w:tc>
          <w:tcPr/>
          <w:p>
            <w:pPr>
              <w:pStyle w:val="Compact"/>
              <w:jc w:val="left"/>
            </w:pPr>
            <w:r>
              <w:t xml:space="preserve">A working session with the owning technical teams on both sides of a system interface to agree the contract — format, frequency, error handling — before any code is written.</w:t>
            </w:r>
          </w:p>
        </w:tc>
      </w:tr>
      <w:tr>
        <w:tc>
          <w:tcPr/>
          <w:p>
            <w:pPr>
              <w:pStyle w:val="Compact"/>
              <w:jc w:val="left"/>
            </w:pPr>
            <w:r>
              <w:t xml:space="preserve">Iterative configuration sprints</w:t>
            </w:r>
          </w:p>
        </w:tc>
        <w:tc>
          <w:tcPr/>
          <w:p>
            <w:pPr>
              <w:pStyle w:val="Compact"/>
              <w:jc w:val="left"/>
            </w:pPr>
            <w:r>
              <w:t xml:space="preserve">Building a system in short, fixed-length increments (commonly 1–2 weeks) with a review at the end of each, rather than one long, unreviewed build phase.</w:t>
            </w:r>
          </w:p>
        </w:tc>
      </w:tr>
      <w:tr>
        <w:tc>
          <w:tcPr/>
          <w:p>
            <w:pPr>
              <w:pStyle w:val="Compact"/>
              <w:jc w:val="left"/>
            </w:pPr>
            <w:r>
              <w:t xml:space="preserve">Job-aid authoring</w:t>
            </w:r>
          </w:p>
        </w:tc>
        <w:tc>
          <w:tcPr/>
          <w:p>
            <w:pPr>
              <w:pStyle w:val="Compact"/>
              <w:jc w:val="left"/>
            </w:pPr>
            <w:r>
              <w:t xml:space="preserve">Producing concise, task-specific reference material — typically one page — covering the small number of transactions a role performs most often.</w:t>
            </w:r>
          </w:p>
        </w:tc>
      </w:tr>
      <w:tr>
        <w:tc>
          <w:tcPr/>
          <w:p>
            <w:pPr>
              <w:pStyle w:val="Compact"/>
              <w:jc w:val="left"/>
            </w:pPr>
            <w:r>
              <w:t xml:space="preserve">KPI-integration workshop</w:t>
            </w:r>
          </w:p>
        </w:tc>
        <w:tc>
          <w:tcPr/>
          <w:p>
            <w:pPr>
              <w:pStyle w:val="Compact"/>
              <w:jc w:val="left"/>
            </w:pPr>
            <w:r>
              <w:t xml:space="preserve">A collaborative session with HR or another owning function to select metrics that are fair, measurable and genuinely tied to the behavior being reinforced.</w:t>
            </w:r>
          </w:p>
        </w:tc>
      </w:tr>
      <w:tr>
        <w:tc>
          <w:tcPr/>
          <w:p>
            <w:pPr>
              <w:pStyle w:val="Compact"/>
              <w:jc w:val="left"/>
            </w:pPr>
            <w:r>
              <w:t xml:space="preserve">Legacy archival</w:t>
            </w:r>
          </w:p>
        </w:tc>
        <w:tc>
          <w:tcPr/>
          <w:p>
            <w:pPr>
              <w:pStyle w:val="Compact"/>
              <w:jc w:val="left"/>
            </w:pPr>
            <w:r>
              <w:t xml:space="preserve">Taking a final, verified snapshot of a system's data before it is decommissioned, preserving it for audit and historical-reporting purposes.</w:t>
            </w:r>
          </w:p>
        </w:tc>
      </w:tr>
      <w:tr>
        <w:tc>
          <w:tcPr/>
          <w:p>
            <w:pPr>
              <w:pStyle w:val="Compact"/>
              <w:jc w:val="left"/>
            </w:pPr>
            <w:r>
              <w:t xml:space="preserve">Lessons-learned retrospective</w:t>
            </w:r>
          </w:p>
        </w:tc>
        <w:tc>
          <w:tcPr/>
          <w:p>
            <w:pPr>
              <w:pStyle w:val="Compact"/>
              <w:jc w:val="left"/>
            </w:pPr>
            <w:r>
              <w:t xml:space="preserve">A facilitated session where a team reviews what worked and what didn't while the experience is still fresh, documenting it for reuse on the next initiative.</w:t>
            </w:r>
          </w:p>
        </w:tc>
      </w:tr>
      <w:tr>
        <w:tc>
          <w:tcPr/>
          <w:p>
            <w:pPr>
              <w:pStyle w:val="Compact"/>
              <w:jc w:val="left"/>
            </w:pPr>
            <w:r>
              <w:t xml:space="preserve">LMS completion tracking</w:t>
            </w:r>
          </w:p>
        </w:tc>
        <w:tc>
          <w:tcPr/>
          <w:p>
            <w:pPr>
              <w:pStyle w:val="Compact"/>
              <w:jc w:val="left"/>
            </w:pPr>
            <w:r>
              <w:t xml:space="preserve">Monitoring the percentage of assigned training content completed by cohort within a learning management system, used as a leading indicator of readiness.</w:t>
            </w:r>
          </w:p>
        </w:tc>
      </w:tr>
      <w:tr>
        <w:tc>
          <w:tcPr/>
          <w:p>
            <w:pPr>
              <w:pStyle w:val="Compact"/>
              <w:jc w:val="left"/>
            </w:pPr>
            <w:r>
              <w:t xml:space="preserve">Manager check-in cadence tracking</w:t>
            </w:r>
          </w:p>
        </w:tc>
        <w:tc>
          <w:tcPr/>
          <w:p>
            <w:pPr>
              <w:pStyle w:val="Compact"/>
              <w:jc w:val="left"/>
            </w:pPr>
            <w:r>
              <w:t xml:space="preserve">Sampling calendars or records to confirm that scheduled check-ins are genuinely occurring, rather than assuming a plan is being followed.</w:t>
            </w:r>
          </w:p>
        </w:tc>
      </w:tr>
      <w:tr>
        <w:tc>
          <w:tcPr/>
          <w:p>
            <w:pPr>
              <w:pStyle w:val="Compact"/>
              <w:jc w:val="left"/>
            </w:pPr>
            <w:r>
              <w:t xml:space="preserve">Mock-run rehearsal</w:t>
            </w:r>
          </w:p>
        </w:tc>
        <w:tc>
          <w:tcPr/>
          <w:p>
            <w:pPr>
              <w:pStyle w:val="Compact"/>
              <w:jc w:val="left"/>
            </w:pPr>
            <w:r>
              <w:t xml:space="preserve">A full, timed rehearsal of an operational sequence (such as a data migration or cutover) against realistic conditions, run before the real event to surface timing and sequencing issues.</w:t>
            </w:r>
          </w:p>
        </w:tc>
      </w:tr>
      <w:tr>
        <w:tc>
          <w:tcPr/>
          <w:p>
            <w:pPr>
              <w:pStyle w:val="Compact"/>
              <w:jc w:val="left"/>
            </w:pPr>
            <w:r>
              <w:t xml:space="preserve">Nomination survey</w:t>
            </w:r>
          </w:p>
        </w:tc>
        <w:tc>
          <w:tcPr/>
          <w:p>
            <w:pPr>
              <w:pStyle w:val="Compact"/>
              <w:jc w:val="left"/>
            </w:pPr>
            <w:r>
              <w:t xml:space="preserve">A short survey asking supervisors or peers to nominate individuals for a role (such as a change champion) based on defined criteria, rather than the role being assigned top-down.</w:t>
            </w:r>
          </w:p>
        </w:tc>
      </w:tr>
      <w:tr>
        <w:tc>
          <w:tcPr/>
          <w:p>
            <w:pPr>
              <w:pStyle w:val="Compact"/>
              <w:jc w:val="left"/>
            </w:pPr>
            <w:r>
              <w:t xml:space="preserve">On-the-job coaching</w:t>
            </w:r>
          </w:p>
        </w:tc>
        <w:tc>
          <w:tcPr/>
          <w:p>
            <w:pPr>
              <w:pStyle w:val="Compact"/>
              <w:jc w:val="left"/>
            </w:pPr>
            <w:r>
              <w:t xml:space="preserve">A brief, targeted coaching interaction delivered at the point of work, focused on one specific skill or step rather than a broader retraining.</w:t>
            </w:r>
          </w:p>
        </w:tc>
      </w:tr>
      <w:tr>
        <w:tc>
          <w:tcPr/>
          <w:p>
            <w:pPr>
              <w:pStyle w:val="Compact"/>
              <w:jc w:val="left"/>
            </w:pPr>
            <w:r>
              <w:t xml:space="preserve">Outlier analysis</w:t>
            </w:r>
          </w:p>
        </w:tc>
        <w:tc>
          <w:tcPr/>
          <w:p>
            <w:pPr>
              <w:pStyle w:val="Compact"/>
              <w:jc w:val="left"/>
            </w:pPr>
            <w:r>
              <w:t xml:space="preserve">Ranking a set of measured entities against a common metric to identify which are furthest from the average, focusing investigation on genuine extremes.</w:t>
            </w:r>
          </w:p>
        </w:tc>
      </w:tr>
      <w:tr>
        <w:tc>
          <w:tcPr/>
          <w:p>
            <w:pPr>
              <w:pStyle w:val="Compact"/>
              <w:jc w:val="left"/>
            </w:pPr>
            <w:r>
              <w:t xml:space="preserve">Participant briefing</w:t>
            </w:r>
          </w:p>
        </w:tc>
        <w:tc>
          <w:tcPr/>
          <w:p>
            <w:pPr>
              <w:pStyle w:val="Compact"/>
              <w:jc w:val="left"/>
            </w:pPr>
            <w:r>
              <w:t xml:space="preserve">A short orientation session that sets expectations, logistics and definitions for participants before an activity begins, so their contributions are usable rather than inconsistent.</w:t>
            </w:r>
          </w:p>
        </w:tc>
      </w:tr>
      <w:tr>
        <w:tc>
          <w:tcPr/>
          <w:p>
            <w:pPr>
              <w:pStyle w:val="Compact"/>
              <w:jc w:val="left"/>
            </w:pPr>
            <w:r>
              <w:t xml:space="preserve">Phase-call annotation</w:t>
            </w:r>
          </w:p>
        </w:tc>
        <w:tc>
          <w:tcPr/>
          <w:p>
            <w:pPr>
              <w:pStyle w:val="Compact"/>
              <w:jc w:val="left"/>
            </w:pPr>
            <w:r>
              <w:t xml:space="preserve">Adding a visible qualifier (such as</w:t>
            </w:r>
            <w:r>
              <w:t xml:space="preserve"> </w:t>
            </w:r>
            <w:r>
              <w:t xml:space="preserve">“</w:t>
            </w:r>
            <w:r>
              <w:t xml:space="preserve">provisional</w:t>
            </w:r>
            <w:r>
              <w:t xml:space="preserve">”</w:t>
            </w:r>
            <w:r>
              <w:t xml:space="preserve">) and rationale to a recorded phase value so that its evidentiary status is clear to everyone who later reads it.</w:t>
            </w:r>
          </w:p>
        </w:tc>
      </w:tr>
      <w:tr>
        <w:tc>
          <w:tcPr/>
          <w:p>
            <w:pPr>
              <w:pStyle w:val="Compact"/>
              <w:jc w:val="left"/>
            </w:pPr>
            <w:r>
              <w:t xml:space="preserve">Policy documentation</w:t>
            </w:r>
          </w:p>
        </w:tc>
        <w:tc>
          <w:tcPr/>
          <w:p>
            <w:pPr>
              <w:pStyle w:val="Compact"/>
              <w:jc w:val="left"/>
            </w:pPr>
            <w:r>
              <w:t xml:space="preserve">Writing a clear, unambiguous definition of a rule or metric so that different people applying it will interpret and apply it consistently.</w:t>
            </w:r>
          </w:p>
        </w:tc>
      </w:tr>
      <w:tr>
        <w:tc>
          <w:tcPr/>
          <w:p>
            <w:pPr>
              <w:pStyle w:val="Compact"/>
              <w:jc w:val="left"/>
            </w:pPr>
            <w:r>
              <w:t xml:space="preserve">Practice-transfer workshop</w:t>
            </w:r>
          </w:p>
        </w:tc>
        <w:tc>
          <w:tcPr/>
          <w:p>
            <w:pPr>
              <w:pStyle w:val="Compact"/>
              <w:jc w:val="left"/>
            </w:pPr>
            <w:r>
              <w:t xml:space="preserve">A working session where a high-performing individual or group demonstrates a specific practice live to a group that has not yet adopted it.</w:t>
            </w:r>
          </w:p>
        </w:tc>
      </w:tr>
      <w:tr>
        <w:tc>
          <w:tcPr/>
          <w:p>
            <w:pPr>
              <w:pStyle w:val="Compact"/>
              <w:jc w:val="left"/>
            </w:pPr>
            <w:r>
              <w:t xml:space="preserve">Pulse Survey</w:t>
            </w:r>
          </w:p>
        </w:tc>
        <w:tc>
          <w:tcPr/>
          <w:p>
            <w:pPr>
              <w:pStyle w:val="Compact"/>
              <w:jc w:val="left"/>
            </w:pPr>
            <w:r>
              <w:t xml:space="preserve">A short, repeatable questionnaire issued to a population or cohort to capture ADKAR, Bridges or Kübler-Ross self-placement at a point in time. Using the identical instrument across waves is what makes wave-over-wave comparison valid; variants in this guide re-score a subset (a cohort, a single ADKAR block, or a single framework item) rather than the full population.</w:t>
            </w:r>
          </w:p>
        </w:tc>
      </w:tr>
      <w:tr>
        <w:tc>
          <w:tcPr/>
          <w:p>
            <w:pPr>
              <w:pStyle w:val="Compact"/>
              <w:jc w:val="left"/>
            </w:pPr>
            <w:r>
              <w:t xml:space="preserve">Readiness scorecard review</w:t>
            </w:r>
          </w:p>
        </w:tc>
        <w:tc>
          <w:tcPr/>
          <w:p>
            <w:pPr>
              <w:pStyle w:val="Compact"/>
              <w:jc w:val="left"/>
            </w:pPr>
            <w:r>
              <w:t xml:space="preserve">Compiling multiple readiness indicators for a cohort into a single comparable scorecard, checked against a common benchmarking band.</w:t>
            </w:r>
          </w:p>
        </w:tc>
      </w:tr>
      <w:tr>
        <w:tc>
          <w:tcPr/>
          <w:p>
            <w:pPr>
              <w:pStyle w:val="Compact"/>
              <w:jc w:val="left"/>
            </w:pPr>
            <w:r>
              <w:t xml:space="preserve">Reconciliation checklist</w:t>
            </w:r>
          </w:p>
        </w:tc>
        <w:tc>
          <w:tcPr/>
          <w:p>
            <w:pPr>
              <w:pStyle w:val="Compact"/>
              <w:jc w:val="left"/>
            </w:pPr>
            <w:r>
              <w:t xml:space="preserve">A structured comparison of record counts, control totals and sampled individual records between a source and a target, used to confirm a data movement was accurate and complete.</w:t>
            </w:r>
          </w:p>
        </w:tc>
      </w:tr>
      <w:tr>
        <w:tc>
          <w:tcPr/>
          <w:p>
            <w:pPr>
              <w:pStyle w:val="Compact"/>
              <w:jc w:val="left"/>
            </w:pPr>
            <w:r>
              <w:t xml:space="preserve">Recurring dashboard reporting</w:t>
            </w:r>
          </w:p>
        </w:tc>
        <w:tc>
          <w:tcPr/>
          <w:p>
            <w:pPr>
              <w:pStyle w:val="Compact"/>
              <w:jc w:val="left"/>
            </w:pPr>
            <w:r>
              <w:t xml:space="preserve">Establishing a metric or view as a standing, recurring part of a reporting cadence rather than a one-time analysis.</w:t>
            </w:r>
          </w:p>
        </w:tc>
      </w:tr>
      <w:tr>
        <w:tc>
          <w:tcPr/>
          <w:p>
            <w:pPr>
              <w:pStyle w:val="Compact"/>
              <w:jc w:val="left"/>
            </w:pPr>
            <w:r>
              <w:t xml:space="preserve">Reinforcement audit checklist</w:t>
            </w:r>
          </w:p>
        </w:tc>
        <w:tc>
          <w:tcPr/>
          <w:p>
            <w:pPr>
              <w:pStyle w:val="Compact"/>
              <w:jc w:val="left"/>
            </w:pPr>
            <w:r>
              <w:t xml:space="preserve">A structured review that checks planned reinforcement mechanisms for evidence they are actually operating, not just documented in a plan.</w:t>
            </w:r>
          </w:p>
        </w:tc>
      </w:tr>
      <w:tr>
        <w:tc>
          <w:tcPr/>
          <w:p>
            <w:pPr>
              <w:pStyle w:val="Compact"/>
              <w:jc w:val="left"/>
            </w:pPr>
            <w:r>
              <w:t xml:space="preserve">Ritual / closure facilitation</w:t>
            </w:r>
          </w:p>
        </w:tc>
        <w:tc>
          <w:tcPr/>
          <w:p>
            <w:pPr>
              <w:pStyle w:val="Compact"/>
              <w:jc w:val="left"/>
            </w:pPr>
            <w:r>
              <w:t xml:space="preserve">A short, deliberate act — symbolic or practical — that explicitly acknowledges an ending, addressing the unmet need for closure that can otherwise prolong a transition.</w:t>
            </w:r>
          </w:p>
        </w:tc>
      </w:tr>
      <w:tr>
        <w:tc>
          <w:tcPr/>
          <w:p>
            <w:pPr>
              <w:pStyle w:val="Compact"/>
              <w:jc w:val="left"/>
            </w:pPr>
            <w:r>
              <w:t xml:space="preserve">Root-cause analysis (5 Whys)</w:t>
            </w:r>
          </w:p>
        </w:tc>
        <w:tc>
          <w:tcPr/>
          <w:p>
            <w:pPr>
              <w:pStyle w:val="Compact"/>
              <w:jc w:val="left"/>
            </w:pPr>
            <w:r>
              <w:t xml:space="preserve">Repeatedly asking</w:t>
            </w:r>
            <w:r>
              <w:t xml:space="preserve"> </w:t>
            </w:r>
            <w:r>
              <w:t xml:space="preserve">“</w:t>
            </w:r>
            <w:r>
              <w:t xml:space="preserve">why</w:t>
            </w:r>
            <w:r>
              <w:t xml:space="preserve">”</w:t>
            </w:r>
            <w:r>
              <w:t xml:space="preserve"> </w:t>
            </w:r>
            <w:r>
              <w:t xml:space="preserve">in response to a stated concern to work back from a surface symptom to its underlying cause, typically five iterations or fewer.</w:t>
            </w:r>
          </w:p>
        </w:tc>
      </w:tr>
      <w:tr>
        <w:tc>
          <w:tcPr/>
          <w:p>
            <w:pPr>
              <w:pStyle w:val="Compact"/>
              <w:jc w:val="left"/>
            </w:pPr>
            <w:r>
              <w:t xml:space="preserve">Root-cause-to-response mapping</w:t>
            </w:r>
          </w:p>
        </w:tc>
        <w:tc>
          <w:tcPr/>
          <w:p>
            <w:pPr>
              <w:pStyle w:val="Compact"/>
              <w:jc w:val="left"/>
            </w:pPr>
            <w:r>
              <w:t xml:space="preserve">Deliberately matching a specific, checkable response to a validated root cause, rather than defaulting to a general reassurance that does not address the actual concern.</w:t>
            </w:r>
          </w:p>
        </w:tc>
      </w:tr>
      <w:tr>
        <w:tc>
          <w:tcPr/>
          <w:p>
            <w:pPr>
              <w:pStyle w:val="Compact"/>
              <w:jc w:val="left"/>
            </w:pPr>
            <w:r>
              <w:t xml:space="preserve">Runbook execution</w:t>
            </w:r>
          </w:p>
        </w:tc>
        <w:tc>
          <w:tcPr/>
          <w:p>
            <w:pPr>
              <w:pStyle w:val="Compact"/>
              <w:jc w:val="left"/>
            </w:pPr>
            <w:r>
              <w:t xml:space="preserve">Working through a detailed, sequenced set of technical steps with a second person confirming each step's completion before the next begins.</w:t>
            </w:r>
          </w:p>
        </w:tc>
      </w:tr>
      <w:tr>
        <w:tc>
          <w:tcPr/>
          <w:p>
            <w:pPr>
              <w:pStyle w:val="Compact"/>
              <w:jc w:val="left"/>
            </w:pPr>
            <w:r>
              <w:t xml:space="preserve">Sandbox provisioning</w:t>
            </w:r>
          </w:p>
        </w:tc>
        <w:tc>
          <w:tcPr/>
          <w:p>
            <w:pPr>
              <w:pStyle w:val="Compact"/>
              <w:jc w:val="left"/>
            </w:pPr>
            <w:r>
              <w:t xml:space="preserve">Standing up a non-production environment loaded with representative data so people can practice without any risk to real operations.</w:t>
            </w:r>
          </w:p>
        </w:tc>
      </w:tr>
      <w:tr>
        <w:tc>
          <w:tcPr/>
          <w:p>
            <w:pPr>
              <w:pStyle w:val="Compact"/>
              <w:jc w:val="left"/>
            </w:pPr>
            <w:r>
              <w:t xml:space="preserve">Scripted test execution</w:t>
            </w:r>
          </w:p>
        </w:tc>
        <w:tc>
          <w:tcPr/>
          <w:p>
            <w:pPr>
              <w:pStyle w:val="Compact"/>
              <w:jc w:val="left"/>
            </w:pPr>
            <w:r>
              <w:t xml:space="preserve">Running a predefined, ordered set of test cases against a system and logging pass/fail against each acceptance criterion, producing a traceable record of what was verified.</w:t>
            </w:r>
          </w:p>
        </w:tc>
      </w:tr>
      <w:tr>
        <w:tc>
          <w:tcPr/>
          <w:p>
            <w:pPr>
              <w:pStyle w:val="Compact"/>
              <w:jc w:val="left"/>
            </w:pPr>
            <w:r>
              <w:t xml:space="preserve">Self-serve FAQ / knowledge base</w:t>
            </w:r>
          </w:p>
        </w:tc>
        <w:tc>
          <w:tcPr/>
          <w:p>
            <w:pPr>
              <w:pStyle w:val="Compact"/>
              <w:jc w:val="left"/>
            </w:pPr>
            <w:r>
              <w:t xml:space="preserve">A searchable, continuously updated repository of common questions and answers that lets people find information without waiting on a person, reducing repeat questions and rumor.</w:t>
            </w:r>
          </w:p>
        </w:tc>
      </w:tr>
      <w:tr>
        <w:tc>
          <w:tcPr/>
          <w:p>
            <w:pPr>
              <w:pStyle w:val="Compact"/>
              <w:jc w:val="left"/>
            </w:pPr>
            <w:r>
              <w:t xml:space="preserve">Sentiment / text analytics</w:t>
            </w:r>
          </w:p>
        </w:tc>
        <w:tc>
          <w:tcPr/>
          <w:p>
            <w:pPr>
              <w:pStyle w:val="Compact"/>
              <w:jc w:val="left"/>
            </w:pPr>
            <w:r>
              <w:t xml:space="preserve">Automated or semi-automated analysis of free-text responses — keyword extraction, theme clustering — to surface recurring concerns that a numeric score alone would miss.</w:t>
            </w:r>
          </w:p>
        </w:tc>
      </w:tr>
      <w:tr>
        <w:tc>
          <w:tcPr/>
          <w:p>
            <w:pPr>
              <w:pStyle w:val="Compact"/>
              <w:jc w:val="left"/>
            </w:pPr>
            <w:r>
              <w:t xml:space="preserve">Service-level handover</w:t>
            </w:r>
          </w:p>
        </w:tc>
        <w:tc>
          <w:tcPr/>
          <w:p>
            <w:pPr>
              <w:pStyle w:val="Compact"/>
              <w:jc w:val="left"/>
            </w:pPr>
            <w:r>
              <w:t xml:space="preserve">A formal transfer of ownership of an ongoing responsibility (such as a support queue) from a temporary elevated team back to the standing team.</w:t>
            </w:r>
          </w:p>
        </w:tc>
      </w:tr>
      <w:tr>
        <w:tc>
          <w:tcPr/>
          <w:p>
            <w:pPr>
              <w:pStyle w:val="Compact"/>
              <w:jc w:val="left"/>
            </w:pPr>
            <w:r>
              <w:t xml:space="preserve">Severity-based defect triage</w:t>
            </w:r>
          </w:p>
        </w:tc>
        <w:tc>
          <w:tcPr/>
          <w:p>
            <w:pPr>
              <w:pStyle w:val="Compact"/>
              <w:jc w:val="left"/>
            </w:pPr>
            <w:r>
              <w:t xml:space="preserve">Re-ordering a defect queue by business impact each review cycle, so high-severity issues are addressed regardless of when they were originally logged.</w:t>
            </w:r>
          </w:p>
        </w:tc>
      </w:tr>
      <w:tr>
        <w:tc>
          <w:tcPr/>
          <w:p>
            <w:pPr>
              <w:pStyle w:val="Compact"/>
              <w:jc w:val="left"/>
            </w:pPr>
            <w:r>
              <w:t xml:space="preserve">Shift-based support roster</w:t>
            </w:r>
          </w:p>
        </w:tc>
        <w:tc>
          <w:tcPr/>
          <w:p>
            <w:pPr>
              <w:pStyle w:val="Compact"/>
              <w:jc w:val="left"/>
            </w:pPr>
            <w:r>
              <w:t xml:space="preserve">A published schedule assigning named coverage, including backups, across every shift of a defined support period.</w:t>
            </w:r>
          </w:p>
        </w:tc>
      </w:tr>
      <w:tr>
        <w:tc>
          <w:tcPr/>
          <w:p>
            <w:pPr>
              <w:pStyle w:val="Compact"/>
              <w:jc w:val="left"/>
            </w:pPr>
            <w:r>
              <w:t xml:space="preserve">Show-and-tell demo</w:t>
            </w:r>
          </w:p>
        </w:tc>
        <w:tc>
          <w:tcPr/>
          <w:p>
            <w:pPr>
              <w:pStyle w:val="Compact"/>
              <w:jc w:val="left"/>
            </w:pPr>
            <w:r>
              <w:t xml:space="preserve">A short, informal walkthrough of current work-in-progress for stakeholders, designed to surface misunderstandings while they are still cheap to fix.</w:t>
            </w:r>
          </w:p>
        </w:tc>
      </w:tr>
      <w:tr>
        <w:tc>
          <w:tcPr/>
          <w:p>
            <w:pPr>
              <w:pStyle w:val="Compact"/>
              <w:jc w:val="left"/>
            </w:pPr>
            <w:r>
              <w:t xml:space="preserve">Sign-off checklist</w:t>
            </w:r>
          </w:p>
        </w:tc>
        <w:tc>
          <w:tcPr/>
          <w:p>
            <w:pPr>
              <w:pStyle w:val="Compact"/>
              <w:jc w:val="left"/>
            </w:pPr>
            <w:r>
              <w:t xml:space="preserve">A concise, structured document that a named accountable role signs to formally confirm a set of conditions has been met before the next phase begins.</w:t>
            </w:r>
          </w:p>
        </w:tc>
      </w:tr>
      <w:tr>
        <w:tc>
          <w:tcPr/>
          <w:p>
            <w:pPr>
              <w:pStyle w:val="Compact"/>
              <w:jc w:val="left"/>
            </w:pPr>
            <w:r>
              <w:t xml:space="preserve">Skills checklist / practical assessment</w:t>
            </w:r>
          </w:p>
        </w:tc>
        <w:tc>
          <w:tcPr/>
          <w:p>
            <w:pPr>
              <w:pStyle w:val="Compact"/>
              <w:jc w:val="left"/>
            </w:pPr>
            <w:r>
              <w:t xml:space="preserve">A hands-on evaluation, scored against a fixed rubric, that verifies someone can actually perform a task under near-real conditions — not just describe how to do it.</w:t>
            </w:r>
          </w:p>
        </w:tc>
      </w:tr>
      <w:tr>
        <w:tc>
          <w:tcPr/>
          <w:p>
            <w:pPr>
              <w:pStyle w:val="Compact"/>
              <w:jc w:val="left"/>
            </w:pPr>
            <w:r>
              <w:t xml:space="preserve">Smoke testing</w:t>
            </w:r>
          </w:p>
        </w:tc>
        <w:tc>
          <w:tcPr/>
          <w:p>
            <w:pPr>
              <w:pStyle w:val="Compact"/>
              <w:jc w:val="left"/>
            </w:pPr>
            <w:r>
              <w:t xml:space="preserve">A short set of high-priority transactions run end to end immediately after a system change, to catch a production-only failure before wider use begins.</w:t>
            </w:r>
          </w:p>
        </w:tc>
      </w:tr>
      <w:tr>
        <w:tc>
          <w:tcPr/>
          <w:p>
            <w:pPr>
              <w:pStyle w:val="Compact"/>
              <w:jc w:val="left"/>
            </w:pPr>
            <w:r>
              <w:t xml:space="preserve">Sponsor re-engagement workshop</w:t>
            </w:r>
          </w:p>
        </w:tc>
        <w:tc>
          <w:tcPr/>
          <w:p>
            <w:pPr>
              <w:pStyle w:val="Compact"/>
              <w:jc w:val="left"/>
            </w:pPr>
            <w:r>
              <w:t xml:space="preserve">A short session to re-secure a Sponsor's active attention and authority for a activity that has continued past its originally planned end date.</w:t>
            </w:r>
          </w:p>
        </w:tc>
      </w:tr>
      <w:tr>
        <w:tc>
          <w:tcPr/>
          <w:p>
            <w:pPr>
              <w:pStyle w:val="Compact"/>
              <w:jc w:val="left"/>
            </w:pPr>
            <w:r>
              <w:t xml:space="preserve">Steering readout</w:t>
            </w:r>
          </w:p>
        </w:tc>
        <w:tc>
          <w:tcPr/>
          <w:p>
            <w:pPr>
              <w:pStyle w:val="Compact"/>
              <w:jc w:val="left"/>
            </w:pPr>
            <w:r>
              <w:t xml:space="preserve">A concise, evidence-based presentation to a governance body that states findings and a clear recommendation, rather than an open-ended status update.</w:t>
            </w:r>
          </w:p>
        </w:tc>
      </w:tr>
      <w:tr>
        <w:tc>
          <w:tcPr/>
          <w:p>
            <w:pPr>
              <w:pStyle w:val="Compact"/>
              <w:jc w:val="left"/>
            </w:pPr>
            <w:r>
              <w:t xml:space="preserve">Stratified sampling</w:t>
            </w:r>
          </w:p>
        </w:tc>
        <w:tc>
          <w:tcPr/>
          <w:p>
            <w:pPr>
              <w:pStyle w:val="Compact"/>
              <w:jc w:val="left"/>
            </w:pPr>
            <w:r>
              <w:t xml:space="preserve">Selecting participants proportionally across defined subgroups (role, site, tenure) so that no single subgroup dominates a sample meant to represent the whole population.</w:t>
            </w:r>
          </w:p>
        </w:tc>
      </w:tr>
      <w:tr>
        <w:tc>
          <w:tcPr/>
          <w:p>
            <w:pPr>
              <w:pStyle w:val="Compact"/>
              <w:jc w:val="left"/>
            </w:pPr>
            <w:r>
              <w:t xml:space="preserve">Structured interview</w:t>
            </w:r>
          </w:p>
        </w:tc>
        <w:tc>
          <w:tcPr/>
          <w:p>
            <w:pPr>
              <w:pStyle w:val="Compact"/>
              <w:jc w:val="left"/>
            </w:pPr>
            <w:r>
              <w:t xml:space="preserve">A one-to-one conversation run against a fixed question guide, recorded and coded afterward, used to surface individual perspectives that don't reliably emerge in a group setting.</w:t>
            </w:r>
          </w:p>
        </w:tc>
      </w:tr>
      <w:tr>
        <w:tc>
          <w:tcPr/>
          <w:p>
            <w:pPr>
              <w:pStyle w:val="Compact"/>
              <w:jc w:val="left"/>
            </w:pPr>
            <w:r>
              <w:t xml:space="preserve">Supervisor workshop</w:t>
            </w:r>
          </w:p>
        </w:tc>
        <w:tc>
          <w:tcPr/>
          <w:p>
            <w:pPr>
              <w:pStyle w:val="Compact"/>
              <w:jc w:val="left"/>
            </w:pPr>
            <w:r>
              <w:t xml:space="preserve">A structured session that prepares frontline supervisors for a specific responsibility — such as real-time coaching — through explanation, example and practice.</w:t>
            </w:r>
          </w:p>
        </w:tc>
      </w:tr>
      <w:tr>
        <w:tc>
          <w:tcPr/>
          <w:p>
            <w:pPr>
              <w:pStyle w:val="Compact"/>
              <w:jc w:val="left"/>
            </w:pPr>
            <w:r>
              <w:t xml:space="preserve">Taper-readiness checklist</w:t>
            </w:r>
          </w:p>
        </w:tc>
        <w:tc>
          <w:tcPr/>
          <w:p>
            <w:pPr>
              <w:pStyle w:val="Compact"/>
              <w:jc w:val="left"/>
            </w:pPr>
            <w:r>
              <w:t xml:space="preserve">A structured check confirming that key metrics have held at target for a defined period before support levels are stepped down.</w:t>
            </w:r>
          </w:p>
        </w:tc>
      </w:tr>
      <w:tr>
        <w:tc>
          <w:tcPr/>
          <w:p>
            <w:pPr>
              <w:pStyle w:val="Compact"/>
              <w:jc w:val="left"/>
            </w:pPr>
            <w:r>
              <w:t xml:space="preserve">Targeted 1:1</w:t>
            </w:r>
          </w:p>
        </w:tc>
        <w:tc>
          <w:tcPr/>
          <w:p>
            <w:pPr>
              <w:pStyle w:val="Compact"/>
              <w:jc w:val="left"/>
            </w:pPr>
            <w:r>
              <w:t xml:space="preserve">A focused one-to-one conversation aimed at a specific, narrow question (such as confirming a flagged pattern), rather than a general check-in.</w:t>
            </w:r>
          </w:p>
        </w:tc>
      </w:tr>
      <w:tr>
        <w:tc>
          <w:tcPr/>
          <w:p>
            <w:pPr>
              <w:pStyle w:val="Compact"/>
              <w:jc w:val="left"/>
            </w:pPr>
            <w:r>
              <w:t xml:space="preserve">Targeted in-context coaching</w:t>
            </w:r>
          </w:p>
        </w:tc>
        <w:tc>
          <w:tcPr/>
          <w:p>
            <w:pPr>
              <w:pStyle w:val="Compact"/>
              <w:jc w:val="left"/>
            </w:pPr>
            <w:r>
              <w:t xml:space="preserve">A short, one-on-one coaching session delivered at the person's own workstation, focused narrowly on the specific step that caused difficulty.</w:t>
            </w:r>
          </w:p>
        </w:tc>
      </w:tr>
      <w:tr>
        <w:tc>
          <w:tcPr/>
          <w:p>
            <w:pPr>
              <w:pStyle w:val="Compact"/>
              <w:jc w:val="left"/>
            </w:pPr>
            <w:r>
              <w:t xml:space="preserve">Team huddle</w:t>
            </w:r>
          </w:p>
        </w:tc>
        <w:tc>
          <w:tcPr/>
          <w:p>
            <w:pPr>
              <w:pStyle w:val="Compact"/>
              <w:jc w:val="left"/>
            </w:pPr>
            <w:r>
              <w:t xml:space="preserve">A short, standing gathering where a leader addresses the team directly and names a situation openly, typically followed by a concrete next step.</w:t>
            </w:r>
          </w:p>
        </w:tc>
      </w:tr>
      <w:tr>
        <w:tc>
          <w:tcPr/>
          <w:p>
            <w:pPr>
              <w:pStyle w:val="Compact"/>
              <w:jc w:val="left"/>
            </w:pPr>
            <w:r>
              <w:t xml:space="preserve">Threshold-triggered flagging</w:t>
            </w:r>
          </w:p>
        </w:tc>
        <w:tc>
          <w:tcPr/>
          <w:p>
            <w:pPr>
              <w:pStyle w:val="Compact"/>
              <w:jc w:val="left"/>
            </w:pPr>
            <w:r>
              <w:t xml:space="preserve">Confirming that an automated rule which fires when a score crosses a defined threshold has actually been reviewed by a person, not silently dismissed.</w:t>
            </w:r>
          </w:p>
        </w:tc>
      </w:tr>
      <w:tr>
        <w:tc>
          <w:tcPr/>
          <w:p>
            <w:pPr>
              <w:pStyle w:val="Compact"/>
              <w:jc w:val="left"/>
            </w:pPr>
            <w:r>
              <w:t xml:space="preserve">Ticket-tagging taxonomy</w:t>
            </w:r>
          </w:p>
        </w:tc>
        <w:tc>
          <w:tcPr/>
          <w:p>
            <w:pPr>
              <w:pStyle w:val="Compact"/>
              <w:jc w:val="left"/>
            </w:pPr>
            <w:r>
              <w:t xml:space="preserve">A consistent tagging scheme applied to support tickets (for example, by process step) so that recurring patterns become visible in aggregate rather than hidden across individual tickets.</w:t>
            </w:r>
          </w:p>
        </w:tc>
      </w:tr>
      <w:tr>
        <w:tc>
          <w:tcPr/>
          <w:p>
            <w:pPr>
              <w:pStyle w:val="Compact"/>
              <w:jc w:val="left"/>
            </w:pPr>
            <w:r>
              <w:t xml:space="preserve">Trend analysis</w:t>
            </w:r>
          </w:p>
        </w:tc>
        <w:tc>
          <w:tcPr/>
          <w:p>
            <w:pPr>
              <w:pStyle w:val="Compact"/>
              <w:jc w:val="left"/>
            </w:pPr>
            <w:r>
              <w:t xml:space="preserve">Comparing the same measurement across two or more points in time to identify direction and rate of change, rather than relying on a single snapshot.</w:t>
            </w:r>
          </w:p>
        </w:tc>
      </w:tr>
      <w:tr>
        <w:tc>
          <w:tcPr/>
          <w:p>
            <w:pPr>
              <w:pStyle w:val="Compact"/>
              <w:jc w:val="left"/>
            </w:pPr>
            <w:r>
              <w:t xml:space="preserve">Usability friction log</w:t>
            </w:r>
          </w:p>
        </w:tc>
        <w:tc>
          <w:tcPr/>
          <w:p>
            <w:pPr>
              <w:pStyle w:val="Compact"/>
              <w:jc w:val="left"/>
            </w:pPr>
            <w:r>
              <w:t xml:space="preserve">A classification system that tags every reported issue as a defect, a usability problem, or a training gap, so each is routed to the team that can actually fix it.</w:t>
            </w:r>
          </w:p>
        </w:tc>
      </w:tr>
      <w:tr>
        <w:tc>
          <w:tcPr/>
          <w:p>
            <w:pPr>
              <w:pStyle w:val="Compact"/>
              <w:jc w:val="left"/>
            </w:pPr>
            <w:r>
              <w:t xml:space="preserve">Weighted index calculation</w:t>
            </w:r>
          </w:p>
        </w:tc>
        <w:tc>
          <w:tcPr/>
          <w:p>
            <w:pPr>
              <w:pStyle w:val="Compact"/>
              <w:jc w:val="left"/>
            </w:pPr>
            <w:r>
              <w:t xml:space="preserve">Combining multiple underlying scores into a single blended metric using fixed, published weights, so the composite number is transparent and reproducible.</w:t>
            </w:r>
          </w:p>
        </w:tc>
      </w:tr>
    </w:tbl>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r>
      <w:rPr>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journi — Running an ERP Implementation on journi (POWERACT Consulting)</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2026-08-24T18:21:01Z</dcterms:created>
  <dcterms:modified xsi:type="dcterms:W3CDTF">2026-08-24T18:21:01Z</dcterms:modified>
</cp:coreProperties>
</file>

<file path=docProps/custom.xml><?xml version="1.0" encoding="utf-8"?>
<Properties xmlns="http://schemas.openxmlformats.org/officeDocument/2006/custom-properties" xmlns:vt="http://schemas.openxmlformats.org/officeDocument/2006/docPropsVTypes"/>
</file>