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journi-gap-analysis"/>
    <w:p>
      <w:pPr>
        <w:pStyle w:val="Title"/>
        <w:jc w:val="center"/>
      </w:pPr>
      <w:r>
        <w:rPr>
          <w:b/>
          <w:i w:val="0"/>
          <w:color w:val="1F4B45"/>
          <w:sz w:val="64"/>
        </w:rPr>
        <w:t xml:space="preserve">journi — Gap Analysis</w:t>
      </w:r>
    </w:p>
    <w:p>
      <w:pPr>
        <w:pStyle w:val="FirstParagraph"/>
        <w:jc w:val="center"/>
      </w:pPr>
      <w:r>
        <w:rPr>
          <w:bCs/>
          <w:b w:val="0"/>
          <w:i/>
          <w:color w:val="333333"/>
          <w:sz w:val="30"/>
        </w:rPr>
        <w:t xml:space="preserve">Comparing the delivered application against the requirement source set</w:t>
      </w:r>
    </w:p>
    <w:p>
      <w:pPr>
        <w:pStyle w:val="BodyText"/>
        <w:jc w:val="center"/>
      </w:pPr>
      <w:r>
        <w:rPr>
          <w:b w:val="0"/>
          <w:i w:val="0"/>
          <w:color w:val="333333"/>
          <w:sz w:val="24"/>
        </w:rPr>
        <w:t xml:space="preserve">Prepared for POWERACT Consulting — Chief Innovation Officer, Mounire</w:t>
      </w:r>
      <w:r>
        <w:rPr>
          <w:b w:val="0"/>
          <w:i w:val="0"/>
          <w:color w:val="333333"/>
          <w:sz w:val="24"/>
        </w:rPr>
        <w:t xml:space="preserve"> </w:t>
      </w:r>
      <w:r>
        <w:rPr>
          <w:b w:val="0"/>
          <w:i w:val="0"/>
          <w:color w:val="333333"/>
          <w:sz w:val="24"/>
        </w:rPr>
        <w:t xml:space="preserve">Prepared by: Claude (development session)</w:t>
      </w:r>
      <w:r>
        <w:rPr>
          <w:b w:val="0"/>
          <w:i w:val="0"/>
          <w:color w:val="333333"/>
          <w:sz w:val="24"/>
        </w:rPr>
        <w:t xml:space="preserve"> </w:t>
      </w:r>
      <w:r>
        <w:rPr>
          <w:b w:val="0"/>
          <w:i w:val="0"/>
          <w:color w:val="333333"/>
          <w:sz w:val="24"/>
        </w:rPr>
        <w:t xml:space="preserve">Date: August 2026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rPr>
          <w:b/>
          <w:color w:val="275650"/>
        </w:rP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purpose-and-sources">
        <w:r>
          <w:rPr>
            <w:rStyle w:val="Hyperlink"/>
          </w:rPr>
          <w:t xml:space="preserve">Purpose and Sources</w:t>
        </w:r>
      </w:hyperlink>
    </w:p>
    <w:p>
      <w:pPr>
        <w:numPr>
          <w:ilvl w:val="0"/>
          <w:numId w:val="1001"/>
        </w:numPr>
        <w:pStyle w:val="Compact"/>
      </w:pPr>
      <w:hyperlink w:anchor="X102b2e9de4183984340b81b0bb402a984d3925a">
        <w:r>
          <w:rPr>
            <w:rStyle w:val="Hyperlink"/>
          </w:rPr>
          <w:t xml:space="preserve">1. Executive Summary</w:t>
        </w:r>
      </w:hyperlink>
    </w:p>
    <w:p>
      <w:pPr>
        <w:numPr>
          <w:ilvl w:val="0"/>
          <w:numId w:val="1001"/>
        </w:numPr>
        <w:pStyle w:val="Compact"/>
      </w:pPr>
      <w:hyperlink w:anchor="Xa748996d2cb9ff485cc2f1b3dc0ebe1408173b6">
        <w:r>
          <w:rPr>
            <w:rStyle w:val="Hyperlink"/>
          </w:rPr>
          <w:t xml:space="preserve">2. Critical Source-Consistency Findings</w:t>
        </w:r>
      </w:hyperlink>
    </w:p>
    <w:p>
      <w:pPr>
        <w:numPr>
          <w:ilvl w:val="1"/>
          <w:numId w:val="1002"/>
        </w:numPr>
        <w:pStyle w:val="Compact"/>
      </w:pPr>
      <w:hyperlink w:anchor="finding-a">
        <w:r>
          <w:rPr>
            <w:rStyle w:val="Hyperlink"/>
          </w:rPr>
          <w:t xml:space="preserve">Finding A — The 4 core E2E processes</w:t>
        </w:r>
      </w:hyperlink>
    </w:p>
    <w:p>
      <w:pPr>
        <w:numPr>
          <w:ilvl w:val="1"/>
          <w:numId w:val="1002"/>
        </w:numPr>
        <w:pStyle w:val="Compact"/>
      </w:pPr>
      <w:hyperlink w:anchor="finding-b">
        <w:r>
          <w:rPr>
            <w:rStyle w:val="Hyperlink"/>
          </w:rPr>
          <w:t xml:space="preserve">Finding B — 7 vs. 8 transformation types</w:t>
        </w:r>
      </w:hyperlink>
    </w:p>
    <w:p>
      <w:pPr>
        <w:numPr>
          <w:ilvl w:val="1"/>
          <w:numId w:val="1002"/>
        </w:numPr>
        <w:pStyle w:val="Compact"/>
      </w:pPr>
      <w:hyperlink w:anchor="finding-c">
        <w:r>
          <w:rPr>
            <w:rStyle w:val="Hyperlink"/>
          </w:rPr>
          <w:t xml:space="preserve">Finding C 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RACSI</w:t>
        </w:r>
        <w:r>
          <w:rPr>
            <w:rStyle w:val="Hyperlink"/>
          </w:rPr>
          <w:t xml:space="preserve">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RASCI</w:t>
        </w:r>
        <w:r>
          <w:rPr>
            <w:rStyle w:val="Hyperlink"/>
          </w:rPr>
          <w:t xml:space="preserve">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naming</w:t>
        </w:r>
      </w:hyperlink>
    </w:p>
    <w:p>
      <w:pPr>
        <w:numPr>
          <w:ilvl w:val="0"/>
          <w:numId w:val="1001"/>
        </w:numPr>
        <w:pStyle w:val="Compact"/>
      </w:pPr>
      <w:hyperlink w:anchor="X8fbd39b7d6f0e9106bbbb4f928df207ca2f39af">
        <w:r>
          <w:rPr>
            <w:rStyle w:val="Hyperlink"/>
          </w:rPr>
          <w:t xml:space="preserve">3. Requirement-by-Requirement Status (D13)</w:t>
        </w:r>
      </w:hyperlink>
    </w:p>
    <w:p>
      <w:pPr>
        <w:numPr>
          <w:ilvl w:val="0"/>
          <w:numId w:val="1001"/>
        </w:numPr>
        <w:pStyle w:val="Compact"/>
      </w:pPr>
      <w:hyperlink w:anchor="X8625d92012e48446a639f096813498eaeb4e696">
        <w:r>
          <w:rPr>
            <w:rStyle w:val="Hyperlink"/>
          </w:rPr>
          <w:t xml:space="preserve">4. Gaps Beyond the REQ-001–024 List</w:t>
        </w:r>
      </w:hyperlink>
    </w:p>
    <w:p>
      <w:pPr>
        <w:numPr>
          <w:ilvl w:val="1"/>
          <w:numId w:val="1003"/>
        </w:numPr>
        <w:pStyle w:val="Compact"/>
      </w:pPr>
      <w:hyperlink w:anchor="X31e3ce685e4d12b3a9922e939d2f8b477fea8d8">
        <w:r>
          <w:rPr>
            <w:rStyle w:val="Hyperlink"/>
          </w:rPr>
          <w:t xml:space="preserve">4.1 CM Charters</w:t>
        </w:r>
      </w:hyperlink>
    </w:p>
    <w:p>
      <w:pPr>
        <w:numPr>
          <w:ilvl w:val="1"/>
          <w:numId w:val="1003"/>
        </w:numPr>
        <w:pStyle w:val="Compact"/>
      </w:pPr>
      <w:hyperlink w:anchor="X96a81989f24395a6e9132688f0b21e9b0f48708">
        <w:r>
          <w:rPr>
            <w:rStyle w:val="Hyperlink"/>
          </w:rPr>
          <w:t xml:space="preserve">4.2 Stakeholder Journeys, Touchpoints &amp; Journey Analytics</w:t>
        </w:r>
      </w:hyperlink>
    </w:p>
    <w:p>
      <w:pPr>
        <w:numPr>
          <w:ilvl w:val="1"/>
          <w:numId w:val="1003"/>
        </w:numPr>
        <w:pStyle w:val="Compact"/>
      </w:pPr>
      <w:hyperlink w:anchor="X686da40edb36331fc475c7f54b427c2a30cb5da">
        <w:r>
          <w:rPr>
            <w:rStyle w:val="Hyperlink"/>
          </w:rPr>
          <w:t xml:space="preserve">4.3 Refinements to the Module 18 Phase Gate / Checklist feature</w:t>
        </w:r>
      </w:hyperlink>
    </w:p>
    <w:p>
      <w:pPr>
        <w:numPr>
          <w:ilvl w:val="1"/>
          <w:numId w:val="1003"/>
        </w:numPr>
        <w:pStyle w:val="Compact"/>
      </w:pPr>
      <w:hyperlink w:anchor="Xeffaece17a6c514c39c916f1f33f847f405787b">
        <w:r>
          <w:rPr>
            <w:rStyle w:val="Hyperlink"/>
          </w:rPr>
          <w:t xml:space="preserve">4.4 Cross-Type Comparison Matrix</w:t>
        </w:r>
      </w:hyperlink>
    </w:p>
    <w:p>
      <w:pPr>
        <w:numPr>
          <w:ilvl w:val="1"/>
          <w:numId w:val="1003"/>
        </w:numPr>
        <w:pStyle w:val="Compact"/>
      </w:pPr>
      <w:hyperlink w:anchor="Xd755605828e0dd54954f012b2e0f08eb82e0fca">
        <w:r>
          <w:rPr>
            <w:rStyle w:val="Hyperlink"/>
          </w:rPr>
          <w:t xml:space="preserve">4.5 Report export formats &amp; Alerts/notification channels</w:t>
        </w:r>
      </w:hyperlink>
    </w:p>
    <w:p>
      <w:pPr>
        <w:numPr>
          <w:ilvl w:val="0"/>
          <w:numId w:val="1001"/>
        </w:numPr>
        <w:pStyle w:val="Compact"/>
      </w:pPr>
      <w:hyperlink w:anchor="X76fd7b4e7f2fb2509a537f283fc39ef215ec175">
        <w:r>
          <w:rPr>
            <w:rStyle w:val="Hyperlink"/>
          </w:rPr>
          <w:t xml:space="preserve">5. What’s Fully Aligned</w:t>
        </w:r>
      </w:hyperlink>
    </w:p>
    <w:p>
      <w:pPr>
        <w:numPr>
          <w:ilvl w:val="0"/>
          <w:numId w:val="1001"/>
        </w:numPr>
        <w:pStyle w:val="Compact"/>
      </w:pPr>
      <w:hyperlink w:anchor="Xd0dac9fb64d64386d9489148e6b0be3292f19ab">
        <w:r>
          <w:rPr>
            <w:rStyle w:val="Hyperlink"/>
          </w:rPr>
          <w:t xml:space="preserve">6. Architectural Divergence, By Design</w:t>
        </w:r>
      </w:hyperlink>
    </w:p>
    <w:p>
      <w:pPr>
        <w:numPr>
          <w:ilvl w:val="0"/>
          <w:numId w:val="1001"/>
        </w:numPr>
        <w:pStyle w:val="Compact"/>
      </w:pPr>
      <w:hyperlink w:anchor="X278730baaca44a98c83e71a60bd975634263ef7">
        <w:r>
          <w:rPr>
            <w:rStyle w:val="Hyperlink"/>
          </w:rPr>
          <w:t xml:space="preserve">7. Recommendations, in Priority Order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purpose-and-sources"/>
    <w:p>
      <w:pPr>
        <w:pStyle w:val="Heading2"/>
      </w:pPr>
      <w:r>
        <w:rPr>
          <w:b/>
          <w:color w:val="275650"/>
        </w:rPr>
        <w:t xml:space="preserve">Purpose and Sources</w:t>
      </w:r>
    </w:p>
    <w:p>
      <w:pPr>
        <w:pStyle w:val="FirstParagraph"/>
      </w:pPr>
      <w:r>
        <w:t xml:space="preserve">This report compares journi’s</w:t>
      </w:r>
      <w:r>
        <w:t xml:space="preserve"> </w:t>
      </w:r>
      <w:r>
        <w:rPr>
          <w:bCs/>
          <w:b/>
        </w:rPr>
        <w:t xml:space="preserve">current implementation</w:t>
      </w:r>
      <w:r>
        <w:t xml:space="preserve"> </w:t>
      </w:r>
      <w:r>
        <w:t xml:space="preserve">(the application in</w:t>
      </w:r>
      <w:r>
        <w:t xml:space="preserve"> </w:t>
      </w:r>
      <w:r>
        <w:rPr>
          <w:rStyle w:val="VerbatimChar"/>
        </w:rPr>
        <w:t xml:space="preserve">journi/</w:t>
      </w:r>
      <w:r>
        <w:t xml:space="preserve">, as described by</w:t>
      </w:r>
      <w:r>
        <w:t xml:space="preserve"> </w:t>
      </w:r>
      <w:r>
        <w:rPr>
          <w:rStyle w:val="VerbatimChar"/>
        </w:rPr>
        <w:t xml:space="preserve">journi_spec.md</w:t>
      </w:r>
      <w:r>
        <w:t xml:space="preserve"> </w:t>
      </w:r>
      <w:r>
        <w:t xml:space="preserve">v1.4) against the requirement source set supplied across this engagement: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Source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What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01_CR1_E2E_addendum.docx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Change Request that extended journi from 3 to 8 transformation types, each with a Default E2E Process and Phase Template.</w:t>
            </w:r>
            <w:r>
              <w:t xml:space="preserve"> </w:t>
            </w:r>
            <w:r>
              <w:rPr>
                <w:bCs/>
                <w:b/>
              </w:rPr>
              <w:t xml:space="preserve">Already fully implemented</w:t>
            </w:r>
            <w:r>
              <w:t xml:space="preserve"> </w:t>
            </w:r>
            <w:r>
              <w:t xml:space="preserve">in a prior session.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02__journi_EndtoEnd_Process_Catalogue.docx</w:t>
            </w:r>
            <w:r>
              <w:t xml:space="preserve"> </w:t>
            </w:r>
            <w:r>
              <w:t xml:space="preserve">(v1.1)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narrative catalogue of all 16 End-to-End (E2E) processes — the 4 registered core chains, 4 proposed cross-cutting loops, and 8 transformation-type lifecycles — each with description, related macro processes/modules, stakeholders, a BPMN-style flow, and a RASCI 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journi — Framework Interaction Map v2.3.docx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framework-to-framework interaction model; Section 11 is the authoritative source for the 4 core E2E processes’ macro-process composition.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journi_Deliverables_D01-D10_D15_D26.xlsx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 Processes, Tasks/Steps, Business Rules, Actions Registry, Controls, Risks, KPI Library, Alerts, Reports, Info Model, Data Dictionary, AI Use Cases + governance, Modules &amp; Tiers.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journi_Deliverables_D11-D29_ExclD15D26.xlsx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Tools/Interfaces, Physical Data Model,</w:t>
            </w:r>
            <w:r>
              <w:t xml:space="preserve"> </w:t>
            </w:r>
            <w:r>
              <w:rPr>
                <w:bCs/>
                <w:b/>
              </w:rPr>
              <w:t xml:space="preserve">Application Requirements (D13 — the master REQ-001–REQ-024 traceability list)</w:t>
            </w:r>
            <w:r>
              <w:t xml:space="preserve">, BPMN Orchestration, Tenant Hierarchy, Catalogs, Components, Automation Decision, Project Registry, Org Profile, Journey Stage Templates, Charters (D31 family), Journeys/Touchpoints/Analytics (D27–D29), and the WBS/Phase governance family (D32a–D32k).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CD_D30_Licensing_Implementation_Schema.docx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Cross-referenced where relevant (License &amp; Plan panel, Module 2).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Standing architectural note, carried forward from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journi_spec.md</w:t>
      </w:r>
      <w:r>
        <w:rPr>
          <w:bCs/>
          <w:b/>
        </w:rPr>
        <w:t xml:space="preserve"> </w:t>
      </w:r>
      <w:r>
        <w:rPr>
          <w:bCs/>
          <w:b/>
        </w:rPr>
        <w:t xml:space="preserve">Section 2.4:</w:t>
      </w:r>
      <w:r>
        <w:t xml:space="preserve"> </w:t>
      </w:r>
      <w:r>
        <w:t xml:space="preserve">journi is deliberately a</w:t>
      </w:r>
      <w:r>
        <w:t xml:space="preserve"> </w:t>
      </w:r>
      <w:r>
        <w:rPr>
          <w:bCs/>
          <w:b/>
        </w:rPr>
        <w:t xml:space="preserve">client-side-only</w:t>
      </w:r>
      <w:r>
        <w:t xml:space="preserve"> </w:t>
      </w:r>
      <w:r>
        <w:t xml:space="preserve">reference build (browser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no backend). Several source documents — most visibly D02–D05, D09–D12, D14, D18–D20, and REQ-024 itself — describe a server-backed platform with a BPMN/DMN workflow engine, a COSO-style control-testing framework, and durable server persistence. That gap is</w:t>
      </w:r>
      <w:r>
        <w:t xml:space="preserve"> </w:t>
      </w:r>
      <w:r>
        <w:rPr>
          <w:bCs/>
          <w:b/>
        </w:rPr>
        <w:t xml:space="preserve">by design and already documented</w:t>
      </w:r>
      <w:r>
        <w:t xml:space="preserve">, not re-litigated item-by-item below; it is called out once, in Section 6.</w:t>
      </w:r>
    </w:p>
    <w:p>
      <w:r>
        <w:pict>
          <v:rect style="width:0;height:1.5pt" o:hralign="center" o:hrstd="t" o:hr="t"/>
        </w:pict>
      </w:r>
    </w:p>
    <w:bookmarkEnd w:id="21"/>
    <w:bookmarkStart w:id="22" w:name="executive-summary"/>
    <w:p>
      <w:pPr>
        <w:pStyle w:val="Heading2"/>
      </w:pPr>
      <w:r>
        <w:rPr>
          <w:b/>
          <w:color w:val="275650"/>
        </w:rPr>
        <w:t xml:space="preserve">1. Executive Summary</w:t>
      </w:r>
    </w:p>
    <w:p>
      <w:pPr>
        <w:pStyle w:val="FirstParagraph"/>
      </w:pPr>
      <w:r>
        <w:t xml:space="preserve">Of the 24 requirements in D13 (the master Application Requirements list), journi’s current build: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Fully implements 14</w:t>
      </w:r>
      <w:r>
        <w:t xml:space="preserve"> </w:t>
      </w:r>
      <w:r>
        <w:t xml:space="preserve">(58%)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Partially implements 2</w:t>
      </w:r>
      <w:r>
        <w:t xml:space="preserve"> </w:t>
      </w:r>
      <w:r>
        <w:t xml:space="preserve">(8%)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Does not implement 6</w:t>
      </w:r>
      <w:r>
        <w:t xml:space="preserve"> </w:t>
      </w:r>
      <w:r>
        <w:t xml:space="preserve">(25%), of which one (REQ-024, server-side persistence) is an intentional architectural divergence rather than an oversight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 requirement’s realization needs correction</w:t>
      </w:r>
      <w:r>
        <w:t xml:space="preserve">, not just completion (REQ-022 — see Finding A below)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 requirement’s underlying data model is itself internally inconsistent across sources</w:t>
      </w:r>
      <w:r>
        <w:t xml:space="preserve"> </w:t>
      </w:r>
      <w:r>
        <w:t xml:space="preserve">(the transformation-type count — see Finding B below)</w:t>
      </w:r>
    </w:p>
    <w:p>
      <w:pPr>
        <w:pStyle w:val="FirstParagraph"/>
      </w:pPr>
      <w:r>
        <w:t xml:space="preserve">Beyond the REQ-001–024 list, the D11–D29 deliverable pack introduces three entire capability domains journi does not yet have any equivalent of:</w:t>
      </w:r>
      <w:r>
        <w:t xml:space="preserve"> </w:t>
      </w:r>
      <w:r>
        <w:rPr>
          <w:bCs/>
          <w:b/>
        </w:rPr>
        <w:t xml:space="preserve">CM Charters</w:t>
      </w:r>
      <w:r>
        <w:t xml:space="preserve"> </w:t>
      </w:r>
      <w:r>
        <w:t xml:space="preserve">(D31 family), the</w:t>
      </w:r>
      <w:r>
        <w:t xml:space="preserve"> </w:t>
      </w:r>
      <w:r>
        <w:rPr>
          <w:bCs/>
          <w:b/>
        </w:rPr>
        <w:t xml:space="preserve">Stakeholder Journey / Touchpoint / Journey-Analytics layer</w:t>
      </w:r>
      <w:r>
        <w:t xml:space="preserve"> </w:t>
      </w:r>
      <w:r>
        <w:t xml:space="preserve">(D27–D29), and a small set of governance refinements to the Phase Gate feature built last session (weighted checklist items, a flexible rather than fixed Accountable role, a distinct Project/Change/Joint tag). These are documented in Section 4.</w:t>
      </w:r>
    </w:p>
    <w:p>
      <w:pPr>
        <w:pStyle w:val="BodyText"/>
      </w:pPr>
      <w:r>
        <w:t xml:space="preserve">Before the requirement-by-requirement table, two findings need to be read first, because they affect how several</w:t>
      </w:r>
      <w:r>
        <w:t xml:space="preserve"> </w:t>
      </w:r>
      <w:r>
        <w:t xml:space="preserve">“</w:t>
      </w:r>
      <w:r>
        <w:t xml:space="preserve">gaps</w:t>
      </w:r>
      <w:r>
        <w:t xml:space="preserve">”</w:t>
      </w:r>
      <w:r>
        <w:t xml:space="preserve"> </w:t>
      </w:r>
      <w:r>
        <w:t xml:space="preserve">below should actually be closed.</w:t>
      </w:r>
    </w:p>
    <w:p>
      <w:r>
        <w:pict>
          <v:rect style="width:0;height:1.5pt" o:hralign="center" o:hrstd="t" o:hr="t"/>
        </w:pict>
      </w:r>
    </w:p>
    <w:bookmarkEnd w:id="22"/>
    <w:bookmarkStart w:id="26" w:name="critical-source-consistency-findings"/>
    <w:p>
      <w:pPr>
        <w:pStyle w:val="Heading2"/>
      </w:pPr>
      <w:r>
        <w:rPr>
          <w:b/>
          <w:color w:val="275650"/>
        </w:rPr>
        <w:t xml:space="preserve">2. Critical Source-Consistency Findings</w:t>
      </w:r>
    </w:p>
    <w:bookmarkStart w:id="23" w:name="X603feec96707275f8cc42d2857122de009b61ec"/>
    <w:p>
      <w:pPr>
        <w:pStyle w:val="Heading3"/>
      </w:pPr>
      <w:r>
        <w:rPr>
          <w:b/>
          <w:color w:val="3F827B"/>
        </w:rPr>
        <w:t xml:space="preserve">Finding A — The 4 core E2E processes (E2E-01–04) that journi currently implements are the</w:t>
      </w:r>
      <w:r>
        <w:rPr>
          <w:b/>
          <w:color w:val="3F827B"/>
        </w:rPr>
        <w:t xml:space="preserve"> </w:t>
      </w:r>
      <w:r>
        <w:rPr>
          <w:iCs/>
          <w:b/>
          <w:i/>
          <w:color w:val="3F827B"/>
        </w:rPr>
        <w:t xml:space="preserve">superseded</w:t>
      </w:r>
      <w:r>
        <w:rPr>
          <w:b/>
          <w:color w:val="3F827B"/>
        </w:rPr>
        <w:t xml:space="preserve"> </w:t>
      </w:r>
      <w:r>
        <w:rPr>
          <w:b/>
          <w:color w:val="3F827B"/>
        </w:rPr>
        <w:t xml:space="preserve">version</w:t>
      </w:r>
    </w:p>
    <w:p>
      <w:pPr>
        <w:pStyle w:val="FirstParagraph"/>
      </w:pPr>
      <w:r>
        <w:rPr>
          <w:rStyle w:val="VerbatimChar"/>
        </w:rPr>
        <w:t xml:space="preserve">journi/src/data/e2eProcesses.js</w:t>
      </w:r>
      <w:r>
        <w:t xml:space="preserve">, built in the prior session directly from the End-to-End Process Catalogue and CR1, currently registers: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E2E ID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journi’s current composition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Corrected composition (D32h, sourced verbatim from Framework Interaction Map v2.3 §11)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MP-01 → MP-02 → MP-03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MP-01, MP-02, MP-03,</w:t>
            </w:r>
            <w:r>
              <w:t xml:space="preserve"> </w:t>
            </w:r>
            <w:r>
              <w:rPr>
                <w:bCs/>
                <w:b/>
              </w:rPr>
              <w:t xml:space="preserve">MP-06, MP-07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MP-05 → MP-06 → MP-07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MP-05,</w:t>
            </w:r>
            <w:r>
              <w:t xml:space="preserve"> </w:t>
            </w:r>
            <w:r>
              <w:rPr>
                <w:bCs/>
                <w:b/>
              </w:rPr>
              <w:t xml:space="preserve">MP-08</w:t>
            </w:r>
            <w:r>
              <w:t xml:space="preserve">, MP-07 (MP-06 removed)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MP-04 → MP-08 → MP-09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MP-04,</w:t>
            </w:r>
            <w:r>
              <w:t xml:space="preserve"> </w:t>
            </w:r>
            <w:r>
              <w:rPr>
                <w:bCs/>
                <w:b/>
              </w:rPr>
              <w:t xml:space="preserve">MP-06</w:t>
            </w:r>
            <w:r>
              <w:t xml:space="preserve">, MP-07, MP-09 (MP-08 removed)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MP-10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MP-09, MP-10,</w:t>
            </w:r>
            <w:r>
              <w:t xml:space="preserve"> </w:t>
            </w:r>
            <w:r>
              <w:rPr>
                <w:bCs/>
                <w:b/>
              </w:rPr>
              <w:t xml:space="preserve">MP-07</w:t>
            </w:r>
          </w:p>
        </w:tc>
      </w:tr>
    </w:tbl>
    <w:p>
      <w:pPr>
        <w:pStyle w:val="BodyText"/>
      </w:pPr>
      <w:r>
        <w:t xml:space="preserve">D32h in the D11–D29 pack is explicitly titled</w:t>
      </w:r>
      <w:r>
        <w:t xml:space="preserve"> </w:t>
      </w:r>
      <w:r>
        <w:t xml:space="preserve">“</w:t>
      </w:r>
      <w:r>
        <w:rPr>
          <w:bCs/>
          <w:b/>
        </w:rPr>
        <w:t xml:space="preserve">Corrected</w:t>
      </w:r>
      <w:r>
        <w:t xml:space="preserve">”</w:t>
      </w:r>
      <w:r>
        <w:t xml:space="preserve"> </w:t>
      </w:r>
      <w:r>
        <w:t xml:space="preserve">and states outright: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prior revision listed only MP-01→MP-02→MP-03 and omitted MP-06/MP-07, which the authoritative source includes</w:t>
      </w:r>
      <w:r>
        <w:rPr>
          <w:iCs/>
          <w:i/>
        </w:rPr>
        <w:t xml:space="preserve">”</w:t>
      </w:r>
      <w:r>
        <w:t xml:space="preserve"> </w:t>
      </w:r>
      <w:r>
        <w:t xml:space="preserve">(and equivalent corrections for E2E-02 through E2E-04). The names also changed:</w:t>
      </w:r>
      <w:r>
        <w:t xml:space="preserve"> </w:t>
      </w:r>
      <w:r>
        <w:rPr>
          <w:bCs/>
          <w:b/>
        </w:rPr>
        <w:t xml:space="preserve">E2E-02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Capability &amp; Divergence Management</w:t>
      </w:r>
      <w:r>
        <w:rPr>
          <w:bCs/>
          <w:b/>
        </w:rP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E2E-04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Adoption-to-Sustainment (Go-Live → Refreeze)</w:t>
      </w:r>
      <w:r>
        <w:rPr>
          <w:bCs/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Why this happened:</w:t>
      </w:r>
      <w:r>
        <w:t xml:space="preserve"> </w:t>
      </w:r>
      <w:r>
        <w:t xml:space="preserve">last session, when the Process Catalogue was only partially available, I treated the</w:t>
      </w:r>
      <w:r>
        <w:t xml:space="preserve"> </w:t>
      </w:r>
      <w:r>
        <w:rPr>
          <w:iCs/>
          <w:i/>
        </w:rPr>
        <w:t xml:space="preserve">original</w:t>
      </w:r>
      <w:r>
        <w:t xml:space="preserve"> </w:t>
      </w:r>
      <w:r>
        <w:t xml:space="preserve">Process Catalogue registration as authoritative over the Framework Interaction Map v2.3, because the Catalogue explicitly stated its own compositions were</w:t>
      </w:r>
      <w:r>
        <w:t xml:space="preserve"> </w:t>
      </w:r>
      <w:r>
        <w:t xml:space="preserve">“</w:t>
      </w:r>
      <w:r>
        <w:t xml:space="preserve">formally registered today in D32h.</w:t>
      </w:r>
      <w:r>
        <w:t xml:space="preserve">”</w:t>
      </w:r>
      <w:r>
        <w:t xml:space="preserve"> </w:t>
      </w:r>
      <w:r>
        <w:t xml:space="preserve">The D11–D29 pack now shows that registration itself was wrong, and has been corrected against the Framework Interaction Map directly.</w:t>
      </w:r>
    </w:p>
    <w:p>
      <w:pPr>
        <w:pStyle w:val="BodyText"/>
      </w:pPr>
      <w:r>
        <w:rPr>
          <w:bCs/>
          <w:b/>
        </w:rPr>
        <w:t xml:space="preserve">Also affected:</w:t>
      </w:r>
      <w:r>
        <w:t xml:space="preserve"> </w:t>
      </w:r>
      <w:r>
        <w:t xml:space="preserve">the RASCI/RACSI role breakdown per core E2E process (D32h carries full R/A/C/S/I columns per chain, e.g. E2E-01: R=CM, A=ES, C=FPO+PM, S=SUP, I=EU) — journi’s</w:t>
      </w:r>
      <w:r>
        <w:t xml:space="preserve"> </w:t>
      </w:r>
      <w:r>
        <w:rPr>
          <w:rStyle w:val="VerbatimChar"/>
        </w:rPr>
        <w:t xml:space="preserve">e2eProcesses.js</w:t>
      </w:r>
      <w:r>
        <w:t xml:space="preserve"> </w:t>
      </w:r>
      <w:r>
        <w:t xml:space="preserve">currently has no RACSI assignment at the individual-chain level at all (only the platform-wide MP-by-MP RACSI grid in Module 19 exists).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e2eProcesses.js</w:t>
      </w:r>
      <w:r>
        <w:t xml:space="preserve">’s four core entries to the corrected compositions/names above, and add per-chain RACSI to each. This is a data-only fix (no new UI), low effort, high correctness value.</w:t>
      </w:r>
    </w:p>
    <w:bookmarkEnd w:id="23"/>
    <w:bookmarkStart w:id="24" w:name="X16d5e2b56833483aa1f1d2833d6fbb04aa51633"/>
    <w:p>
      <w:pPr>
        <w:pStyle w:val="Heading3"/>
      </w:pPr>
      <w:r>
        <w:rPr>
          <w:b/>
          <w:color w:val="3F827B"/>
        </w:rPr>
        <w:t xml:space="preserve">Finding B — The requirement documents disagree on whether there are 7 or 8 transformation types</w:t>
      </w:r>
    </w:p>
    <w:p>
      <w:pPr>
        <w:pStyle w:val="FirstParagraph"/>
      </w:pPr>
      <w:r>
        <w:t xml:space="preserve">This is the single most consequential inconsistency in the source set, because journi’s entire CR1 implementation (already shipped) is built on the 8-type answer.</w:t>
      </w:r>
    </w:p>
    <w:p>
      <w:pPr>
        <w:pStyle w:val="BodyText"/>
      </w:pPr>
      <w:r>
        <w:rPr>
          <w:bCs/>
          <w:b/>
        </w:rPr>
        <w:t xml:space="preserve">The 8-type side</w:t>
      </w:r>
      <w:r>
        <w:t xml:space="preserve"> </w:t>
      </w:r>
      <w:r>
        <w:t xml:space="preserve">(CR1 addendum + End-to-End Process Catalogue v1.1, both of which journi currently follows):</w:t>
      </w:r>
      <w:r>
        <w:t xml:space="preserve"> </w:t>
      </w:r>
      <w:r>
        <w:t xml:space="preserve">ERP, Business Process Reengineering, Business Process Automation, Integrated Management System (QMS), Cultural/Values Transformation, Operating Model Redesign, Compliance-Driven Change,</w:t>
      </w:r>
      <w:r>
        <w:t xml:space="preserve"> </w:t>
      </w:r>
      <w:r>
        <w:rPr>
          <w:bCs/>
          <w:b/>
        </w:rPr>
        <w:t xml:space="preserve">Training &amp; Skills Development</w:t>
      </w:r>
      <w:r>
        <w:t xml:space="preserve"> </w:t>
      </w:r>
      <w:r>
        <w:t xml:space="preserve">— each with its own E2E chain (E2E-ERP…E2E-TSD) and, per CR1, its own Phase Template (TPL-TSD-7 included).</w:t>
      </w:r>
    </w:p>
    <w:p>
      <w:pPr>
        <w:pStyle w:val="BodyText"/>
      </w:pPr>
      <w:r>
        <w:rPr>
          <w:bCs/>
          <w:b/>
        </w:rPr>
        <w:t xml:space="preserve">The 7-type side</w:t>
      </w:r>
      <w:r>
        <w:t xml:space="preserve"> </w:t>
      </w:r>
      <w:r>
        <w:t xml:space="preserve">(D13, D17 CAT-09, D21 Project Registry, D32b Phase Template Library, D32i Cross-Type Matrix — all in the D11–D29 pack):</w:t>
      </w:r>
      <w:r>
        <w:t xml:space="preserve"> </w:t>
      </w:r>
      <w:r>
        <w:t xml:space="preserve">The same list</w:t>
      </w:r>
      <w:r>
        <w:t xml:space="preserve"> </w:t>
      </w:r>
      <w:r>
        <w:rPr>
          <w:bCs/>
          <w:b/>
        </w:rPr>
        <w:t xml:space="preserve">minus Training &amp; Skills Development</w:t>
      </w:r>
      <w:r>
        <w:t xml:space="preserve">. D21’s Project Registry seed data stops at PRJ-013 (Compliance-Driven Change) with no Training &amp; Skills Development project. D32b’s Phase Template Library defines only 7 templates and states explicitly that Business Process Automation runs on the</w:t>
      </w:r>
      <w:r>
        <w:t xml:space="preserve"> </w:t>
      </w:r>
      <w:r>
        <w:rPr>
          <w:bCs/>
          <w:b/>
        </w:rPr>
        <w:t xml:space="preserve">generic</w:t>
      </w:r>
      <w:r>
        <w:t xml:space="preserve"> </w:t>
      </w:r>
      <w:r>
        <w:t xml:space="preserve">7-phase Common Lifecycle template (</w:t>
      </w:r>
      <w:r>
        <w:rPr>
          <w:rStyle w:val="VerbatimChar"/>
        </w:rPr>
        <w:t xml:space="preserve">TPL-CL-7</w:t>
      </w:r>
      <w:r>
        <w:t xml:space="preserve">) rather than a dedicated one — journi currently has a dedicated</w:t>
      </w:r>
      <w:r>
        <w:t xml:space="preserve"> </w:t>
      </w:r>
      <w:r>
        <w:rPr>
          <w:rStyle w:val="VerbatimChar"/>
        </w:rPr>
        <w:t xml:space="preserve">TPL-BPA-7</w:t>
      </w:r>
      <w:r>
        <w:t xml:space="preserve">. D32i’s Cross-Type Comparison Matrix likewise has only 7 rows.</w:t>
      </w:r>
    </w:p>
    <w:p>
      <w:pPr>
        <w:pStyle w:val="BodyText"/>
      </w:pPr>
      <w:r>
        <w:t xml:space="preserve">journi’s current implementation (8 types, dedicated BPA and TSD templates) matches the CR1/Catalogue side and diverges from the D13/D17/D21/D32b/D32i side.</w:t>
      </w:r>
      <w:r>
        <w:t xml:space="preserve"> </w:t>
      </w:r>
      <w:r>
        <w:rPr>
          <w:bCs/>
          <w:b/>
        </w:rPr>
        <w:t xml:space="preserve">This is not a bug to silently fix</w:t>
      </w:r>
      <w:r>
        <w:t xml:space="preserve"> </w:t>
      </w:r>
      <w:r>
        <w:t xml:space="preserve">— it is a genuine conflict between two parts of the source set that were evidently authored or revised at different times without being reconciled against each other. It needs a product decision: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Option 1 — Keep 8 types</w:t>
      </w:r>
      <w:r>
        <w:t xml:space="preserve"> </w:t>
      </w:r>
      <w:r>
        <w:t xml:space="preserve">(current state). Treat D21/D32b/D32i as not-yet-updated for the CR1 addendum, and flag them back to the source for correction.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Option 2 — Drop to 7 types.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training_skills</w:t>
      </w:r>
      <w:r>
        <w:t xml:space="preserve"> </w:t>
      </w:r>
      <w:r>
        <w:t xml:space="preserve">as an archetype, retire</w:t>
      </w:r>
      <w:r>
        <w:t xml:space="preserve"> </w:t>
      </w:r>
      <w:r>
        <w:rPr>
          <w:rStyle w:val="VerbatimChar"/>
        </w:rPr>
        <w:t xml:space="preserve">TPL-TSD-7</w:t>
      </w:r>
      <w:r>
        <w:t xml:space="preserve"> </w:t>
      </w:r>
      <w:r>
        <w:t xml:space="preserve">and the Atlas Tangier training-skills seed case, and fold Business Process Automation onto the generic Common Lifecycle template instead of its own</w:t>
      </w:r>
      <w:r>
        <w:t xml:space="preserve"> </w:t>
      </w:r>
      <w:r>
        <w:rPr>
          <w:rStyle w:val="VerbatimChar"/>
        </w:rPr>
        <w:t xml:space="preserve">TPL-BPA-7</w:t>
      </w:r>
      <w:r>
        <w:t xml:space="preserve">.</w:t>
      </w:r>
    </w:p>
    <w:p>
      <w:pPr>
        <w:pStyle w:val="FirstParagraph"/>
      </w:pPr>
      <w:r>
        <w:t xml:space="preserve">No action taken in this report; flagged for a decision before either side is touched further.</w:t>
      </w:r>
    </w:p>
    <w:bookmarkEnd w:id="24"/>
    <w:bookmarkStart w:id="25" w:name="finding-c-minor-racsi-vs-rasci-naming"/>
    <w:p>
      <w:pPr>
        <w:pStyle w:val="Heading3"/>
      </w:pPr>
      <w:r>
        <w:rPr>
          <w:b/>
          <w:color w:val="3F827B"/>
        </w:rPr>
        <w:t xml:space="preserve">Finding C (minor) —</w:t>
      </w:r>
      <w:r>
        <w:rPr>
          <w:b/>
          <w:color w:val="3F827B"/>
        </w:rPr>
        <w:t xml:space="preserve"> </w:t>
      </w:r>
      <w:r>
        <w:rPr>
          <w:b/>
          <w:color w:val="3F827B"/>
        </w:rPr>
        <w:t xml:space="preserve">“</w:t>
      </w:r>
      <w:r>
        <w:rPr>
          <w:b/>
          <w:color w:val="3F827B"/>
        </w:rPr>
        <w:t xml:space="preserve">RACSI</w:t>
      </w:r>
      <w:r>
        <w:rPr>
          <w:b/>
          <w:color w:val="3F827B"/>
        </w:rPr>
        <w:t xml:space="preserve">”</w:t>
      </w:r>
      <w:r>
        <w:rPr>
          <w:b/>
          <w:color w:val="3F827B"/>
        </w:rPr>
        <w:t xml:space="preserve"> </w:t>
      </w:r>
      <w:r>
        <w:rPr>
          <w:b/>
          <w:color w:val="3F827B"/>
        </w:rPr>
        <w:t xml:space="preserve">vs</w:t>
      </w:r>
      <w:r>
        <w:rPr>
          <w:b/>
          <w:color w:val="3F827B"/>
        </w:rPr>
        <w:t xml:space="preserve"> </w:t>
      </w:r>
      <w:r>
        <w:rPr>
          <w:b/>
          <w:color w:val="3F827B"/>
        </w:rPr>
        <w:t xml:space="preserve">“</w:t>
      </w:r>
      <w:r>
        <w:rPr>
          <w:b/>
          <w:color w:val="3F827B"/>
        </w:rPr>
        <w:t xml:space="preserve">RASCI</w:t>
      </w:r>
      <w:r>
        <w:rPr>
          <w:b/>
          <w:color w:val="3F827B"/>
        </w:rPr>
        <w:t xml:space="preserve">”</w:t>
      </w:r>
      <w:r>
        <w:rPr>
          <w:b/>
          <w:color w:val="3F827B"/>
        </w:rPr>
        <w:t xml:space="preserve"> </w:t>
      </w:r>
      <w:r>
        <w:rPr>
          <w:b/>
          <w:color w:val="3F827B"/>
        </w:rPr>
        <w:t xml:space="preserve">naming</w:t>
      </w:r>
    </w:p>
    <w:p>
      <w:pPr>
        <w:pStyle w:val="FirstParagraph"/>
      </w:pPr>
      <w:r>
        <w:t xml:space="preserve">The Integration Handbook and D32h/D17 CAT-02 use</w:t>
      </w:r>
      <w:r>
        <w:t xml:space="preserve"> </w:t>
      </w:r>
      <w:r>
        <w:rPr>
          <w:bCs/>
          <w:b/>
        </w:rPr>
        <w:t xml:space="preserve">RACSI</w:t>
      </w:r>
      <w:r>
        <w:t xml:space="preserve"> </w:t>
      </w:r>
      <w:r>
        <w:t xml:space="preserve">(Responsible / Accountable / Consulted / Sign-off / Informed) — this is what journi’s Module 19 grid implements. The End-to-End Process Catalogue’s own per-process diagrams are titled</w:t>
      </w:r>
      <w:r>
        <w:t xml:space="preserve"> </w:t>
      </w:r>
      <w:r>
        <w:t xml:space="preserve">“</w:t>
      </w:r>
      <w:r>
        <w:rPr>
          <w:bCs/>
          <w:b/>
        </w:rPr>
        <w:t xml:space="preserve">BPMN Diagram — RASCI</w:t>
      </w:r>
      <w:r>
        <w:t xml:space="preserve">”</w:t>
      </w:r>
      <w:r>
        <w:t xml:space="preserve"> </w:t>
      </w:r>
      <w:r>
        <w:t xml:space="preserve">(swapping the C/S order in the acronym, though the underlying five roles are the same). Cosmetic, but worth a single find-and-replace pass in the source documents for internal consistency.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quirement-by-requirement-status-d13"/>
    <w:p>
      <w:pPr>
        <w:pStyle w:val="Heading2"/>
      </w:pPr>
      <w:r>
        <w:rPr>
          <w:b/>
          <w:color w:val="275650"/>
        </w:rPr>
        <w:t xml:space="preserve">3. Requirement-by-Requirement Status (D13)</w:t>
      </w:r>
    </w:p>
    <w:p>
      <w:pPr>
        <w:pStyle w:val="FirstParagraph"/>
      </w:pPr>
      <w:r>
        <w:t xml:space="preserve">Legend: ✅ Implemented · 🟡 Partial · ❌ Not implemented · ⚪ Not applicable (architectural choice, documented)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REQ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Feature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Status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Evidence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Stakeholder Impact Scoring (AI-drafted)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5 impact grid +</w:t>
            </w:r>
            <w:r>
              <w:t xml:space="preserve"> </w:t>
            </w:r>
            <w:r>
              <w:rPr>
                <w:rStyle w:val="VerbatimChar"/>
              </w:rPr>
              <w:t xml:space="preserve">uc-stakeholder-impact</w:t>
            </w:r>
            <w:r>
              <w:t xml:space="preserve"> </w:t>
            </w:r>
            <w:r>
              <w:t xml:space="preserve">AI use case, human-confirm gate.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&amp; Cohort ADKAR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6,</w:t>
            </w:r>
            <w:r>
              <w:t xml:space="preserve"> </w:t>
            </w:r>
            <w:r>
              <w:rPr>
                <w:rStyle w:val="VerbatimChar"/>
              </w:rPr>
              <w:t xml:space="preserve">ADKAR_BLOCKS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readinessIndex()</w:t>
            </w:r>
            <w:r>
              <w:t xml:space="preserve"> </w:t>
            </w:r>
            <w:r>
              <w:t xml:space="preserve">(KPI-001 equivalent).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AI-Assisted Barrier Root-Cause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11 +</w:t>
            </w:r>
            <w:r>
              <w:t xml:space="preserve"> </w:t>
            </w:r>
            <w:r>
              <w:rPr>
                <w:rStyle w:val="VerbatimChar"/>
              </w:rPr>
              <w:t xml:space="preserve">uc-adkar-barrier</w:t>
            </w:r>
            <w:r>
              <w:t xml:space="preserve">/resistance classifier use cases.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Divergence Pattern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hasDivergence()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utils/compute.js</w:t>
            </w:r>
            <w:r>
              <w:t xml:space="preserve">, surfaced in Module 7/14 and now also in the Phase Gate’s auto-populated open flags (Module 18).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Post-Go-Live Regression Audit (AI risk score)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13 sustainment checkpoints capture</w:t>
            </w:r>
            <w:r>
              <w:t xml:space="preserve"> </w:t>
            </w:r>
            <w:r>
              <w:rPr>
                <w:rStyle w:val="VerbatimChar"/>
              </w:rPr>
              <w:t xml:space="preserve">adoptionRate</w:t>
            </w:r>
            <w:r>
              <w:t xml:space="preserve">/</w:t>
            </w:r>
            <w:r>
              <w:rPr>
                <w:rStyle w:val="VerbatimChar"/>
              </w:rPr>
              <w:t xml:space="preserve">regressionRisk</w:t>
            </w:r>
            <w:r>
              <w:t xml:space="preserve">, but these are</w:t>
            </w:r>
            <w:r>
              <w:t xml:space="preserve"> </w:t>
            </w:r>
            <w:r>
              <w:rPr>
                <w:bCs/>
                <w:b/>
              </w:rPr>
              <w:t xml:space="preserve">manually entered</w:t>
            </w:r>
            <w:r>
              <w:t xml:space="preserve">, not an AI-generated score (KPI-006’s</w:t>
            </w:r>
            <w:r>
              <w:t xml:space="preserve"> </w:t>
            </w:r>
            <w:r>
              <w:t xml:space="preserve">“</w:t>
            </w:r>
            <w:r>
              <w:t xml:space="preserve">Regression Risk Predictor, AIUC-14</w:t>
            </w:r>
            <w:r>
              <w:t xml:space="preserve">”</w:t>
            </w:r>
            <w:r>
              <w:t xml:space="preserve"> </w:t>
            </w:r>
            <w:r>
              <w:t xml:space="preserve">has no corresponding use case in journi’s seeded AI catalog).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Human-in-the-Loop AI Checkpoint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accept/edit/reject pattern (</w:t>
            </w:r>
            <w:r>
              <w:rPr>
                <w:rStyle w:val="VerbatimChar"/>
              </w:rPr>
              <w:t xml:space="preserve">AiSuggestionBox</w:t>
            </w:r>
            <w:r>
              <w:t xml:space="preserve">), audited via</w:t>
            </w:r>
            <w:r>
              <w:t xml:space="preserve"> </w:t>
            </w:r>
            <w:r>
              <w:rPr>
                <w:rStyle w:val="VerbatimChar"/>
              </w:rPr>
              <w:t xml:space="preserve">aiUsageLog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AI Use Case Authoring (Org Admin, with approval workflow)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authoring UI; the AI Use Case Library (Module 17) is a fixed, seeded 16-entry catalog.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Template Versioning &amp;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prompt-template registry or per-project override exists.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Runtime-Configurable Permission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2 Permission Matrix tab,</w:t>
            </w:r>
            <w:r>
              <w:t xml:space="preserve"> </w:t>
            </w:r>
            <w:r>
              <w:rPr>
                <w:rStyle w:val="VerbatimChar"/>
              </w:rPr>
              <w:t xml:space="preserve">data.rolePermissions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Justification on Score/State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2 Governance Settings,</w:t>
            </w:r>
            <w:r>
              <w:t xml:space="preserve"> </w:t>
            </w:r>
            <w:r>
              <w:rPr>
                <w:rStyle w:val="VerbatimChar"/>
              </w:rPr>
              <w:t xml:space="preserve">requireJustification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logJustifiedChange()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Gate Go/No-Go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18 Phase Gate feature (built last session).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 Charter Registry (D31 family)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equivalent exists anywhere in journi. See Section 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Stakeholder Journey &amp; Touchpoint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16 has a visual per-person/cohort event timeline, but not the structured Journey→Touchpoint model with</w:t>
            </w:r>
            <w:r>
              <w:t xml:space="preserve"> </w:t>
            </w:r>
            <w:r>
              <w:rPr>
                <w:rStyle w:val="VerbatimChar"/>
              </w:rPr>
              <w:t xml:space="preserve">Success_Criteria</w:t>
            </w:r>
            <w:r>
              <w:t xml:space="preserve">/</w:t>
            </w:r>
            <w:r>
              <w:rPr>
                <w:rStyle w:val="VerbatimChar"/>
              </w:rPr>
              <w:t xml:space="preserve">Evidence_Required</w:t>
            </w:r>
            <w:r>
              <w:t xml:space="preserve"> </w:t>
            </w:r>
            <w:r>
              <w:t xml:space="preserve">fields D27/D28 specify.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Multi-Tenant Hierarchy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1, Group/Organization/Project, cascading delete.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Journey Analytics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of D29’s 5 dashboards exist; Module 15 is score-centric only, no experience/touchpoint-completion 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Template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18</w:t>
            </w:r>
            <w:r>
              <w:t xml:space="preserve"> </w:t>
            </w:r>
            <w:r>
              <w:t xml:space="preserve">“</w:t>
            </w:r>
            <w:r>
              <w:t xml:space="preserve">Load phase template,</w:t>
            </w:r>
            <w:r>
              <w:t xml:space="preserve">”</w:t>
            </w:r>
            <w:r>
              <w:t xml:space="preserve"> </w:t>
            </w:r>
            <w:r>
              <w:rPr>
                <w:rStyle w:val="VerbatimChar"/>
              </w:rPr>
              <w:t xml:space="preserve">phaseTemplates.js</w:t>
            </w:r>
            <w:r>
              <w:t xml:space="preserve"> </w:t>
            </w:r>
            <w:r>
              <w:t xml:space="preserve">(built last session — see Finding B for the 7-vs-8 count question).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Checklists (PM + 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18 Phase Checklist section (built last session). Simpler than D32c: items are unweighted (D32c specifies a</w:t>
            </w:r>
            <w:r>
              <w:t xml:space="preserve"> </w:t>
            </w:r>
            <w:r>
              <w:rPr>
                <w:rStyle w:val="VerbatimChar"/>
              </w:rPr>
              <w:t xml:space="preserve">Weight_%</w:t>
            </w:r>
            <w:r>
              <w:t xml:space="preserve"> </w:t>
            </w:r>
            <w:r>
              <w:t xml:space="preserve">per item); journi treats every item as equal weight.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Decision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18 Phase Gate modal — PM/CM inputs captured independently, fused decision, single Accountable role. One gap vs. D32e/JD-05: journi</w:t>
            </w:r>
            <w:r>
              <w:t xml:space="preserve"> </w:t>
            </w:r>
            <w:r>
              <w:rPr>
                <w:bCs/>
                <w:b/>
              </w:rPr>
              <w:t xml:space="preserve">hardcodes</w:t>
            </w:r>
            <w:r>
              <w:t xml:space="preserve"> </w:t>
            </w:r>
            <w:r>
              <w:t xml:space="preserve">Accountable =</w:t>
            </w:r>
            <w:r>
              <w:t xml:space="preserve"> </w:t>
            </w:r>
            <w:r>
              <w:t xml:space="preserve">“</w:t>
            </w:r>
            <w:r>
              <w:t xml:space="preserve">PM,</w:t>
            </w:r>
            <w:r>
              <w:t xml:space="preserve">”</w:t>
            </w:r>
            <w:r>
              <w:t xml:space="preserve"> </w:t>
            </w:r>
            <w:r>
              <w:t xml:space="preserve">where the spec allows it to be any single role, potentially different from either input’s author.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PMO Import Hook (CSV)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import feature; WBS tasks are entered manually or via</w:t>
            </w:r>
            <w:r>
              <w:t xml:space="preserve"> </w:t>
            </w:r>
            <w:r>
              <w:t xml:space="preserve">“</w:t>
            </w:r>
            <w:r>
              <w:t xml:space="preserve">Load phase template</w:t>
            </w:r>
            <w:r>
              <w:t xml:space="preserve">”</w:t>
            </w:r>
            <w:r>
              <w:t xml:space="preserve"> </w:t>
            </w:r>
            <w:r>
              <w:t xml:space="preserve">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Project/Change/Joint Tagging on WBS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journi’s WBS</w:t>
            </w:r>
            <w:r>
              <w:t xml:space="preserve"> </w:t>
            </w:r>
            <w:r>
              <w:rPr>
                <w:rStyle w:val="VerbatimChar"/>
              </w:rPr>
              <w:t xml:space="preserve">track</w:t>
            </w:r>
            <w:r>
              <w:t xml:space="preserve"> </w:t>
            </w:r>
            <w:r>
              <w:t xml:space="preserve">field (</w:t>
            </w:r>
            <w:r>
              <w:rPr>
                <w:rStyle w:val="VerbatimChar"/>
              </w:rPr>
              <w:t xml:space="preserve">pm</w:t>
            </w:r>
            <w:r>
              <w:t xml:space="preserve">/</w:t>
            </w:r>
            <w:r>
              <w:rPr>
                <w:rStyle w:val="VerbatimChar"/>
              </w:rPr>
              <w:t xml:space="preserve">cm</w:t>
            </w:r>
            <w:r>
              <w:t xml:space="preserve">/</w:t>
            </w:r>
            <w:r>
              <w:rPr>
                <w:rStyle w:val="VerbatimChar"/>
              </w:rPr>
              <w:t xml:space="preserve">framework</w:t>
            </w:r>
            <w:r>
              <w:t xml:space="preserve">) conflates delivery track with accountability tag; D32a specifies these as two distinct fields (</w:t>
            </w:r>
            <w:r>
              <w:rPr>
                <w:rStyle w:val="VerbatimChar"/>
              </w:rPr>
              <w:t xml:space="preserve">Task_Track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Project_Change_Joint_Tag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Common-Lifecycle Phase Tagging (P1–P7, cross-module filter)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phase</w:t>
            </w:r>
            <w:r>
              <w:t xml:space="preserve"> </w:t>
            </w:r>
            <w:r>
              <w:t xml:space="preserve">field exists on every WBS task (free text, not a constrained P1–P7 enum) and on Phase Checklists/Gates, but no other module (M4–M17) carries or filters by it — D32g’s</w:t>
            </w:r>
            <w:r>
              <w:t xml:space="preserve"> </w:t>
            </w:r>
            <w:r>
              <w:t xml:space="preserve">“</w:t>
            </w:r>
            <w:r>
              <w:t xml:space="preserve">filter any module’s data by the same P1-P7 phase</w:t>
            </w:r>
            <w:r>
              <w:t xml:space="preserve">”</w:t>
            </w:r>
            <w:r>
              <w:t xml:space="preserve"> </w:t>
            </w:r>
            <w:r>
              <w:t xml:space="preserve">is not realized.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Process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19 built and functioning,</w:t>
            </w:r>
            <w:r>
              <w:t xml:space="preserve"> </w:t>
            </w:r>
            <w:r>
              <w:rPr>
                <w:bCs/>
                <w:b/>
              </w:rPr>
              <w:t xml:space="preserve">but registers the superseded E2E-01–04 compositions</w:t>
            </w:r>
            <w:r>
              <w:t xml:space="preserve"> </w:t>
            </w:r>
            <w:r>
              <w:t xml:space="preserve">— see Finding A. Data-model fix required, not a missing feature.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Cross-Type Comparison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dedicated UI.</w:t>
            </w:r>
            <w:r>
              <w:t xml:space="preserve"> </w:t>
            </w:r>
            <w:r>
              <w:rPr>
                <w:rStyle w:val="VerbatimChar"/>
              </w:rPr>
              <w:t xml:space="preserve">e2eProcesses.js</w:t>
            </w:r>
            <w:r>
              <w:t xml:space="preserve"> </w:t>
            </w:r>
            <w:r>
              <w:t xml:space="preserve">links a</w:t>
            </w:r>
            <w:r>
              <w:t xml:space="preserve"> </w:t>
            </w:r>
            <w:r>
              <w:rPr>
                <w:rStyle w:val="VerbatimChar"/>
              </w:rPr>
              <w:t xml:space="preserve">phaseTemplateId</w:t>
            </w:r>
            <w:r>
              <w:t xml:space="preserve"> </w:t>
            </w:r>
            <w:r>
              <w:t xml:space="preserve">per type but does not carry</w:t>
            </w:r>
            <w:r>
              <w:t xml:space="preserve"> </w:t>
            </w:r>
            <w:r>
              <w:rPr>
                <w:rStyle w:val="VerbatimChar"/>
              </w:rPr>
              <w:t xml:space="preserve">Typical_Duration</w:t>
            </w:r>
            <w:r>
              <w:t xml:space="preserve">/</w:t>
            </w:r>
            <w:r>
              <w:rPr>
                <w:rStyle w:val="VerbatimChar"/>
              </w:rPr>
              <w:t xml:space="preserve">Terminal_Gate</w:t>
            </w:r>
            <w:r>
              <w:t xml:space="preserve">/</w:t>
            </w:r>
            <w:r>
              <w:rPr>
                <w:rStyle w:val="VerbatimChar"/>
              </w:rPr>
              <w:t xml:space="preserve">External_Party_Involvement</w:t>
            </w:r>
            <w:r>
              <w:t xml:space="preserve">/</w:t>
            </w:r>
            <w:r>
              <w:rPr>
                <w:rStyle w:val="VerbatimChar"/>
              </w:rPr>
              <w:t xml:space="preserve">Dominant_Framework</w:t>
            </w:r>
            <w:r>
              <w:t xml:space="preserve">/</w:t>
            </w:r>
            <w:r>
              <w:rPr>
                <w:rStyle w:val="VerbatimChar"/>
              </w:rPr>
              <w:t xml:space="preserve">Reversibility</w:t>
            </w:r>
            <w:r>
              <w:t xml:space="preserve">, and there is no comparison view on Module 15 as D32i specifies.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Deliberate architectural choice (</w:t>
            </w:r>
            <w:r>
              <w:rPr>
                <w:rStyle w:val="VerbatimChar"/>
              </w:rPr>
              <w:t xml:space="preserve">journi_spec.md</w:t>
            </w:r>
            <w:r>
              <w:t xml:space="preserve"> </w:t>
            </w:r>
            <w:r>
              <w:t xml:space="preserve">§2.4); browser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only. Not a gap to close without a scope conversation — it’s the single foundational assumption every other REQ-024-adjacent row (durability, multi-device, backup) silently depends 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3" w:name="gaps-beyond-the-req-001024-list"/>
    <w:p>
      <w:pPr>
        <w:pStyle w:val="Heading2"/>
      </w:pPr>
      <w:r>
        <w:rPr>
          <w:b/>
          <w:color w:val="275650"/>
        </w:rPr>
        <w:t xml:space="preserve">4. Gaps Beyond the REQ-001–024 List</w:t>
      </w:r>
    </w:p>
    <w:bookmarkStart w:id="28" w:name="X2679f8c9999577e515f5bad70c7f261943796e7"/>
    <w:p>
      <w:pPr>
        <w:pStyle w:val="Heading3"/>
      </w:pPr>
      <w:r>
        <w:rPr>
          <w:b/>
          <w:color w:val="3F827B"/>
        </w:rPr>
        <w:t xml:space="preserve">4.1 CM Charters (D31, D31a, D31b, D31c) — entirely new capability, not present in journi</w:t>
      </w:r>
    </w:p>
    <w:p>
      <w:pPr>
        <w:pStyle w:val="FirstParagraph"/>
      </w:pPr>
      <w:r>
        <w:t xml:space="preserve">The D11–D29 pack defines</w:t>
      </w:r>
      <w:r>
        <w:t xml:space="preserve"> </w:t>
      </w:r>
      <w:r>
        <w:rPr>
          <w:bCs/>
          <w:b/>
        </w:rPr>
        <w:t xml:space="preserve">8 charters</w:t>
      </w:r>
      <w:r>
        <w:t xml:space="preserve"> </w:t>
      </w:r>
      <w:r>
        <w:t xml:space="preserve">(Sponsorship/Leadership, Participative Management, Communication, Organizational Impact, Team Coaching, One-to-One Coaching, Mentoring [Trainee→Observer→Autonomous], Pulse/Interview) — each a structured PDCA-governed commitment with a named accountable role, a many-to-many action mapping to specific macro-process tasks/steps (D31a, ~30+ rows), a CRUD/RBAC layer (D31b), and a 3-stage mentoring progression model (D31c). None of this exists in journi today; it is a distinct governance layer sitting above the existing modules (e.g., CHTR-01 Sponsorship Charter governs the same MP-02 territory as Module 8, but as a signed, trackable commitment rather than free-text sponsor-visibility notes).</w:t>
      </w:r>
    </w:p>
    <w:p>
      <w:pPr>
        <w:pStyle w:val="BodyText"/>
      </w:pPr>
      <w:r>
        <w:rPr>
          <w:bCs/>
          <w:b/>
        </w:rPr>
        <w:t xml:space="preserve">Scope note:</w:t>
      </w:r>
      <w:r>
        <w:t xml:space="preserve"> </w:t>
      </w:r>
      <w:r>
        <w:t xml:space="preserve">this is a substantial addition — closer in size to Module 19 than to a single field. If pursued, it would reasonably become its own module (a natural</w:t>
      </w:r>
      <w:r>
        <w:t xml:space="preserve"> </w:t>
      </w:r>
      <w:r>
        <w:t xml:space="preserve">“</w:t>
      </w:r>
      <w:r>
        <w:t xml:space="preserve">Module 20</w:t>
      </w:r>
      <w:r>
        <w:t xml:space="preserve">”</w:t>
      </w:r>
      <w:r>
        <w:t xml:space="preserve">).</w:t>
      </w:r>
    </w:p>
    <w:bookmarkEnd w:id="28"/>
    <w:bookmarkStart w:id="29" w:name="X038f8a1866f2d3c8c31b6a69c1396d62621cca8"/>
    <w:p>
      <w:pPr>
        <w:pStyle w:val="Heading3"/>
      </w:pPr>
      <w:r>
        <w:rPr>
          <w:b/>
          <w:color w:val="3F827B"/>
        </w:rPr>
        <w:t xml:space="preserve">4.2 Stakeholder Journeys, Touchpoints &amp; Journey Analytics (D27, D28, D29)</w:t>
      </w:r>
    </w:p>
    <w:p>
      <w:pPr>
        <w:pStyle w:val="FirstParagraph"/>
      </w:pPr>
      <w:r>
        <w:t xml:space="preserve">8 named personas journeys (End User, Executive Sponsor, Frontline Supervisor, Champion, Mentee, Divergence Case, QMS Certification, AI Suggestion Lifecycle), each broken into touchpoints carrying</w:t>
      </w:r>
      <w:r>
        <w:t xml:space="preserve"> </w:t>
      </w:r>
      <w:r>
        <w:rPr>
          <w:rStyle w:val="VerbatimChar"/>
        </w:rPr>
        <w:t xml:space="preserve">Days_From_Trigger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Automation_Level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Success_Criteria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Evidence_Required</w:t>
      </w:r>
      <w:r>
        <w:t xml:space="preserve"> </w:t>
      </w:r>
      <w:r>
        <w:t xml:space="preserve">— plus 5 dedicated analytics dashboards (End User Journey Completion, Sponsor &amp; Charter Compliance, Mentoring Progression, Divergence Case Resolution, Journey Analytics Executive Roll-Up). Module 16’s existing Journey Map is the closest analog but is a simpler visual timeline without the touchpoint/success-criteria/evidence structure or any of the 5 dashboards.</w:t>
      </w:r>
    </w:p>
    <w:bookmarkEnd w:id="29"/>
    <w:bookmarkStart w:id="30" w:name="X4d39fd789abe2b746ec427e25c17eb55ad531c6"/>
    <w:p>
      <w:pPr>
        <w:pStyle w:val="Heading3"/>
      </w:pPr>
      <w:r>
        <w:rPr>
          <w:b/>
          <w:color w:val="3F827B"/>
        </w:rPr>
        <w:t xml:space="preserve">4.3 Refinements to the Module 18 Phase Gate / Checklist feature (small, targeted)</w:t>
      </w:r>
    </w:p>
    <w:p>
      <w:pPr>
        <w:pStyle w:val="FirstParagraph"/>
      </w:pPr>
      <w:r>
        <w:t xml:space="preserve">These are precise deltas against D32a/c/d/e now that the field-level specs are available (they weren’t when the feature was built last session from CR1 alone):</w:t>
      </w:r>
    </w:p>
    <w:p>
      <w:pPr>
        <w:numPr>
          <w:ilvl w:val="0"/>
          <w:numId w:val="1006"/>
        </w:numPr>
        <w:pStyle w:val="Compact"/>
      </w:pPr>
      <w:r>
        <w:t xml:space="preserve">Weighted checklist items (</w:t>
      </w:r>
      <w:r>
        <w:rPr>
          <w:rStyle w:val="VerbatimChar"/>
        </w:rPr>
        <w:t xml:space="preserve">Weight_%</w:t>
      </w:r>
      <w:r>
        <w:t xml:space="preserve"> </w:t>
      </w:r>
      <w:r>
        <w:t xml:space="preserve">per item) instead of equal-weight completion %.</w:t>
      </w:r>
    </w:p>
    <w:p>
      <w:pPr>
        <w:numPr>
          <w:ilvl w:val="0"/>
          <w:numId w:val="1006"/>
        </w:numPr>
        <w:pStyle w:val="Compact"/>
      </w:pPr>
      <w:r>
        <w:t xml:space="preserve">Accountable role on a Phase Gate should be</w:t>
      </w:r>
      <w:r>
        <w:t xml:space="preserve"> </w:t>
      </w:r>
      <w:r>
        <w:rPr>
          <w:bCs/>
          <w:b/>
        </w:rPr>
        <w:t xml:space="preserve">selectable</w:t>
      </w:r>
      <w:r>
        <w:t xml:space="preserve"> </w:t>
      </w:r>
      <w:r>
        <w:t xml:space="preserve">(any single role), not hardcoded to</w:t>
      </w:r>
      <w:r>
        <w:t xml:space="preserve"> </w:t>
      </w:r>
      <w:r>
        <w:t xml:space="preserve">“</w:t>
      </w:r>
      <w:r>
        <w:t xml:space="preserve">PM.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WBS tasks need a distinct</w:t>
      </w:r>
      <w:r>
        <w:t xml:space="preserve"> </w:t>
      </w:r>
      <w:r>
        <w:rPr>
          <w:rStyle w:val="VerbatimChar"/>
        </w:rPr>
        <w:t xml:space="preserve">Project_Change_Joint_Tag</w:t>
      </w:r>
      <w:r>
        <w:t xml:space="preserve"> </w:t>
      </w:r>
      <w:r>
        <w:t xml:space="preserve">(Project/Change/Joint) separate from the existing</w:t>
      </w:r>
      <w:r>
        <w:t xml:space="preserve"> </w:t>
      </w:r>
      <w:r>
        <w:rPr>
          <w:rStyle w:val="VerbatimChar"/>
        </w:rPr>
        <w:t xml:space="preserve">track</w:t>
      </w:r>
      <w:r>
        <w:t xml:space="preserve"> </w:t>
      </w:r>
      <w:r>
        <w:t xml:space="preserve">field (REQ-020).</w:t>
      </w:r>
    </w:p>
    <w:p>
      <w:pPr>
        <w:numPr>
          <w:ilvl w:val="0"/>
          <w:numId w:val="1006"/>
        </w:numPr>
        <w:pStyle w:val="Compact"/>
      </w:pPr>
      <w:r>
        <w:t xml:space="preserve">Common-Lifecycle Phase should be a constrained P1–P7 enum, filterable across other modules (REQ-021), not free text scoped to Module 18 alone.</w:t>
      </w:r>
    </w:p>
    <w:bookmarkEnd w:id="30"/>
    <w:bookmarkStart w:id="31" w:name="Xa71de047424456b1ed52c911c120f19bc40bda0"/>
    <w:p>
      <w:pPr>
        <w:pStyle w:val="Heading3"/>
      </w:pPr>
      <w:r>
        <w:rPr>
          <w:b/>
          <w:color w:val="3F827B"/>
        </w:rPr>
        <w:t xml:space="preserve">4.4 Cross-Type Comparison Matrix (REQ-023 / D32i) — repeated here as a concrete build target</w:t>
      </w:r>
    </w:p>
    <w:p>
      <w:pPr>
        <w:pStyle w:val="FirstParagraph"/>
      </w:pPr>
      <w:r>
        <w:t xml:space="preserve">A filterable table/view — proposed location: a new tab on Module 15 — comparing the 7 or 8 transformation types (pending Finding B) on Typical Duration, Terminal Gate, External Party Involvement, Dominant Framework, and Reversibility, each row citing its seed-project example.</w:t>
      </w:r>
    </w:p>
    <w:bookmarkEnd w:id="31"/>
    <w:bookmarkStart w:id="32" w:name="X15cbc9a2a410bb33ccc03f2d5fb5787e162af30"/>
    <w:p>
      <w:pPr>
        <w:pStyle w:val="Heading3"/>
      </w:pPr>
      <w:r>
        <w:rPr>
          <w:b/>
          <w:color w:val="3F827B"/>
        </w:rPr>
        <w:t xml:space="preserve">4.5 Report export formats &amp; Alerts/notification channels (D07, D08)</w:t>
      </w:r>
    </w:p>
    <w:p>
      <w:pPr>
        <w:pStyle w:val="FirstParagraph"/>
      </w:pPr>
      <w:r>
        <w:t xml:space="preserve">No PDF/Excel/CSV/PowerPoint export exists anywhere in journi (confirmed: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has no export library —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 </w:t>
      </w:r>
      <w:r>
        <w:t xml:space="preserve">only), where D08 specifies export formats per report. Similarly, D07’s 7 alerts specify escalation via Email/Push/Teams notification channels; journi’s equivalent conditions (e.g., divergence detected, sponsor coverage gap) surface only as in-app badges/flags, with no outbound notification of any kind. Both are consistent with the client-side-only architecture (Finding, Section 6) — a notification channel needs a backend to send from — but are worth naming explicitly since D07/D08 assume them.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whats-fully-aligned"/>
    <w:p>
      <w:pPr>
        <w:pStyle w:val="Heading2"/>
      </w:pPr>
      <w:r>
        <w:rPr>
          <w:b/>
          <w:color w:val="275650"/>
        </w:rPr>
        <w:t xml:space="preserve">5. What’s Fully Aligned</w:t>
      </w:r>
    </w:p>
    <w:p>
      <w:pPr>
        <w:pStyle w:val="FirstParagraph"/>
      </w:pPr>
      <w:r>
        <w:t xml:space="preserve">For balance: the following areas are in strong, verified alignment with the source set, most of it delivered in the prior CR1 implementation session and re-verified in this analysis: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CR1’s 8-transformation-type expansion</w:t>
      </w:r>
      <w:r>
        <w:t xml:space="preserve"> </w:t>
      </w:r>
      <w:r>
        <w:t xml:space="preserve">(Finding B’s</w:t>
      </w:r>
      <w:r>
        <w:t xml:space="preserve"> </w:t>
      </w:r>
      <w:r>
        <w:t xml:space="preserve">“</w:t>
      </w:r>
      <w:r>
        <w:t xml:space="preserve">which side is right</w:t>
      </w:r>
      <w:r>
        <w:t xml:space="preserve">”</w:t>
      </w:r>
      <w:r>
        <w:t xml:space="preserve"> </w:t>
      </w:r>
      <w:r>
        <w:t xml:space="preserve">question aside, the</w:t>
      </w:r>
      <w:r>
        <w:t xml:space="preserve"> </w:t>
      </w:r>
      <w:r>
        <w:rPr>
          <w:iCs/>
          <w:i/>
        </w:rPr>
        <w:t xml:space="preserve">mechanism</w:t>
      </w:r>
      <w:r>
        <w:t xml:space="preserve"> </w:t>
      </w:r>
      <w:r>
        <w:t xml:space="preserve">— archetype → Default E2E Process → Phase Template — is correctly built and functioning).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Modules 1–17</w:t>
      </w:r>
      <w:r>
        <w:t xml:space="preserve"> </w:t>
      </w:r>
      <w:r>
        <w:t xml:space="preserve">(hierarchy, RBAC, initiative registry, ADKAR, Bridges/Kübler-Ross, sponsor/coalition, communications, training, resistance, coaching, sustainment, risk register, analytics, journey map, AI governance) match D01–D10/D15/D26 at the functional level, modulo the BPMN/DMN/COSO infrastructure layer discussed in Section 6.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Module 18</w:t>
      </w:r>
      <w:r>
        <w:t xml:space="preserve"> </w:t>
      </w:r>
      <w:r>
        <w:t xml:space="preserve">WBS/Gantt + Phase Templates + Phase Checklists + Phase Gates/Joint Decision Records — REQ-011, 016, 017, 018 all functioning end-to-end, verified via Playwright.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Module 19</w:t>
      </w:r>
      <w:r>
        <w:t xml:space="preserve"> </w:t>
      </w:r>
      <w:r>
        <w:t xml:space="preserve">Macro Process catalog + E2E Registry browser + editable RACSI grid — structurally correct (REQ-022), pending Finding A’s data correction.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License &amp; Plan panel</w:t>
      </w:r>
      <w:r>
        <w:t xml:space="preserve"> </w:t>
      </w:r>
      <w:r>
        <w:t xml:space="preserve">(Module 2) — a proportionate, correctly-scoped reflection of D30’s licensing model for a client-side app (SaaS/OnPrem mode,</w:t>
      </w:r>
      <w:r>
        <w:t xml:space="preserve"> </w:t>
      </w:r>
      <w:r>
        <w:rPr>
          <w:rStyle w:val="VerbatimChar"/>
        </w:rPr>
        <w:t xml:space="preserve">.lic</w:t>
      </w:r>
      <w:r>
        <w:t xml:space="preserve"> </w:t>
      </w:r>
      <w:r>
        <w:t xml:space="preserve">upload, feature flags), not the literal Ed25519/Firebase SDK D30 specifies for a server-backed deployment.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13 (or 14, pending Finding B) seed projects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journi_Deliverables_D01D10_D15_D26.xlsx</w:t>
      </w:r>
      <w:r>
        <w:t xml:space="preserve">’s D21 Project Registry IDs (PRJ-001–013) match journi’s seeded case set 1:1 by name, type, and organization.</w:t>
      </w:r>
    </w:p>
    <w:p>
      <w:r>
        <w:pict>
          <v:rect style="width:0;height:1.5pt" o:hralign="center" o:hrstd="t" o:hr="t"/>
        </w:pict>
      </w:r>
    </w:p>
    <w:bookmarkEnd w:id="34"/>
    <w:bookmarkStart w:id="35" w:name="Xae7fd5f511705c366a7663bdb509aee18d129ca"/>
    <w:p>
      <w:pPr>
        <w:pStyle w:val="Heading2"/>
      </w:pPr>
      <w:r>
        <w:rPr>
          <w:b/>
          <w:color w:val="275650"/>
        </w:rPr>
        <w:t xml:space="preserve">6. Architectural Divergence, By Design (not re-scored above)</w:t>
      </w:r>
    </w:p>
    <w:p>
      <w:pPr>
        <w:pStyle w:val="FirstParagraph"/>
      </w:pPr>
      <w:r>
        <w:t xml:space="preserve">The following source material describes infrastructure a</w:t>
      </w:r>
      <w:r>
        <w:t xml:space="preserve"> </w:t>
      </w:r>
      <w:r>
        <w:rPr>
          <w:bCs/>
          <w:b/>
        </w:rPr>
        <w:t xml:space="preserve">server-backed, enterprise-deployed</w:t>
      </w:r>
      <w:r>
        <w:t xml:space="preserve"> </w:t>
      </w:r>
      <w:r>
        <w:t xml:space="preserve">journi would have, which the current</w:t>
      </w:r>
      <w:r>
        <w:t xml:space="preserve"> </w:t>
      </w:r>
      <w:r>
        <w:rPr>
          <w:bCs/>
          <w:b/>
        </w:rPr>
        <w:t xml:space="preserve">client-side, browser-only reference build</w:t>
      </w:r>
      <w:r>
        <w:t xml:space="preserve"> </w:t>
      </w:r>
      <w:r>
        <w:t xml:space="preserve">intentionally does not implement. This is documented in</w:t>
      </w:r>
      <w:r>
        <w:t xml:space="preserve"> </w:t>
      </w:r>
      <w:r>
        <w:rPr>
          <w:rStyle w:val="VerbatimChar"/>
        </w:rPr>
        <w:t xml:space="preserve">journi_spec.md</w:t>
      </w:r>
      <w:r>
        <w:t xml:space="preserve"> </w:t>
      </w:r>
      <w:r>
        <w:t xml:space="preserve">Section 2.4 and is not treated as a per-item gap in Section 3: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D02/D03 BPMN/DMN workflow and decision-table engine</w:t>
      </w:r>
      <w:r>
        <w:t xml:space="preserve"> </w:t>
      </w:r>
      <w:r>
        <w:t xml:space="preserve">— journi’s business logic (justification gating, divergence detection, competency thresholds) is implemented directly in JavaScript (</w:t>
      </w:r>
      <w:r>
        <w:rPr>
          <w:rStyle w:val="VerbatimChar"/>
        </w:rPr>
        <w:t xml:space="preserve">utils/compute.js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utils/rbac.js</w:t>
      </w:r>
      <w:r>
        <w:t xml:space="preserve">), not as executable BPMN processes or DMN decision tables with hit-policies and audit-grade rule versioning.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D04 Controls / COSO control-testing framework</w:t>
      </w:r>
      <w:r>
        <w:t xml:space="preserve"> </w:t>
      </w:r>
      <w:r>
        <w:t xml:space="preserve">— no formal control-testing cadence, evidence-retention period, or</w:t>
      </w:r>
      <w:r>
        <w:t xml:space="preserve"> </w:t>
      </w:r>
      <w:r>
        <w:t xml:space="preserve">“</w:t>
      </w:r>
      <w:r>
        <w:t xml:space="preserve">Line of Defense</w:t>
      </w:r>
      <w:r>
        <w:t xml:space="preserve">”</w:t>
      </w:r>
      <w:r>
        <w:t xml:space="preserve"> </w:t>
      </w:r>
      <w:r>
        <w:t xml:space="preserve">model; journi’s equivalent governance is the Permission Matrix + justification logging.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D09/D10/D12 Info Model, Data Dictionary, Physical Data Model</w:t>
      </w:r>
      <w:r>
        <w:t xml:space="preserve"> </w:t>
      </w:r>
      <w:r>
        <w:t xml:space="preserve">— journi’s data shapes are plain JS objects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not a normalized relational schema with foreign keys and a formal object-class catalog.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D14/D18/D20 BPMN Orchestration, Components, BPMN Execution Pack</w:t>
      </w:r>
      <w:r>
        <w:t xml:space="preserve"> </w:t>
      </w:r>
      <w:r>
        <w:t xml:space="preserve">— no service-oriented backend components exist to orchestrate.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D19/D19b Automation Decision Engine, Formula Registry</w:t>
      </w:r>
      <w:r>
        <w:t xml:space="preserve"> </w:t>
      </w:r>
      <w:r>
        <w:t xml:space="preserve">— journi’s few formulas (readiness index, divergence check) are hardcoded functions, not a registered, versioned formula catalog.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D24/REQ-024 Server-Side Persistence</w:t>
      </w:r>
      <w:r>
        <w:t xml:space="preserve"> </w:t>
      </w:r>
      <w:r>
        <w:t xml:space="preserve">— the foundational item; every one of the above assumes it.</w:t>
      </w:r>
    </w:p>
    <w:p>
      <w:pPr>
        <w:pStyle w:val="FirstParagraph"/>
      </w:pPr>
      <w:r>
        <w:t xml:space="preserve">None of this is a defect in the delivered application — it is the documented cost of the client-side-only architecture choice, and reversing it would be a platform decision (adopt a backend), not a feature addition.</w:t>
      </w:r>
    </w:p>
    <w:p>
      <w:r>
        <w:pict>
          <v:rect style="width:0;height:1.5pt" o:hralign="center" o:hrstd="t" o:hr="t"/>
        </w:pict>
      </w:r>
    </w:p>
    <w:bookmarkEnd w:id="35"/>
    <w:bookmarkStart w:id="36" w:name="recommendations-in-priority-order"/>
    <w:p>
      <w:pPr>
        <w:pStyle w:val="Heading2"/>
      </w:pPr>
      <w:r>
        <w:rPr>
          <w:b/>
          <w:color w:val="275650"/>
        </w:rPr>
        <w:t xml:space="preserve">7. Recommendations, in Priority Order</w:t>
      </w:r>
    </w:p>
    <w:p>
      <w:pPr>
        <w:pStyle w:val="FirstParagraph"/>
      </w:pPr>
      <w:r>
        <w:rPr>
          <w:bCs/>
          <w:b/>
        </w:rPr>
        <w:t xml:space="preserve">Do first (data corrections, no new UI, low effort/high correctness):</w:t>
      </w:r>
      <w:r>
        <w:t xml:space="preserve"> </w:t>
      </w:r>
      <w:r>
        <w:t xml:space="preserve">1. Correct</w:t>
      </w:r>
      <w:r>
        <w:t xml:space="preserve"> </w:t>
      </w:r>
      <w:r>
        <w:rPr>
          <w:rStyle w:val="VerbatimChar"/>
        </w:rPr>
        <w:t xml:space="preserve">e2eProcesses.js</w:t>
      </w:r>
      <w:r>
        <w:t xml:space="preserve">’s four core E2E entries (E2E-01–04) to D32h’s corrected macro-process compositions and names (Finding A); add per-chain RACSI.</w:t>
      </w:r>
      <w:r>
        <w:t xml:space="preserve"> </w:t>
      </w:r>
      <w:r>
        <w:t xml:space="preserve">2. Resolve Finding B (7 vs. 8 transformation types) as a product decision, then align whichever side loses.</w:t>
      </w:r>
    </w:p>
    <w:p>
      <w:pPr>
        <w:pStyle w:val="BodyText"/>
      </w:pPr>
      <w:r>
        <w:rPr>
          <w:bCs/>
          <w:b/>
        </w:rPr>
        <w:t xml:space="preserve">Do next (small, scoped additions consistent with existing patterns):</w:t>
      </w:r>
      <w:r>
        <w:t xml:space="preserve"> </w:t>
      </w:r>
      <w:r>
        <w:t xml:space="preserve">3. Build the Cross-Type Comparison Matrix (REQ-023/D32i) as a Module 15 tab.</w:t>
      </w:r>
      <w:r>
        <w:t xml:space="preserve"> </w:t>
      </w:r>
      <w:r>
        <w:t xml:space="preserve">4. Add</w:t>
      </w:r>
      <w:r>
        <w:t xml:space="preserve"> </w:t>
      </w:r>
      <w:r>
        <w:rPr>
          <w:rStyle w:val="VerbatimChar"/>
        </w:rPr>
        <w:t xml:space="preserve">Project_Change_Joint_Tag</w:t>
      </w:r>
      <w:r>
        <w:t xml:space="preserve"> </w:t>
      </w:r>
      <w:r>
        <w:t xml:space="preserve">to WBS tasks (REQ-020) and promote</w:t>
      </w:r>
      <w:r>
        <w:t xml:space="preserve"> </w:t>
      </w:r>
      <w:r>
        <w:rPr>
          <w:rStyle w:val="VerbatimChar"/>
        </w:rPr>
        <w:t xml:space="preserve">phase</w:t>
      </w:r>
      <w:r>
        <w:t xml:space="preserve"> </w:t>
      </w:r>
      <w:r>
        <w:t xml:space="preserve">to a constrained P1–P7 enum filterable from other modules (REQ-021).</w:t>
      </w:r>
      <w:r>
        <w:t xml:space="preserve"> </w:t>
      </w:r>
      <w:r>
        <w:t xml:space="preserve">5. Make Phase Gate Accountable role selectable rather than hardcoded (D32e/JD-05); add per-item checklist weighting (D32c).</w:t>
      </w:r>
    </w:p>
    <w:p>
      <w:pPr>
        <w:pStyle w:val="BodyText"/>
      </w:pPr>
      <w:r>
        <w:rPr>
          <w:bCs/>
          <w:b/>
        </w:rPr>
        <w:t xml:space="preserve">Consider as a larger, separately-scoped addition:</w:t>
      </w:r>
      <w:r>
        <w:t xml:space="preserve"> </w:t>
      </w:r>
      <w:r>
        <w:t xml:space="preserve">6. CM Charters (D31 family) — likely its own module.</w:t>
      </w:r>
      <w:r>
        <w:t xml:space="preserve"> </w:t>
      </w:r>
      <w:r>
        <w:t xml:space="preserve">7. Stakeholder Journey/Touchpoint model + the 5 Journey Analytics dashboards (D27–D29) — a substantial extension of Module 16/15.</w:t>
      </w:r>
    </w:p>
    <w:p>
      <w:pPr>
        <w:pStyle w:val="BodyText"/>
      </w:pPr>
      <w:r>
        <w:rPr>
          <w:bCs/>
          <w:b/>
        </w:rPr>
        <w:t xml:space="preserve">Explicitly out of scope without a platform decision:</w:t>
      </w:r>
      <w:r>
        <w:t xml:space="preserve"> </w:t>
      </w:r>
      <w:r>
        <w:t xml:space="preserve">8. Server-side persistence, BPMN/DMN workflow engine, COSO control-testing framework, report export formats, outbound alert notifications — all downstream of</w:t>
      </w:r>
      <w:r>
        <w:t xml:space="preserve"> </w:t>
      </w:r>
      <w:r>
        <w:t xml:space="preserve">“</w:t>
      </w:r>
      <w:r>
        <w:t xml:space="preserve">does journi get a backend,</w:t>
      </w:r>
      <w:r>
        <w:t xml:space="preserve">”</w:t>
      </w:r>
      <w:r>
        <w:t xml:space="preserve"> </w:t>
      </w:r>
      <w:r>
        <w:t xml:space="preserve">which is a scope conversation, not an implementation task.</w:t>
      </w:r>
    </w:p>
    <w:bookmarkEnd w:id="36"/>
    <w:bookmarkEnd w:id="37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Page </w:t>
    </w:r>
    <w:r>
      <w:rPr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99999"/>
        <w:sz w:val="16"/>
      </w:rPr>
      <w:t>journi — Gap Analysis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2026-08-24T10:30:10Z</dcterms:created>
  <dcterms:modified xsi:type="dcterms:W3CDTF">2026-08-24T10:30:10Z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