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jc w:val="center"/>
        <w:rPr/>
      </w:pPr>
      <w:r>
        <w:rPr>
          <w:b/>
          <w:color w:val="333333"/>
          <w:sz w:val="26"/>
        </w:rPr>
        <w:t>journi</w:t>
      </w:r>
    </w:p>
    <w:p>
      <w:pPr>
        <w:pStyle w:val="BodyText"/>
        <w:jc w:val="center"/>
        <w:rPr/>
      </w:pPr>
      <w:r>
        <w:rPr>
          <w:b/>
          <w:color w:val="1F4B45"/>
          <w:sz w:val="48"/>
        </w:rPr>
        <w:t>Running a Quality Management System Certification Program</w:t>
      </w:r>
    </w:p>
    <w:p>
      <w:pPr>
        <w:pStyle w:val="BodyText"/>
        <w:jc w:val="center"/>
        <w:rPr/>
      </w:pPr>
      <w:r>
        <w:rPr>
          <w:b w:val="false"/>
          <w:color w:val="333333"/>
          <w:sz w:val="26"/>
        </w:rPr>
        <w:t>A Focused Guide to journi’s QMS Transformation Archetype</w:t>
      </w:r>
    </w:p>
    <w:p>
      <w:pPr>
        <w:pStyle w:val="BodyText"/>
        <w:jc w:val="center"/>
        <w:rPr/>
      </w:pPr>
      <w:r>
        <w:rPr>
          <w:b w:val="false"/>
          <w:color w:val="333333"/>
          <w:sz w:val="22"/>
        </w:rPr>
        <w:t>Case: ISO 9001/14001 Integrated Management System (Manufacturing — Settat Plant)</w:t>
      </w:r>
    </w:p>
    <w:p>
      <w:pPr>
        <w:pStyle w:val="BodyText"/>
        <w:jc w:val="center"/>
        <w:rPr/>
      </w:pPr>
      <w:r>
        <w:rPr>
          <w:b w:val="false"/>
          <w:color w:val="333333"/>
          <w:sz w:val="21"/>
        </w:rPr>
        <w:t>Tenant Setup Through Ongoing Surveillance — One Program, Followed Week by Week</w:t>
      </w:r>
    </w:p>
    <w:p>
      <w:pPr>
        <w:pStyle w:val="BodyText"/>
        <w:jc w:val="center"/>
        <w:rPr/>
      </w:pPr>
      <w:r>
        <w:rPr>
          <w:b w:val="false"/>
          <w:color w:val="333333"/>
          <w:sz w:val="21"/>
        </w:rPr>
        <w:t>Version 1.0 · September 2026 · Confidential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2"/>
            <w:tabs>
              <w:tab w:val="clear" w:pos="10229"/>
              <w:tab w:val="right" w:pos="1051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282_1049687307">
            <w:r>
              <w:rPr>
                <w:webHidden/>
                <w:rStyle w:val="IndexLink"/>
              </w:rPr>
              <w:t>Part 0 — Purpose and How to Use This Guide</w:t>
              <w:tab/>
              <w:t>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84_1049687307">
            <w:r>
              <w:rPr>
                <w:webHidden/>
                <w:rStyle w:val="IndexLink"/>
              </w:rPr>
              <w:t>What this guide is</w:t>
              <w:tab/>
              <w:t>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86_1049687307">
            <w:r>
              <w:rPr>
                <w:webHidden/>
                <w:rStyle w:val="IndexLink"/>
              </w:rPr>
              <w:t>How to use it</w:t>
              <w:tab/>
              <w:t>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88_1049687307">
            <w:r>
              <w:rPr>
                <w:webHidden/>
                <w:rStyle w:val="IndexLink"/>
              </w:rPr>
              <w:t>A note on fidelity</w:t>
              <w:tab/>
              <w:t>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90_1049687307">
            <w:r>
              <w:rPr>
                <w:webHidden/>
                <w:rStyle w:val="IndexLink"/>
              </w:rPr>
              <w:t>A note on the RACSI codes used throughout</w:t>
              <w:tab/>
              <w:t>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92_1049687307">
            <w:r>
              <w:rPr>
                <w:webHidden/>
                <w:rStyle w:val="IndexLink"/>
              </w:rPr>
              <w:t>Reading paths, by role</w:t>
              <w:tab/>
              <w:t>5</w:t>
            </w:r>
          </w:hyperlink>
        </w:p>
        <w:p>
          <w:pPr>
            <w:pStyle w:val="TOC2"/>
            <w:tabs>
              <w:tab w:val="clear" w:pos="10229"/>
              <w:tab w:val="right" w:pos="10511" w:leader="dot"/>
            </w:tabs>
            <w:rPr/>
          </w:pPr>
          <w:hyperlink w:anchor="__RefHeading___Toc15294_1049687307">
            <w:r>
              <w:rPr>
                <w:webHidden/>
                <w:rStyle w:val="IndexLink"/>
              </w:rPr>
              <w:t>Part 1 — Executive Summary</w:t>
              <w:tab/>
              <w:t>5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96_1049687307">
            <w:r>
              <w:rPr>
                <w:webHidden/>
                <w:rStyle w:val="IndexLink"/>
              </w:rPr>
              <w:t>1.1 Why This Case Matters: A Genuine Sponsor, Structurally Alone</w:t>
              <w:tab/>
              <w:t>5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298_1049687307">
            <w:r>
              <w:rPr>
                <w:webHidden/>
                <w:rStyle w:val="IndexLink"/>
              </w:rPr>
              <w:t>1.2 The Case, in Brief</w:t>
              <w:tab/>
              <w:t>5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00_1049687307">
            <w:r>
              <w:rPr>
                <w:webHidden/>
                <w:rStyle w:val="IndexLink"/>
              </w:rPr>
              <w:t>1.3 What This Guide Proves, Concretely</w:t>
              <w:tab/>
              <w:t>6</w:t>
            </w:r>
          </w:hyperlink>
        </w:p>
        <w:p>
          <w:pPr>
            <w:pStyle w:val="TOC2"/>
            <w:tabs>
              <w:tab w:val="clear" w:pos="10229"/>
              <w:tab w:val="right" w:pos="10511" w:leader="dot"/>
            </w:tabs>
            <w:rPr/>
          </w:pPr>
          <w:hyperlink w:anchor="__RefHeading___Toc15302_1049687307">
            <w:r>
              <w:rPr>
                <w:webHidden/>
                <w:rStyle w:val="IndexLink"/>
              </w:rPr>
              <w:t>Part 2 — The Four Frameworks and What Is Specific to QMS</w:t>
              <w:tab/>
              <w:t>6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04_1049687307">
            <w:r>
              <w:rPr>
                <w:webHidden/>
                <w:rStyle w:val="IndexLink"/>
              </w:rPr>
              <w:t>2.1 journi’s Four Frameworks, in Their Real Stage Vocabulary</w:t>
              <w:tab/>
              <w:t>6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06_1049687307">
            <w:r>
              <w:rPr>
                <w:webHidden/>
                <w:rStyle w:val="IndexLink"/>
              </w:rPr>
              <w:t>2.2 Why the Weighting Is Different for QMS</w:t>
              <w:tab/>
              <w:t>6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08_1049687307">
            <w:r>
              <w:rPr>
                <w:webHidden/>
                <w:rStyle w:val="IndexLink"/>
              </w:rPr>
              <w:t>2.3 The Composite Readiness Index and Benchmarking, Read for This Case</w:t>
              <w:tab/>
              <w:t>6</w:t>
            </w:r>
          </w:hyperlink>
        </w:p>
        <w:p>
          <w:pPr>
            <w:pStyle w:val="TOC2"/>
            <w:tabs>
              <w:tab w:val="clear" w:pos="10229"/>
              <w:tab w:val="right" w:pos="10511" w:leader="dot"/>
            </w:tabs>
            <w:rPr/>
          </w:pPr>
          <w:hyperlink w:anchor="__RefHeading___Toc15310_1049687307">
            <w:r>
              <w:rPr>
                <w:webHidden/>
                <w:rStyle w:val="IndexLink"/>
              </w:rPr>
              <w:t>Part 3 — Tenant and Admin Setup</w:t>
              <w:tab/>
              <w:t>7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12_1049687307">
            <w:r>
              <w:rPr>
                <w:webHidden/>
                <w:rStyle w:val="IndexLink"/>
              </w:rPr>
              <w:t>3.1 The Existing Tenant: Bouregreg Group</w:t>
              <w:tab/>
              <w:t>7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14_1049687307">
            <w:r>
              <w:rPr>
                <w:webHidden/>
                <w:rStyle w:val="IndexLink"/>
              </w:rPr>
              <w:t>3.2 Step 1 — Onboarding the Certification Team (M2)</w:t>
              <w:tab/>
              <w:t>7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16_1049687307">
            <w:r>
              <w:rPr>
                <w:webHidden/>
                <w:rStyle w:val="IndexLink"/>
              </w:rPr>
              <w:t>3.3 Step 2 — Creating the CM Project (M1)</w:t>
              <w:tab/>
              <w:t>7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18_1049687307">
            <w:r>
              <w:rPr>
                <w:webHidden/>
                <w:rStyle w:val="IndexLink"/>
              </w:rPr>
              <w:t>3.4 Step 3 — Governance (M2)</w:t>
              <w:tab/>
              <w:t>8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20_1049687307">
            <w:r>
              <w:rPr>
                <w:webHidden/>
                <w:rStyle w:val="IndexLink"/>
              </w:rPr>
              <w:t>3.5 Step 4 — Charters for This Program (M19)</w:t>
              <w:tab/>
              <w:t>8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22_1049687307">
            <w:r>
              <w:rPr>
                <w:webHidden/>
                <w:rStyle w:val="IndexLink"/>
              </w:rPr>
              <w:t>3.6 Setup Checklist</w:t>
              <w:tab/>
              <w:t>8</w:t>
            </w:r>
          </w:hyperlink>
        </w:p>
        <w:p>
          <w:pPr>
            <w:pStyle w:val="TOC2"/>
            <w:tabs>
              <w:tab w:val="clear" w:pos="10229"/>
              <w:tab w:val="right" w:pos="10511" w:leader="dot"/>
            </w:tabs>
            <w:rPr/>
          </w:pPr>
          <w:hyperlink w:anchor="__RefHeading___Toc15324_1049687307">
            <w:r>
              <w:rPr>
                <w:webHidden/>
                <w:rStyle w:val="IndexLink"/>
              </w:rPr>
              <w:t>Part 4 — Week-by-Week QMS Timeline: Normal Flow and Exceptions</w:t>
              <w:tab/>
              <w:t>8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26_1049687307">
            <w:r>
              <w:rPr>
                <w:webHidden/>
                <w:rStyle w:val="IndexLink"/>
              </w:rPr>
              <w:t>4.1 Normal Flow, Phase by Phase</w:t>
              <w:tab/>
              <w:t>9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28_1049687307">
            <w:r>
              <w:rPr>
                <w:webHidden/>
                <w:rStyle w:val="IndexLink"/>
              </w:rPr>
              <w:t>4.2 Master WBS &amp; Gantt — Every Task and Step, PM and CM Tracks, Across the Four Frameworks</w:t>
              <w:tab/>
              <w:t>14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30_1049687307">
            <w:r>
              <w:rPr>
                <w:webHidden/>
                <w:rStyle w:val="IndexLink"/>
              </w:rPr>
              <w:t>4.3 Master WBS &amp; Gantt — Every Task and Step, Techniques and Tools</w:t>
              <w:tab/>
              <w:t>16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32_1049687307">
            <w:r>
              <w:rPr>
                <w:webHidden/>
                <w:rStyle w:val="IndexLink"/>
              </w:rPr>
              <w:t>4.4 Six Exceptions, in Detail</w:t>
              <w:tab/>
              <w:t>19</w:t>
            </w:r>
          </w:hyperlink>
        </w:p>
        <w:p>
          <w:pPr>
            <w:pStyle w:val="TOC2"/>
            <w:tabs>
              <w:tab w:val="clear" w:pos="10229"/>
              <w:tab w:val="right" w:pos="10511" w:leader="dot"/>
            </w:tabs>
            <w:rPr/>
          </w:pPr>
          <w:hyperlink w:anchor="__RefHeading___Toc15334_1049687307">
            <w:r>
              <w:rPr>
                <w:webHidden/>
                <w:rStyle w:val="IndexLink"/>
              </w:rPr>
              <w:t>Part 5 — Training Program: Certification Literacy Across Three Tiers</w:t>
              <w:tab/>
              <w:t>23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36_1049687307">
            <w:r>
              <w:rPr>
                <w:webHidden/>
                <w:rStyle w:val="IndexLink"/>
              </w:rPr>
              <w:t>5.1 What This Training Covers</w:t>
              <w:tab/>
              <w:t>23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38_1049687307">
            <w:r>
              <w:rPr>
                <w:webHidden/>
                <w:rStyle w:val="IndexLink"/>
              </w:rPr>
              <w:t>5.2 Tier 1 — Strategic Management (Weeks 1–10)</w:t>
              <w:tab/>
              <w:t>23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40_1049687307">
            <w:r>
              <w:rPr>
                <w:webHidden/>
                <w:rStyle w:val="IndexLink"/>
              </w:rPr>
              <w:t>5.3 Tier 2 — Operational Management (Weeks 10–36)</w:t>
              <w:tab/>
              <w:t>23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42_1049687307">
            <w:r>
              <w:rPr>
                <w:webHidden/>
                <w:rStyle w:val="IndexLink"/>
              </w:rPr>
              <w:t>5.4 Tier 3 — Operations (Frontline) (Weeks 20–46)</w:t>
              <w:tab/>
              <w:t>24</w:t>
            </w:r>
          </w:hyperlink>
        </w:p>
        <w:p>
          <w:pPr>
            <w:pStyle w:val="TOC3"/>
            <w:tabs>
              <w:tab w:val="clear" w:pos="9945"/>
              <w:tab w:val="right" w:pos="10511" w:leader="dot"/>
            </w:tabs>
            <w:rPr/>
          </w:pPr>
          <w:hyperlink w:anchor="__RefHeading___Toc15344_1049687307">
            <w:r>
              <w:rPr>
                <w:webHidden/>
                <w:rStyle w:val="IndexLink"/>
              </w:rPr>
              <w:t>5.5 Training Completion and the Composite Readiness Index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0" w:name="__RefHeading___Toc15282_1049687307"/>
      <w:bookmarkStart w:id="1" w:name="part-0-purpose-and-how-to-use-this-guide"/>
      <w:bookmarkEnd w:id="0"/>
      <w:r>
        <w:rPr>
          <w:b/>
          <w:color w:val="1F4B45"/>
          <w:sz w:val="38"/>
        </w:rPr>
        <w:t>Part 0 — Purpose and How to Use This Guide</w:t>
      </w:r>
    </w:p>
    <w:p>
      <w:pPr>
        <w:pStyle w:val="Heading3"/>
        <w:rPr/>
      </w:pPr>
      <w:bookmarkStart w:id="2" w:name="__RefHeading___Toc15284_1049687307"/>
      <w:bookmarkStart w:id="3" w:name="what-this-guide-is"/>
      <w:bookmarkEnd w:id="2"/>
      <w:r>
        <w:rPr>
          <w:b/>
          <w:color w:val="275650"/>
          <w:sz w:val="29"/>
        </w:rPr>
        <w:t>What this guide is</w:t>
      </w:r>
    </w:p>
    <w:p>
      <w:pPr>
        <w:pStyle w:val="FirstParagraph"/>
        <w:rPr/>
      </w:pPr>
      <w:r>
        <w:rPr>
          <w:sz w:val="22"/>
        </w:rPr>
        <w:t xml:space="preserve">This guide is a single, focused companion to journi’s Quality Management System (QMS) archetype, following </w:t>
      </w:r>
      <w:r>
        <w:rPr>
          <w:b/>
          <w:bCs/>
          <w:sz w:val="22"/>
        </w:rPr>
        <w:t>ISO 9001/14001 Integrated Management System</w:t>
      </w:r>
      <w:r>
        <w:rPr>
          <w:sz w:val="22"/>
        </w:rPr>
        <w:t xml:space="preserve"> — Settat plant’s pursuit of integrated quality and environmental certification on one management system — from CM Project creation through the surveillance cycle that, by design, never formally closes. It is the guide in this series where the Sponsor is genuine but structurally isolated: a Quality Manager sponsoring alone, without the broader guiding coalition journi’s own ALT-010 alert is built to catch.</w:t>
      </w:r>
    </w:p>
    <w:p>
      <w:pPr>
        <w:pStyle w:val="BodyText"/>
        <w:rPr/>
      </w:pPr>
      <w:bookmarkStart w:id="4" w:name="what-this-guide-is"/>
      <w:r>
        <w:rPr>
          <w:sz w:val="22"/>
        </w:rPr>
        <w:t>It is organized in six parts: Part 0 (this part), Part 1 (Executive Summary), Part 2 (The Four Frameworks and What Is Specific to QMS), Part 3 (Tenant and Admin Setup), Part 4 (Week-by-Week QMS Timeline: Normal Flow and Exceptions, including two Master WBS &amp; Gantt views), and Part 5 (Training Program).</w:t>
      </w:r>
      <w:bookmarkEnd w:id="4"/>
    </w:p>
    <w:p>
      <w:pPr>
        <w:pStyle w:val="Heading3"/>
        <w:rPr/>
      </w:pPr>
      <w:bookmarkStart w:id="5" w:name="__RefHeading___Toc15286_1049687307"/>
      <w:bookmarkStart w:id="6" w:name="how-to-use-it"/>
      <w:bookmarkEnd w:id="5"/>
      <w:r>
        <w:rPr>
          <w:b/>
          <w:color w:val="275650"/>
          <w:sz w:val="29"/>
        </w:rPr>
        <w:t>How to use it</w:t>
      </w:r>
    </w:p>
    <w:p>
      <w:pPr>
        <w:pStyle w:val="FirstParagraph"/>
        <w:rPr/>
      </w:pPr>
      <w:bookmarkStart w:id="7" w:name="how-to-use-it"/>
      <w:r>
        <w:rPr>
          <w:sz w:val="22"/>
        </w:rPr>
        <w:t>This guide’s Bouregreg Group tenant is the same one journi’s Master User Guide builds, and the same one this series’ other archetype guides extend. A reader with the tenant already set up skips to Part 3, Section 3.2.</w:t>
      </w:r>
      <w:bookmarkEnd w:id="7"/>
    </w:p>
    <w:p>
      <w:pPr>
        <w:pStyle w:val="Heading3"/>
        <w:rPr/>
      </w:pPr>
      <w:bookmarkStart w:id="8" w:name="__RefHeading___Toc15288_1049687307"/>
      <w:bookmarkStart w:id="9" w:name="a-note-on-fidelity"/>
      <w:bookmarkEnd w:id="8"/>
      <w:r>
        <w:rPr>
          <w:b/>
          <w:color w:val="275650"/>
          <w:sz w:val="29"/>
        </w:rPr>
        <w:t>A note on fidelity</w:t>
      </w:r>
    </w:p>
    <w:p>
      <w:pPr>
        <w:pStyle w:val="FirstParagraph"/>
        <w:rPr/>
      </w:pPr>
      <w:r>
        <w:rPr>
          <w:sz w:val="22"/>
        </w:rPr>
        <w:t xml:space="preserve">Every journi module, field, and role named in this guide is verified against journi’s actual source. ISO 9001/14001 Integrated Management System is journi’s own stated case for </w:t>
      </w:r>
      <w:r>
        <w:rPr>
          <w:b/>
          <w:bCs/>
          <w:sz w:val="22"/>
        </w:rPr>
        <w:t>ALT-010 (Guiding Coalition Gap)</w:t>
      </w:r>
      <w:r>
        <w:rPr>
          <w:sz w:val="22"/>
        </w:rPr>
        <w:t xml:space="preserve"> — this guide builds toward that alert firing exactly once the Sponsor &amp; Coalition record shows fewer than two named coalition members, per journi’s own threshold, not before.</w:t>
      </w:r>
      <w:bookmarkEnd w:id="9"/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864" w:right="864" w:gutter="0" w:header="720" w:top="1008" w:footer="720" w:bottom="1008"/>
          <w:pgNumType w:fmt="decimal"/>
          <w:formProt w:val="false"/>
          <w:textDirection w:val="lrTb"/>
          <w:docGrid w:type="default" w:linePitch="100" w:charSpace="0"/>
        </w:sectPr>
        <w:pStyle w:val="Heading3"/>
        <w:rPr/>
      </w:pPr>
      <w:bookmarkStart w:id="10" w:name="__RefHeading___Toc15290_1049687307"/>
      <w:bookmarkStart w:id="11" w:name="X14c73c2752e550dc7bd4181aa8c52a44f6ae1ff"/>
      <w:bookmarkEnd w:id="10"/>
      <w:r>
        <w:rPr>
          <w:b/>
          <w:color w:val="275650"/>
          <w:sz w:val="29"/>
        </w:rPr>
        <w:t>A note on the RACSI codes used throughout</w:t>
      </w:r>
    </w:p>
    <w:p>
      <w:pPr>
        <w:pStyle w:val="FirstParagraph"/>
        <w:rPr/>
      </w:pPr>
      <w:r>
        <w:rPr>
          <w:sz w:val="22"/>
        </w:rPr>
        <w:t xml:space="preserve">Part 4’s RACSI tables use journi’s 7-code RACSI role taxonomy (ES/CM/PM/FPO/ITL/SUP/EU), distinct from the 9-role platform RBAC enum Part 3 uses for journi user accounts. </w:t>
      </w:r>
      <w:r>
        <w:rPr>
          <w:b/>
          <w:bCs/>
          <w:sz w:val="22"/>
        </w:rPr>
        <w:t>ES</w:t>
      </w:r>
      <w:r>
        <w:rPr>
          <w:sz w:val="22"/>
        </w:rPr>
        <w:t xml:space="preserve"> = Executive Sponsor, </w:t>
      </w:r>
      <w:r>
        <w:rPr>
          <w:b/>
          <w:bCs/>
          <w:sz w:val="22"/>
        </w:rPr>
        <w:t>CM</w:t>
      </w:r>
      <w:r>
        <w:rPr>
          <w:sz w:val="22"/>
        </w:rPr>
        <w:t xml:space="preserve"> = Change Manager, </w:t>
      </w:r>
      <w:r>
        <w:rPr>
          <w:b/>
          <w:bCs/>
          <w:sz w:val="22"/>
        </w:rPr>
        <w:t>PM</w:t>
      </w:r>
      <w:r>
        <w:rPr>
          <w:sz w:val="22"/>
        </w:rPr>
        <w:t xml:space="preserve"> = Program/Project Manager, </w:t>
      </w:r>
      <w:r>
        <w:rPr>
          <w:b/>
          <w:bCs/>
          <w:sz w:val="22"/>
        </w:rPr>
        <w:t>FPO</w:t>
      </w:r>
      <w:r>
        <w:rPr>
          <w:sz w:val="22"/>
        </w:rPr>
        <w:t xml:space="preserve"> = Functional Process Owner, </w:t>
      </w:r>
      <w:r>
        <w:rPr>
          <w:b/>
          <w:bCs/>
          <w:sz w:val="22"/>
        </w:rPr>
        <w:t>ITL</w:t>
      </w:r>
      <w:r>
        <w:rPr>
          <w:sz w:val="22"/>
        </w:rPr>
        <w:t xml:space="preserve"> = IT/Technical Lead, </w:t>
      </w:r>
      <w:r>
        <w:rPr>
          <w:b/>
          <w:bCs/>
          <w:sz w:val="22"/>
        </w:rPr>
        <w:t>SUP</w:t>
      </w:r>
      <w:r>
        <w:rPr>
          <w:sz w:val="22"/>
        </w:rPr>
        <w:t xml:space="preserve"> = Supervisor, </w:t>
      </w:r>
      <w:r>
        <w:rPr>
          <w:b/>
          <w:bCs/>
          <w:sz w:val="22"/>
        </w:rPr>
        <w:t>EU</w:t>
      </w:r>
      <w:r>
        <w:rPr>
          <w:sz w:val="22"/>
        </w:rPr>
        <w:t xml:space="preserve"> = End User.</w:t>
      </w:r>
      <w:bookmarkEnd w:id="11"/>
    </w:p>
    <w:p>
      <w:pPr>
        <w:pStyle w:val="Heading3"/>
        <w:rPr/>
      </w:pPr>
      <w:bookmarkStart w:id="12" w:name="__RefHeading___Toc15292_1049687307"/>
      <w:bookmarkStart w:id="13" w:name="reading-paths-by-role"/>
      <w:bookmarkEnd w:id="12"/>
      <w:r>
        <w:rPr>
          <w:b/>
          <w:color w:val="275650"/>
          <w:sz w:val="29"/>
        </w:rPr>
        <w:t>Reading paths, by role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sz w:val="22"/>
        </w:rPr>
        <w:t>A Change Manager running this program day to day:</w:t>
      </w:r>
      <w:r>
        <w:rPr>
          <w:sz w:val="22"/>
        </w:rPr>
        <w:t xml:space="preserve"> Part 2 once, then Part 4 in full.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sz w:val="22"/>
        </w:rPr>
        <w:t>A Program/Project Manager:</w:t>
      </w:r>
      <w:r>
        <w:rPr>
          <w:sz w:val="22"/>
        </w:rPr>
        <w:t xml:space="preserve"> Part 4’s PM Track column and the Master WBS &amp; Gantt (Sections 4.2–4.3).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sz w:val="22"/>
        </w:rPr>
        <w:t>An Executive Sponsor:</w:t>
      </w:r>
      <w:r>
        <w:rPr>
          <w:sz w:val="22"/>
        </w:rPr>
        <w:t xml:space="preserve"> Part 1, then Part 4’s phase-opening narratives.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sz w:val="22"/>
        </w:rPr>
        <w:t>A Super Admin or Org Admin:</w:t>
      </w:r>
      <w:r>
        <w:rPr>
          <w:sz w:val="22"/>
        </w:rPr>
        <w:t xml:space="preserve"> Part 3.</w:t>
      </w:r>
      <w:bookmarkEnd w:id="1"/>
      <w:bookmarkEnd w:id="13"/>
    </w:p>
    <w:p>
      <w:pPr>
        <w:pStyle w:val="Heading2"/>
        <w:rPr/>
      </w:pPr>
      <w:bookmarkStart w:id="14" w:name="__RefHeading___Toc15294_1049687307"/>
      <w:bookmarkStart w:id="15" w:name="part-1-executive-summary"/>
      <w:bookmarkEnd w:id="14"/>
      <w:r>
        <w:rPr>
          <w:b/>
          <w:color w:val="1F4B45"/>
          <w:sz w:val="38"/>
        </w:rPr>
        <w:t>Part 1 — Executive Summary</w:t>
      </w:r>
    </w:p>
    <w:p>
      <w:pPr>
        <w:pStyle w:val="Heading3"/>
        <w:rPr/>
      </w:pPr>
      <w:bookmarkStart w:id="16" w:name="__RefHeading___Toc15296_1049687307"/>
      <w:bookmarkStart w:id="17" w:name="Xcdb4fb9f0db215a5bbf4a6211a00721b91a1d5f"/>
      <w:bookmarkEnd w:id="16"/>
      <w:r>
        <w:rPr>
          <w:b/>
          <w:color w:val="275650"/>
          <w:sz w:val="29"/>
        </w:rPr>
        <w:t>1.1 Why This Case Matters: A Genuine Sponsor, Structurally Alone</w:t>
      </w:r>
    </w:p>
    <w:p>
      <w:pPr>
        <w:pStyle w:val="FirstParagraph"/>
        <w:rPr/>
      </w:pPr>
      <w:r>
        <w:rPr>
          <w:sz w:val="22"/>
        </w:rPr>
        <w:t>The Quality Manager sponsoring this program is not disengaged — unlike the Cultural archetype guide’s Sponsor Coverage Gap, this is not a visibility problem. It is a coalition problem: certification touches plant operations, procurement, HR, and site leadership, but the Sponsor started this program without named allies in any of those functions. journi’s ALT-010 exists for exactly this distinction — a Sponsor can be genuinely active and still structurally under-resourced for a program this cross-functional.</w:t>
      </w:r>
    </w:p>
    <w:p>
      <w:pPr>
        <w:pStyle w:val="BodyText"/>
        <w:rPr/>
      </w:pPr>
      <w:r>
        <w:rPr>
          <w:sz w:val="22"/>
        </w:rPr>
        <w:t>Three facts drive this case’s specific shape: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  <w:sz w:val="22"/>
        </w:rPr>
        <w:t>The deadline is externally real, but not fixed to a single date.</w:t>
      </w:r>
      <w:r>
        <w:rPr>
          <w:sz w:val="22"/>
        </w:rPr>
        <w:t xml:space="preserve"> A customer contract requires certification, and a parallel environmental certification is bundled for efficiency — two audits, not one, sharing most of the same evidence base.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  <w:sz w:val="22"/>
        </w:rPr>
        <w:t>The Sponsor’s authority is real but narrow.</w:t>
      </w:r>
      <w:r>
        <w:rPr>
          <w:sz w:val="22"/>
        </w:rPr>
        <w:t xml:space="preserve"> A Quality Manager can mandate documentation changes within quality’s own function; certification requires operations, procurement, and HR to change their own practices too, which the Quality Manager alone cannot compel.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  <w:sz w:val="22"/>
        </w:rPr>
        <w:t>Surveillance never formally closes.</w:t>
      </w:r>
      <w:r>
        <w:rPr>
          <w:sz w:val="22"/>
        </w:rPr>
        <w:t xml:space="preserve"> Unlike every other archetype in this series, this program’s final phase — Ongoing Surveillance — has no defined end date, because certification maintenance is a standing condition, not a project outcome.</w:t>
      </w:r>
      <w:bookmarkEnd w:id="17"/>
    </w:p>
    <w:p>
      <w:pPr>
        <w:pStyle w:val="Heading3"/>
        <w:rPr/>
      </w:pPr>
      <w:bookmarkStart w:id="18" w:name="__RefHeading___Toc15298_1049687307"/>
      <w:bookmarkStart w:id="19" w:name="the-case-in-brief"/>
      <w:bookmarkEnd w:id="18"/>
      <w:r>
        <w:rPr>
          <w:b/>
          <w:color w:val="275650"/>
          <w:sz w:val="29"/>
        </w:rPr>
        <w:t>1.2 The Case, in Brief</w:t>
      </w:r>
    </w:p>
    <w:p>
      <w:pPr>
        <w:pStyle w:val="FirstParagraph"/>
        <w:rPr/>
      </w:pPr>
      <w:bookmarkStart w:id="20" w:name="the-case-in-brief"/>
      <w:r>
        <w:rPr>
          <w:sz w:val="22"/>
        </w:rPr>
        <w:t>Settat plant pursues integrated ISO 9001 (quality) and ISO 14001 (environmental) certification on one management system rather than two separate ones. This program (Weeks 1–52+ of Bouregreg Group’s own org calendar, run alongside the ERP program’s own kickoff) covers Settat’s 410-person plant operations and quality function, crossing journi’s Guiding Coalition Gap threshold early — and closing it — before the certifying audit.</w:t>
      </w:r>
      <w:bookmarkEnd w:id="20"/>
    </w:p>
    <w:p>
      <w:pPr>
        <w:pStyle w:val="Heading3"/>
        <w:rPr/>
      </w:pPr>
      <w:bookmarkStart w:id="21" w:name="__RefHeading___Toc15300_1049687307"/>
      <w:bookmarkStart w:id="22" w:name="what-this-guide-proves-concretely"/>
      <w:bookmarkEnd w:id="21"/>
      <w:r>
        <w:rPr>
          <w:b/>
          <w:color w:val="275650"/>
          <w:sz w:val="29"/>
        </w:rPr>
        <w:t>1.3 What This Guide Proves, Concretely</w:t>
      </w:r>
    </w:p>
    <w:p>
      <w:pPr>
        <w:pStyle w:val="FirstParagraph"/>
        <w:rPr/>
      </w:pPr>
      <w:bookmarkStart w:id="23" w:name="part-1-executive-summary"/>
      <w:bookmarkStart w:id="24" w:name="what-this-guide-proves-concretely"/>
      <w:r>
        <w:rPr>
          <w:sz w:val="22"/>
        </w:rPr>
        <w:t>Every claim above is traceable to a real journi record this guide builds: a Sponsor &amp; Coalition record showing fewer than two named members through Implementation, a documented coalition-building response, and a certifying audit passed with a genuinely cross-functional coalition behind it, not the Quality Manager alone.</w:t>
      </w:r>
      <w:bookmarkEnd w:id="23"/>
      <w:bookmarkEnd w:id="24"/>
    </w:p>
    <w:p>
      <w:pPr>
        <w:pStyle w:val="Heading2"/>
        <w:rPr/>
      </w:pPr>
      <w:bookmarkStart w:id="25" w:name="__RefHeading___Toc15302_1049687307"/>
      <w:bookmarkStart w:id="26" w:name="X012349e2c5e98e94d0d43daa0471508d47fc410"/>
      <w:bookmarkEnd w:id="25"/>
      <w:r>
        <w:rPr>
          <w:b/>
          <w:color w:val="1F4B45"/>
          <w:sz w:val="38"/>
        </w:rPr>
        <w:t>Part 2 — The Four Frameworks and What Is Specific to QMS</w:t>
      </w:r>
    </w:p>
    <w:p>
      <w:pPr>
        <w:pStyle w:val="Heading3"/>
        <w:rPr/>
      </w:pPr>
      <w:bookmarkStart w:id="27" w:name="__RefHeading___Toc15304_1049687307"/>
      <w:bookmarkEnd w:id="27"/>
      <w:r>
        <w:rPr>
          <w:b/>
          <w:color w:val="275650"/>
          <w:sz w:val="29"/>
        </w:rPr>
        <w:t>2.1 journi’s Four Frameworks, in Their Real Stage Vocabulary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27"/>
        <w:gridCol w:w="3528"/>
        <w:gridCol w:w="3528"/>
        <w:gridCol w:w="3528"/>
      </w:tblGrid>
      <w:tr>
        <w:trPr>
          <w:tblHeader w:val="true"/>
          <w:cantSplit w:val="true"/>
        </w:trPr>
        <w:tc>
          <w:tcPr>
            <w:tcW w:w="3527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Framework</w:t>
            </w:r>
          </w:p>
        </w:tc>
        <w:tc>
          <w:tcPr>
            <w:tcW w:w="3528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Altitude</w:t>
            </w:r>
          </w:p>
        </w:tc>
        <w:tc>
          <w:tcPr>
            <w:tcW w:w="3528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Stages (in journi’s own UI, in order)</w:t>
            </w:r>
          </w:p>
        </w:tc>
        <w:tc>
          <w:tcPr>
            <w:tcW w:w="3528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Logged on</w:t>
            </w:r>
          </w:p>
        </w:tc>
      </w:tr>
      <w:tr>
        <w:trPr>
          <w:cantSplit w:val="true"/>
        </w:trPr>
        <w:tc>
          <w:tcPr>
            <w:tcW w:w="3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Lewin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Organizational — one reading per project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 → Change → Refreeze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M3 (Initiative Registry)</w:t>
            </w:r>
          </w:p>
        </w:tc>
      </w:tr>
      <w:tr>
        <w:trPr>
          <w:cantSplit w:val="true"/>
        </w:trPr>
        <w:tc>
          <w:tcPr>
            <w:tcW w:w="3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Prosci ADKAR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Individual / cohort — five independently-scored blocks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Awareness → Desire → Knowledge → Ability → Reinforcement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M5 (ADKAR Engine)</w:t>
            </w:r>
          </w:p>
        </w:tc>
      </w:tr>
      <w:tr>
        <w:trPr>
          <w:cantSplit w:val="true"/>
        </w:trPr>
        <w:tc>
          <w:tcPr>
            <w:tcW w:w="3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Bridges’ Transition Model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Individual / cohort — emotional position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Ending → Neutral Zone → New Beginning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M6 (Emotional &amp; Transition Layer)</w:t>
            </w:r>
          </w:p>
        </w:tc>
      </w:tr>
      <w:tr>
        <w:trPr>
          <w:cantSplit w:val="true"/>
        </w:trPr>
        <w:tc>
          <w:tcPr>
            <w:tcW w:w="3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Kübler-Ross Change Curve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Individual / cohort — sentiment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Denial → Resistance/Anger → Exploration → Commitment</w:t>
            </w:r>
          </w:p>
        </w:tc>
        <w:tc>
          <w:tcPr>
            <w:tcW w:w="35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M6 (Emotional &amp; Transition Layer)</w:t>
            </w:r>
            <w:bookmarkStart w:id="28" w:name="Xf9388d334f39966b48f045236a5d077134e6061"/>
            <w:bookmarkEnd w:id="28"/>
          </w:p>
        </w:tc>
      </w:tr>
    </w:tbl>
    <w:p>
      <w:pPr>
        <w:pStyle w:val="Heading3"/>
        <w:rPr/>
      </w:pPr>
      <w:bookmarkStart w:id="29" w:name="__RefHeading___Toc15306_1049687307"/>
      <w:bookmarkEnd w:id="29"/>
      <w:r>
        <w:rPr>
          <w:b/>
          <w:color w:val="275650"/>
          <w:sz w:val="29"/>
        </w:rPr>
        <w:t>2.2 Why the Weighting Is Different for QMS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  <w:sz w:val="22"/>
        </w:rPr>
        <w:t>Knowledge and Ability dominate, and stay dominant through Surveillance.</w:t>
      </w:r>
      <w:r>
        <w:rPr>
          <w:sz w:val="22"/>
        </w:rPr>
        <w:t xml:space="preserve"> Certification is fundamentally about staff correctly following documented procedures — a competence question more than a belief question, closer to Automation’s profile than BPR’s or Cultural’s.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  <w:sz w:val="22"/>
        </w:rPr>
        <w:t>The Sponsor &amp; Coalition record (M7) is this case’s single most important module</w:t>
      </w:r>
      <w:r>
        <w:rPr>
          <w:sz w:val="22"/>
        </w:rPr>
        <w:t>, more than in any other archetype guide in this series — because the whole case turns on the difference between a Sponsor being active and a Sponsor having a coalition.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  <w:sz w:val="22"/>
        </w:rPr>
        <w:t>Lewin’s Refreeze reading is genuinely provisional even after certification.</w:t>
      </w:r>
      <w:r>
        <w:rPr>
          <w:sz w:val="22"/>
        </w:rPr>
        <w:t xml:space="preserve"> A passed certifying audit is a real milestone, but “Refreeze” for a QMS program means the system holding through its first full surveillance cycle, not the audit pass itself — this guide states that distinction directly rather than call the audit pass Refreeze.</w:t>
      </w:r>
    </w:p>
    <w:p>
      <w:pPr>
        <w:pStyle w:val="Heading3"/>
        <w:rPr/>
      </w:pPr>
      <w:bookmarkStart w:id="30" w:name="__RefHeading___Toc15308_1049687307"/>
      <w:bookmarkStart w:id="31" w:name="Xb76089adb1c663877aebe90ebf6f1cee8dd0b39"/>
      <w:bookmarkEnd w:id="30"/>
      <w:r>
        <w:rPr>
          <w:b/>
          <w:color w:val="275650"/>
          <w:sz w:val="29"/>
        </w:rPr>
        <w:t>2.3 The Composite Readiness Index and Benchmarking, Read for This Case</w:t>
      </w:r>
    </w:p>
    <w:p>
      <w:pPr>
        <w:pStyle w:val="FirstParagraph"/>
        <w:rPr/>
      </w:pPr>
      <w:bookmarkStart w:id="32" w:name="X012349e2c5e98e94d0d43daa0471508d47fc410"/>
      <w:bookmarkStart w:id="33" w:name="Xb76089adb1c663877aebe90ebf6f1cee8dd0b39"/>
      <w:r>
        <w:rPr>
          <w:sz w:val="22"/>
        </w:rPr>
        <w:t>This program’s Composite Readiness Index shows steady, unremarkable growth through Design and early Implementation, then a visible plateau once the coalition gap is logged — Benchmarking correspondingly reads “Behind” for several weeks until the coalition-building response takes hold, a slower recovery than the Automation or BPR cases in this series, consistent with a structural gap taking longer to close than an individual resistance case.</w:t>
      </w:r>
      <w:bookmarkEnd w:id="32"/>
      <w:bookmarkEnd w:id="33"/>
    </w:p>
    <w:p>
      <w:pPr>
        <w:pStyle w:val="Heading2"/>
        <w:rPr/>
      </w:pPr>
      <w:bookmarkStart w:id="34" w:name="__RefHeading___Toc15310_1049687307"/>
      <w:bookmarkStart w:id="35" w:name="part-3-tenant-and-admin-setup"/>
      <w:bookmarkEnd w:id="34"/>
      <w:r>
        <w:rPr>
          <w:b/>
          <w:color w:val="1F4B45"/>
          <w:sz w:val="38"/>
        </w:rPr>
        <w:t>Part 3 — Tenant and Admin Setup</w:t>
      </w:r>
    </w:p>
    <w:p>
      <w:pPr>
        <w:pStyle w:val="Heading3"/>
        <w:rPr/>
      </w:pPr>
      <w:bookmarkStart w:id="36" w:name="__RefHeading___Toc15312_1049687307"/>
      <w:bookmarkStart w:id="37" w:name="the-existing-tenant-bouregreg-group"/>
      <w:bookmarkEnd w:id="36"/>
      <w:r>
        <w:rPr>
          <w:b/>
          <w:color w:val="275650"/>
          <w:sz w:val="29"/>
        </w:rPr>
        <w:t>3.1 The Existing Tenant: Bouregreg Group</w:t>
      </w:r>
    </w:p>
    <w:p>
      <w:pPr>
        <w:pStyle w:val="FirstParagraph"/>
        <w:rPr/>
      </w:pPr>
      <w:bookmarkStart w:id="38" w:name="the-existing-tenant-bouregreg-group"/>
      <w:r>
        <w:rPr>
          <w:sz w:val="22"/>
        </w:rPr>
        <w:t>This program runs inside the same tenant journi’s Master User Guide builds, under the existing Bouregreg Manufacturing Maroc Organization. No new Organization is needed — Settat plant already sits inside it.</w:t>
      </w:r>
      <w:bookmarkEnd w:id="38"/>
    </w:p>
    <w:p>
      <w:pPr>
        <w:pStyle w:val="Heading3"/>
        <w:rPr/>
      </w:pPr>
      <w:bookmarkStart w:id="39" w:name="__RefHeading___Toc15314_1049687307"/>
      <w:bookmarkEnd w:id="39"/>
      <w:r>
        <w:rPr>
          <w:b/>
          <w:color w:val="275650"/>
          <w:sz w:val="29"/>
        </w:rPr>
        <w:t>3.2 Step 1 — Onboarding the Certification Team (M2)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Name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Role (RBAC)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Scope type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Scope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RACSI Code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Notes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Nadia Fassi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Sponsor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Project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ISO 9001/14001 Integrated Management System </w:t>
            </w:r>
            <w:r>
              <w:rPr>
                <w:rFonts w:eastAsia="Cambria" w:cs=""/>
                <w:i/>
                <w:iCs/>
                <w:kern w:val="0"/>
                <w:sz w:val="19"/>
                <w:szCs w:val="24"/>
                <w:lang w:val="en-US" w:eastAsia="en-US" w:bidi="ar-SA"/>
              </w:rPr>
              <w:t>(created in Step 2)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ES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Quality Manager; sponsors alone at program start, without a named coalition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Rania Bensouda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Change Manager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Project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ISO 9001/14001 Integrated Management System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Owns day-to-day program execution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Samir Chraibi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Practitioner / Contributor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Project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ISO 9001/14001 Integrated Management System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Certification program lead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Mehdi Ouahbi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People Manager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Project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ISO 9001/14001 Integrated Management System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FPO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Settat Plant Quality Lead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Yasmine Kadiri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Practitioner / Contributor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Project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ISO 9001/14001 Integrated Management System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ITL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QMS documentation systems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Aziz Berrada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People Manager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Project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ISO 9001/14001 Integrated Management System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SUP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Settat Operations Supervisor</w:t>
            </w:r>
            <w:bookmarkStart w:id="40" w:name="Xc34f3cdf4368e81762c457440b65da2b6860c86"/>
            <w:bookmarkEnd w:id="40"/>
          </w:p>
        </w:tc>
      </w:tr>
    </w:tbl>
    <w:p>
      <w:pPr>
        <w:pStyle w:val="Heading3"/>
        <w:rPr/>
      </w:pPr>
      <w:bookmarkStart w:id="41" w:name="__RefHeading___Toc15316_1049687307"/>
      <w:bookmarkEnd w:id="41"/>
      <w:r>
        <w:rPr>
          <w:b/>
          <w:color w:val="275650"/>
          <w:sz w:val="29"/>
        </w:rPr>
        <w:t>3.3 Step 2 — Creating the CM Project (M1)</w:t>
      </w:r>
    </w:p>
    <w:p>
      <w:pPr>
        <w:pStyle w:val="Compact"/>
        <w:numPr>
          <w:ilvl w:val="0"/>
          <w:numId w:val="14"/>
        </w:numPr>
        <w:rPr/>
      </w:pPr>
      <w:r>
        <w:rPr>
          <w:sz w:val="22"/>
        </w:rPr>
        <w:t xml:space="preserve">On the Bouregreg Manufacturing Maroc Organization card, click </w:t>
      </w:r>
      <w:r>
        <w:rPr>
          <w:b/>
          <w:bCs/>
          <w:sz w:val="22"/>
        </w:rPr>
        <w:t>+ CM Project</w:t>
      </w:r>
      <w:r>
        <w:rPr>
          <w:sz w:val="22"/>
        </w:rPr>
        <w:t>. Fill in:</w:t>
      </w:r>
    </w:p>
    <w:p>
      <w:pPr>
        <w:pStyle w:val="Compact"/>
        <w:numPr>
          <w:ilvl w:val="1"/>
          <w:numId w:val="15"/>
        </w:numPr>
        <w:rPr/>
      </w:pPr>
      <w:r>
        <w:rPr>
          <w:sz w:val="22"/>
        </w:rPr>
        <w:t>Name: “ISO 9001/14001 Integrated Management System”</w:t>
      </w:r>
    </w:p>
    <w:p>
      <w:pPr>
        <w:pStyle w:val="Compact"/>
        <w:numPr>
          <w:ilvl w:val="1"/>
          <w:numId w:val="16"/>
        </w:numPr>
        <w:rPr/>
      </w:pPr>
      <w:r>
        <w:rPr>
          <w:sz w:val="22"/>
        </w:rPr>
        <w:t xml:space="preserve">Linked Main Project: </w:t>
      </w:r>
      <w:r>
        <w:rPr>
          <w:b/>
          <w:bCs/>
          <w:sz w:val="22"/>
        </w:rPr>
        <w:t>none</w:t>
      </w:r>
    </w:p>
    <w:p>
      <w:pPr>
        <w:pStyle w:val="Compact"/>
        <w:numPr>
          <w:ilvl w:val="1"/>
          <w:numId w:val="17"/>
        </w:numPr>
        <w:rPr/>
      </w:pPr>
      <w:r>
        <w:rPr>
          <w:sz w:val="22"/>
        </w:rPr>
        <w:t>Owner: “Rania Bensouda”</w:t>
      </w:r>
    </w:p>
    <w:p>
      <w:pPr>
        <w:pStyle w:val="Compact"/>
        <w:numPr>
          <w:ilvl w:val="1"/>
          <w:numId w:val="18"/>
        </w:numPr>
        <w:rPr/>
      </w:pPr>
      <w:r>
        <w:rPr>
          <w:sz w:val="22"/>
        </w:rPr>
        <w:t xml:space="preserve">Change type: </w:t>
      </w:r>
      <w:r>
        <w:rPr>
          <w:b/>
          <w:bCs/>
          <w:sz w:val="22"/>
        </w:rPr>
        <w:t>QMS</w:t>
      </w:r>
    </w:p>
    <w:p>
      <w:pPr>
        <w:pStyle w:val="Compact"/>
        <w:numPr>
          <w:ilvl w:val="1"/>
          <w:numId w:val="19"/>
        </w:numPr>
        <w:rPr/>
      </w:pPr>
      <w:r>
        <w:rPr>
          <w:sz w:val="22"/>
        </w:rPr>
        <w:t>Target population: “Settat plant operations and quality function (410)”</w:t>
      </w:r>
    </w:p>
    <w:p>
      <w:pPr>
        <w:pStyle w:val="Compact"/>
        <w:numPr>
          <w:ilvl w:val="1"/>
          <w:numId w:val="20"/>
        </w:numPr>
        <w:rPr/>
      </w:pPr>
      <w:r>
        <w:rPr>
          <w:sz w:val="22"/>
        </w:rPr>
        <w:t>Business driver: “A customer contract requires certified quality management (ISO 9001); a parallel environmental certification (ISO 14001) is bundled on the same management system for efficiency.”</w:t>
      </w:r>
    </w:p>
    <w:p>
      <w:pPr>
        <w:pStyle w:val="Compact"/>
        <w:numPr>
          <w:ilvl w:val="0"/>
          <w:numId w:val="4"/>
        </w:numPr>
        <w:rPr/>
      </w:pPr>
      <w:r>
        <w:rPr>
          <w:sz w:val="22"/>
        </w:rPr>
        <w:t xml:space="preserve">Save. Lewin opens at </w:t>
      </w:r>
      <w:r>
        <w:rPr>
          <w:b/>
          <w:bCs/>
          <w:sz w:val="22"/>
        </w:rPr>
        <w:t>Unfreeze</w:t>
      </w:r>
      <w:r>
        <w:rPr>
          <w:sz w:val="22"/>
        </w:rPr>
        <w:t>, justification: “Opening Unfreeze at program start, Week 1, alongside the ERP program’s own kickoff.”</w:t>
      </w:r>
    </w:p>
    <w:p>
      <w:pPr>
        <w:pStyle w:val="Compact"/>
        <w:numPr>
          <w:ilvl w:val="0"/>
          <w:numId w:val="4"/>
        </w:numPr>
        <w:rPr/>
      </w:pPr>
      <w:r>
        <w:rPr>
          <w:sz w:val="22"/>
        </w:rPr>
        <w:t xml:space="preserve">On </w:t>
      </w:r>
      <w:r>
        <w:rPr>
          <w:b/>
          <w:bCs/>
          <w:sz w:val="22"/>
        </w:rPr>
        <w:t>Module 17 — WBS &amp; Gantt</w:t>
      </w:r>
      <w:r>
        <w:rPr>
          <w:sz w:val="22"/>
        </w:rPr>
        <w:t xml:space="preserve">, load the </w:t>
      </w:r>
      <w:r>
        <w:rPr>
          <w:b/>
          <w:bCs/>
          <w:sz w:val="22"/>
        </w:rPr>
        <w:t>TPL-IMS-7</w:t>
      </w:r>
      <w:r>
        <w:rPr>
          <w:sz w:val="22"/>
        </w:rPr>
        <w:t xml:space="preserve"> phase template (Intake &amp; Diagnosis → Design → Implementation → Mock-up Audit → Certifying Audit → Surveillance Prep → Ongoing Surveillance).</w:t>
      </w:r>
    </w:p>
    <w:p>
      <w:pPr>
        <w:pStyle w:val="Heading3"/>
        <w:rPr/>
      </w:pPr>
      <w:bookmarkStart w:id="42" w:name="__RefHeading___Toc15318_1049687307"/>
      <w:bookmarkStart w:id="43" w:name="step-3-governance-m2"/>
      <w:bookmarkEnd w:id="42"/>
      <w:r>
        <w:rPr>
          <w:b/>
          <w:color w:val="275650"/>
          <w:sz w:val="29"/>
        </w:rPr>
        <w:t>3.4 Step 3 — Governance (M2)</w:t>
      </w:r>
    </w:p>
    <w:p>
      <w:pPr>
        <w:pStyle w:val="FirstParagraph"/>
        <w:rPr/>
      </w:pPr>
      <w:bookmarkStart w:id="44" w:name="step-3-governance-m2"/>
      <w:r>
        <w:rPr>
          <w:sz w:val="22"/>
        </w:rPr>
        <w:t>Permission Matrix and the Governance Setting stay unchanged tenant-wide.</w:t>
      </w:r>
      <w:bookmarkEnd w:id="44"/>
    </w:p>
    <w:p>
      <w:pPr>
        <w:pStyle w:val="Heading3"/>
        <w:rPr/>
      </w:pPr>
      <w:bookmarkStart w:id="45" w:name="__RefHeading___Toc15320_1049687307"/>
      <w:bookmarkEnd w:id="45"/>
      <w:r>
        <w:rPr>
          <w:b/>
          <w:color w:val="275650"/>
          <w:sz w:val="29"/>
        </w:rPr>
        <w:t>3.5 Step 4 — Charters for This Program (M19)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4"/>
        <w:gridCol w:w="4704"/>
        <w:gridCol w:w="4704"/>
      </w:tblGrid>
      <w:tr>
        <w:trPr>
          <w:tblHeader w:val="true"/>
          <w:cantSplit w:val="true"/>
        </w:trPr>
        <w:tc>
          <w:tcPr>
            <w:tcW w:w="470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Charter</w:t>
            </w:r>
          </w:p>
        </w:tc>
        <w:tc>
          <w:tcPr>
            <w:tcW w:w="470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Accountable (this program)</w:t>
            </w:r>
          </w:p>
        </w:tc>
        <w:tc>
          <w:tcPr>
            <w:tcW w:w="470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Review cadence</w:t>
            </w:r>
          </w:p>
        </w:tc>
      </w:tr>
      <w:tr>
        <w:trPr>
          <w:cantSplit w:val="true"/>
        </w:trPr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CHTR-01 Sponsorship / Leadership Charter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Nadia Fassi (ES)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Per Phase Gate</w:t>
            </w:r>
          </w:p>
        </w:tc>
      </w:tr>
      <w:tr>
        <w:trPr>
          <w:cantSplit w:val="true"/>
        </w:trPr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CHTR-03 Communication Charter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Rania Bensouda (CM)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Per communication wave</w:t>
            </w:r>
          </w:p>
        </w:tc>
      </w:tr>
      <w:tr>
        <w:trPr>
          <w:cantSplit w:val="true"/>
        </w:trPr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CHTR-04 Organizational Impact Charter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Rania Bensouda (CM)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On scope change</w:t>
            </w:r>
          </w:p>
        </w:tc>
      </w:tr>
      <w:tr>
        <w:trPr>
          <w:cantSplit w:val="true"/>
        </w:trPr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CHTR-05 Team Coaching Charter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Aziz Berrada (SUP)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Per reinforcement cycle</w:t>
            </w:r>
          </w:p>
        </w:tc>
      </w:tr>
      <w:tr>
        <w:trPr>
          <w:cantSplit w:val="true"/>
        </w:trPr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CHTR-08 Pulse / Interview Charter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Rania Bensouda (CM)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Per phase gate + ad hoc</w:t>
            </w:r>
            <w:bookmarkStart w:id="46" w:name="step-4-charters-for-this-program-m19"/>
            <w:bookmarkEnd w:id="46"/>
          </w:p>
        </w:tc>
      </w:tr>
    </w:tbl>
    <w:p>
      <w:pPr>
        <w:pStyle w:val="Heading3"/>
        <w:rPr/>
      </w:pPr>
      <w:bookmarkStart w:id="47" w:name="__RefHeading___Toc15322_1049687307"/>
      <w:bookmarkEnd w:id="47"/>
      <w:r>
        <w:rPr>
          <w:b/>
          <w:color w:val="275650"/>
          <w:sz w:val="29"/>
        </w:rPr>
        <w:t>3.6 Setup Checklist</w:t>
      </w:r>
    </w:p>
    <w:p>
      <w:pPr>
        <w:pStyle w:val="Compact"/>
        <w:numPr>
          <w:ilvl w:val="0"/>
          <w:numId w:val="21"/>
        </w:numPr>
        <w:rPr/>
      </w:pPr>
      <w:r>
        <w:rPr>
          <w:sz w:val="22"/>
        </w:rPr>
        <w:t xml:space="preserve">☐ </w:t>
      </w:r>
      <w:r>
        <w:rPr>
          <w:sz w:val="22"/>
        </w:rPr>
        <w:t>Base tenant confirmed (Bouregreg Group, Bouregreg Manufacturing Maroc Organization)</w:t>
      </w:r>
    </w:p>
    <w:p>
      <w:pPr>
        <w:pStyle w:val="Compact"/>
        <w:numPr>
          <w:ilvl w:val="0"/>
          <w:numId w:val="22"/>
        </w:numPr>
        <w:rPr/>
      </w:pPr>
      <w:r>
        <w:rPr>
          <w:sz w:val="22"/>
        </w:rPr>
        <w:t xml:space="preserve">☐ </w:t>
      </w:r>
      <w:r>
        <w:rPr>
          <w:sz w:val="22"/>
        </w:rPr>
        <w:t>Certification team accounts created — Section 3.2</w:t>
      </w:r>
    </w:p>
    <w:p>
      <w:pPr>
        <w:pStyle w:val="Compact"/>
        <w:numPr>
          <w:ilvl w:val="0"/>
          <w:numId w:val="23"/>
        </w:numPr>
        <w:rPr/>
      </w:pPr>
      <w:r>
        <w:rPr>
          <w:sz w:val="22"/>
        </w:rPr>
        <w:t xml:space="preserve">☐ </w:t>
      </w:r>
      <w:r>
        <w:rPr>
          <w:sz w:val="22"/>
        </w:rPr>
        <w:t>CM Project created, Lewin opened at Unfreeze — Section 3.3</w:t>
      </w:r>
    </w:p>
    <w:p>
      <w:pPr>
        <w:pStyle w:val="Compact"/>
        <w:numPr>
          <w:ilvl w:val="0"/>
          <w:numId w:val="24"/>
        </w:numPr>
        <w:rPr/>
      </w:pPr>
      <w:r>
        <w:rPr>
          <w:sz w:val="22"/>
        </w:rPr>
        <w:t xml:space="preserve">☐ </w:t>
      </w:r>
      <w:r>
        <w:rPr>
          <w:sz w:val="22"/>
        </w:rPr>
        <w:t>TPL-IMS-7 phase template loaded on M17 — Section 3.3</w:t>
      </w:r>
    </w:p>
    <w:p>
      <w:pPr>
        <w:pStyle w:val="Compact"/>
        <w:numPr>
          <w:ilvl w:val="0"/>
          <w:numId w:val="25"/>
        </w:numPr>
        <w:rPr/>
      </w:pPr>
      <w:r>
        <w:rPr>
          <w:sz w:val="22"/>
        </w:rPr>
        <w:t xml:space="preserve">☐ </w:t>
      </w:r>
      <w:r>
        <w:rPr>
          <w:sz w:val="22"/>
        </w:rPr>
        <w:t>Five applicable Charters reviewed and accountable owners confirmed — Section 3.5</w:t>
      </w:r>
    </w:p>
    <w:p>
      <w:pPr>
        <w:pStyle w:val="FirstParagraph"/>
        <w:rPr/>
      </w:pPr>
      <w:bookmarkStart w:id="48" w:name="part-3-tenant-and-admin-setup"/>
      <w:r>
        <w:rPr>
          <w:sz w:val="22"/>
        </w:rPr>
        <w:t>With this checklist complete, Part 4 runs the program forward, week by week.</w:t>
      </w:r>
      <w:bookmarkEnd w:id="48"/>
    </w:p>
    <w:p>
      <w:pPr>
        <w:pStyle w:val="Heading2"/>
        <w:rPr/>
      </w:pPr>
      <w:bookmarkStart w:id="49" w:name="__RefHeading___Toc15324_1049687307"/>
      <w:bookmarkStart w:id="50" w:name="X6ab9578dc13ab170206e30a15d4c9e947b2a33c"/>
      <w:bookmarkEnd w:id="49"/>
      <w:r>
        <w:rPr>
          <w:b/>
          <w:color w:val="1F4B45"/>
          <w:sz w:val="38"/>
        </w:rPr>
        <w:t>Part 4 — Week-by-Week QMS Timeline: Normal Flow and Exceptions</w:t>
      </w:r>
    </w:p>
    <w:p>
      <w:pPr>
        <w:pStyle w:val="FirstParagraph"/>
        <w:rPr/>
      </w:pPr>
      <w:r>
        <w:rPr>
          <w:sz w:val="22"/>
        </w:rPr>
        <w:t>Part 3 ended with ISO 9001/14001 Integrated Management System registered and its Lewin phase opened at Unfreeze, program Week 1 — the same week as Bouregreg Group’s own org calendar, since this program opens alongside the ERP program’s own kickoff. Every week carrying a phase transition, a Phase Gate, or an exception gets its own row; a pure-monitoring stretch is shown at a lighter, regular cadence.</w:t>
      </w:r>
    </w:p>
    <w:p>
      <w:pPr>
        <w:pStyle w:val="Heading3"/>
        <w:rPr/>
      </w:pPr>
      <w:bookmarkStart w:id="51" w:name="__RefHeading___Toc15326_1049687307"/>
      <w:bookmarkStart w:id="52" w:name="normal-flow-phase-by-phase"/>
      <w:bookmarkEnd w:id="51"/>
      <w:r>
        <w:rPr>
          <w:b/>
          <w:color w:val="275650"/>
          <w:sz w:val="29"/>
        </w:rPr>
        <w:t>4.1 Normal Flow, Phase by Phase</w:t>
      </w:r>
    </w:p>
    <w:p>
      <w:pPr>
        <w:pStyle w:val="Heading4"/>
        <w:rPr/>
      </w:pPr>
      <w:bookmarkStart w:id="53" w:name="phase-1-intake-diagnosis-weeks-112"/>
      <w:r>
        <w:rPr>
          <w:b/>
          <w:color w:val="3F827B"/>
          <w:sz w:val="25"/>
        </w:rPr>
        <w:t>Phase 1 — Intake &amp; Diagnosis (Weeks 1–12)</w:t>
      </w:r>
    </w:p>
    <w:p>
      <w:pPr>
        <w:pStyle w:val="FirstParagraph"/>
        <w:rPr/>
      </w:pPr>
      <w:r>
        <w:rPr>
          <w:sz w:val="22"/>
        </w:rPr>
        <w:t>Diagnoses Settat’s current quality and environmental practices against both ISO 9001 and ISO 14001 requirements before any design work starts — a dual-standard gap analysis, not two separate ones.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1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Samir Chraibi holds program kickoff; confirms Nadia Fassi’s sponsorship.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Rania Bensouda briefs the team; plans the dual-standard gap analysis.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M1 (Hierarchy) — verify the CM Project record matches the kickoff agreement.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3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Begin the ISO 9001/14001 gap analysis against current Settat practices.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Baseline ADKAR pulse for plant operations and quality staff.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M5 (ADKAR Engine) — Awareness 3, Desire 3.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5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Continue gap analysis across operations, procurement, and HR touchpoints.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Log Nadia Fassi’s coalition status: zero named coalition members beyond herself.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M7 (Sponsor &amp; Coalition) — coalition member count: 0.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member count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7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Continue gap analysis.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Map stakeholder cohorts across the four functions certification touches.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M4 (Stakeholder Mapping) — “Settat Operations,” “Quality Function,” “Procurement,” “HR” cohorts logged.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9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Consolidate gap analysis findings into a single dual-standard report.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(Field Notes) — Category: Decision · Title: “Gap Analysis Consolidated.”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12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Phase 1 gate: gap analysis signed off.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M17 (WBS &amp; Gantt) — Phase Gate Joint Decision: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Go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bookmarkStart w:id="54" w:name="phase-1-intake-diagnosis-weeks-112"/>
      <w:r>
        <w:rPr>
          <w:i/>
          <w:iCs/>
          <w:sz w:val="22"/>
        </w:rPr>
        <w:t>Phase gate: Intake &amp; Diagnosis closes once the dual-standard gap analysis is signed off across all four touched functions.</w:t>
      </w:r>
      <w:bookmarkEnd w:id="54"/>
    </w:p>
    <w:p>
      <w:pPr>
        <w:pStyle w:val="Heading4"/>
        <w:rPr/>
      </w:pPr>
      <w:bookmarkStart w:id="55" w:name="phase-2-design-weeks-1026"/>
      <w:r>
        <w:rPr>
          <w:b/>
          <w:color w:val="3F827B"/>
          <w:sz w:val="25"/>
        </w:rPr>
        <w:t>Phase 2 — Design (Weeks 10–26)</w:t>
      </w:r>
    </w:p>
    <w:p>
      <w:pPr>
        <w:pStyle w:val="FirstParagraph"/>
        <w:rPr/>
      </w:pPr>
      <w:r>
        <w:rPr>
          <w:sz w:val="22"/>
        </w:rPr>
        <w:t>Designs the integrated management system’s documented procedures — one system serving both ISO 9001 and ISO 14001, not two parallel document sets.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10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Begin designing the integrated management system’s procedure set.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— routine log.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14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Continue procedure design; confirm which existing procedures can be adapted versus written new.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— routine log.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18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Continue procedure design across operations and environmental controls.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Re-score ADKAR — Knowledge beginning to build as draft procedures circulate.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M5 (ADKAR Engine) — Knowledge 3.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22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Review the draft procedure set with Mehdi Ouahbi.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status unchanged: still zero named members beyond the Sponsor.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M7 (Sponsor &amp; Coalition) — coalition member count: 0.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member count (unchanged)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26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Phase 2 gate: procedure set signed off.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M17 (WBS &amp; Gantt) — Phase Gate Joint Decision: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Go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bookmarkStart w:id="56" w:name="phase-2-design-weeks-1026"/>
      <w:r>
        <w:rPr>
          <w:i/>
          <w:iCs/>
          <w:sz w:val="22"/>
        </w:rPr>
        <w:t>Phase gate: Design closes once the integrated procedure set is signed off — still with no named coalition beyond the Sponsor, a gap Phase 3 makes impossible to ignore.</w:t>
      </w:r>
      <w:bookmarkEnd w:id="56"/>
    </w:p>
    <w:p>
      <w:pPr>
        <w:pStyle w:val="Heading4"/>
        <w:rPr/>
      </w:pPr>
      <w:bookmarkStart w:id="57" w:name="phase-3-implementation-weeks-2438"/>
      <w:r>
        <w:rPr>
          <w:b/>
          <w:color w:val="3F827B"/>
          <w:sz w:val="25"/>
        </w:rPr>
        <w:t>Phase 3 — Implementation (Weeks 24–38)</w:t>
      </w:r>
    </w:p>
    <w:p>
      <w:pPr>
        <w:pStyle w:val="FirstParagraph"/>
        <w:rPr/>
      </w:pPr>
      <w:r>
        <w:rPr>
          <w:sz w:val="22"/>
        </w:rPr>
        <w:t>Rolls the new procedures into daily practice across operations, procurement, and HR — the exact point where a Sponsor with real authority only inside quality’s own function runs out of road.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24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Begin implementation: new procedures roll out to plant operations first.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— routine log.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(Phase 2 gate also closes this week)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26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Continue operations rollout.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M5 — routine update.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28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Attempt procurement rollout — stalls, since procurement reports to a different function head Nadia Fassi has no authority over.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Confirm the coalition gap directly: still zero named coalition members. journi’s ALT-010 (Guiding Coalition Gap) fires.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M7 (Sponsor &amp; Coalition) — coalition member count: 0, five weeks into Implementation.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ALT-010 fires this week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 (Section 4.2)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member count (0)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29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Escalate to the Steering Committee: procurement and HR rollout both blocked without cross-functional authority.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Begin actively recruiting named coalition members from Procurement and HR leadership.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(Field Notes) — Category: Decision · Title: “Coalition-Building Response Initiated.”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ALT-010 resolution in progress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31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Support onboarding the two new coalition members into the program’s governance.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Log the Procurement Director and HR Business Partner as named coalition members.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M7 (Sponsor &amp; Coalition) — coalition member count: 2.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ALT-010 resolved this week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member count (2)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33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Resume procurement rollout with the Procurement Director’s direct backing.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M5 — routine update, procurement cohort.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35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Resume HR rollout with the HR Business Partner’s direct backing.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M5 — routine update, HR cohort.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38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Phase 3 gate: implementation complete across all four functions.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M17 (WBS &amp; Gantt) — Phase Gate Joint Decision: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Go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bookmarkStart w:id="58" w:name="phase-3-implementation-weeks-2438"/>
      <w:r>
        <w:rPr>
          <w:i/>
          <w:iCs/>
          <w:sz w:val="22"/>
        </w:rPr>
        <w:t>Phase gate: Implementation closes once all four functions have adopted the new procedures — with a real coalition behind it, not the Sponsor working alone.</w:t>
      </w:r>
      <w:bookmarkEnd w:id="58"/>
    </w:p>
    <w:p>
      <w:pPr>
        <w:pStyle w:val="Heading4"/>
        <w:rPr/>
      </w:pPr>
      <w:bookmarkStart w:id="59" w:name="phase-4-mock-up-audit-weeks-3646"/>
      <w:r>
        <w:rPr>
          <w:b/>
          <w:color w:val="3F827B"/>
          <w:sz w:val="25"/>
        </w:rPr>
        <w:t>Phase 4 — Mock-up Audit (Weeks 36–46)</w:t>
      </w:r>
    </w:p>
    <w:p>
      <w:pPr>
        <w:pStyle w:val="FirstParagraph"/>
        <w:rPr/>
      </w:pPr>
      <w:r>
        <w:rPr>
          <w:sz w:val="22"/>
        </w:rPr>
        <w:t>A rehearsal audit against both standards, run internally, before the real certifying audit.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36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Prepare the mock-up audit scope and schedule.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— routine log.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(Phase 3 active)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40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Run the mock-up audit across operations, procurement, and HR.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Log findings by function, distinguishing documentation gaps from practice gaps.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(Field Notes) — Category: Other · Title: “Mock-up Audit Findings Logged.”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Mock-up audit finding count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43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Close mock-up audit findings with corrective actions.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M10 (Resistance) — n/a; findings tracked separately as corrective actions, not resistance.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46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Phase 4 gate: mock-up findings closed.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M17 (WBS &amp; Gantt) — Phase Gate Joint Decision: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Go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bookmarkStart w:id="60" w:name="phase-4-mock-up-audit-weeks-3646"/>
      <w:r>
        <w:rPr>
          <w:i/>
          <w:iCs/>
          <w:sz w:val="22"/>
        </w:rPr>
        <w:t>Phase gate: Mock-up Audit closes once every finding has a closed corrective action, not just a logged one.</w:t>
      </w:r>
      <w:bookmarkEnd w:id="60"/>
    </w:p>
    <w:p>
      <w:pPr>
        <w:pStyle w:val="Heading4"/>
        <w:rPr/>
      </w:pPr>
      <w:bookmarkStart w:id="61" w:name="phase-5-certifying-audit-weeks-4450"/>
      <w:r>
        <w:rPr>
          <w:b/>
          <w:color w:val="3F827B"/>
          <w:sz w:val="25"/>
        </w:rPr>
        <w:t>Phase 5 — Certifying Audit (Weeks 44–50)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44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certifying audit readiness against mock-up results.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— routine log.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(Phase 4 active)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47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Host the certifying body’s audit across all four functions, with the full coalition present.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(Field Notes) — Category: Other · Title: “Certifying Audit Conducted.”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50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Phase 5 gate: certification granted for both ISO 9001 and ISO 14001.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Set Lewin to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Change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 — deliberately not Refreeze, since the system’s real test is the first surveillance cycle.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M3 (Initiative Registry) — Lewin: “Change.” Justification: “Certification granted; Refreeze reserved for after the first surveillance cycle confirms the system holds.”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Certification status (granted)</w:t>
            </w:r>
          </w:p>
        </w:tc>
      </w:tr>
    </w:tbl>
    <w:p>
      <w:pPr>
        <w:pStyle w:val="BodyText"/>
        <w:rPr/>
      </w:pPr>
      <w:bookmarkStart w:id="62" w:name="phase-5-certifying-audit-weeks-4450"/>
      <w:r>
        <w:rPr>
          <w:i/>
          <w:iCs/>
          <w:sz w:val="22"/>
        </w:rPr>
        <w:t>Phase gate: Certifying Audit closes once certification is granted for both standards.</w:t>
      </w:r>
      <w:bookmarkEnd w:id="62"/>
    </w:p>
    <w:p>
      <w:pPr>
        <w:pStyle w:val="Heading4"/>
        <w:rPr/>
      </w:pPr>
      <w:bookmarkStart w:id="63" w:name="phase-6-surveillance-prep-weeks-4852"/>
      <w:r>
        <w:rPr>
          <w:b/>
          <w:color w:val="3F827B"/>
          <w:sz w:val="25"/>
        </w:rPr>
        <w:t>Phase 6 — Surveillance Prep (Weeks 48–52)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48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Prepare the standing surveillance schedule alongside the final certifying-audit weeks.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M21 — routine log.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(Phase 5 active)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50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surveillance schedule and named ongoing owners per function.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M12 (Sustainment) — first standing checkpoint logged, tied to the surveillance calendar rather than a one-time close.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(Phase 5 gate also closes this week)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52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Phase 6 gate: surveillance schedule and owners confirmed.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M17 (WBS &amp; Gantt) — Phase Gate Joint Decision: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Go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bookmarkStart w:id="64" w:name="phase-6-surveillance-prep-weeks-4852"/>
      <w:r>
        <w:rPr>
          <w:i/>
          <w:iCs/>
          <w:sz w:val="22"/>
        </w:rPr>
        <w:t>Phase gate: Surveillance Prep closes once every function has a named, standing owner for its own surveillance obligations — not a single centralized owner who eventually moves on.</w:t>
      </w:r>
      <w:bookmarkEnd w:id="64"/>
    </w:p>
    <w:p>
      <w:pPr>
        <w:pStyle w:val="Heading4"/>
        <w:rPr/>
      </w:pPr>
      <w:bookmarkStart w:id="65" w:name="X151bf7484f10f05f66ea1d52108abcb530e417e"/>
      <w:r>
        <w:rPr>
          <w:b/>
          <w:color w:val="3F827B"/>
          <w:sz w:val="25"/>
        </w:rPr>
        <w:t>Phase 7 — Ongoing Surveillance (Weeks 52 onward, open-ended)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1"/>
        <w:gridCol w:w="2352"/>
        <w:gridCol w:w="2353"/>
        <w:gridCol w:w="2351"/>
        <w:gridCol w:w="2352"/>
      </w:tblGrid>
      <w:tr>
        <w:trPr>
          <w:tblHeader w:val="true"/>
          <w:cantSplit w:val="true"/>
        </w:trPr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Project Manager (PM) Track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Change Manager (CM) Track</w:t>
            </w:r>
          </w:p>
        </w:tc>
        <w:tc>
          <w:tcPr>
            <w:tcW w:w="235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journi Entry — What to Type In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to Track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52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first surveillance cycle begins on schedule.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M12 (Sustainment) — surveillance cycle 1 opened.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(Phase 6 gate also closes this week)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56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First surveillance spot-check, procurement function.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coalition built in Phase 3 is still active, not quietly reverted to the Sponsor alone.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M7 (Sponsor &amp; Coalition) — coalition member count: still 2 or more.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member count (sustained)</w:t>
            </w:r>
          </w:p>
        </w:tc>
      </w:tr>
      <w:tr>
        <w:trPr>
          <w:cantSplit w:val="true"/>
        </w:trPr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Week 60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First full surveillance cycle closes clean.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Set Lewin to </w:t>
            </w: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Refreeze</w:t>
            </w: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 xml:space="preserve"> — the confirmed call this guide reserves until the system has actually held through a real cycle.</w:t>
            </w:r>
          </w:p>
        </w:tc>
        <w:tc>
          <w:tcPr>
            <w:tcW w:w="23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M3 (Initiative Registry) — Lewin: “Refreeze.” Justification: “First full surveillance cycle closed clean, Week 60; coalition sustained beyond the certifying audit.”</w:t>
            </w:r>
          </w:p>
        </w:tc>
        <w:tc>
          <w:tcPr>
            <w:tcW w:w="2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—</w:t>
            </w:r>
          </w:p>
        </w:tc>
        <w:tc>
          <w:tcPr>
            <w:tcW w:w="23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Lewin state (confirmed Refreeze)</w:t>
            </w:r>
          </w:p>
        </w:tc>
      </w:tr>
    </w:tbl>
    <w:p>
      <w:pPr>
        <w:pStyle w:val="BodyText"/>
        <w:rPr/>
      </w:pPr>
      <w:bookmarkStart w:id="66" w:name="normal-flow-phase-by-phase"/>
      <w:bookmarkStart w:id="67" w:name="X151bf7484f10f05f66ea1d52108abcb530e417e"/>
      <w:r>
        <w:rPr>
          <w:i/>
          <w:iCs/>
          <w:sz w:val="22"/>
        </w:rPr>
        <w:t>Phase gate: Ongoing Surveillance has no formal close — this guide narrates through the first full cycle (Week 60) as the point Lewin’s Refreeze call becomes genuinely confirmed, consistent with journi’s own framing of certification maintenance as a standing condition, not a project outcome.</w:t>
      </w:r>
      <w:bookmarkEnd w:id="66"/>
      <w:bookmarkEnd w:id="67"/>
    </w:p>
    <w:p>
      <w:pPr>
        <w:pStyle w:val="Heading3"/>
        <w:rPr/>
      </w:pPr>
      <w:bookmarkStart w:id="68" w:name="__RefHeading___Toc15328_1049687307"/>
      <w:bookmarkStart w:id="69" w:name="Xc6b73c5214ce25f3e31cd7181b649bb6e2db9fd"/>
      <w:bookmarkEnd w:id="68"/>
      <w:r>
        <w:rPr>
          <w:b/>
          <w:color w:val="275650"/>
          <w:sz w:val="29"/>
        </w:rPr>
        <w:t>4.2 Master WBS &amp; Gantt — Every Task and Step, PM and CM Tracks, Across the Four Frameworks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3"/>
        <w:gridCol w:w="1764"/>
        <w:gridCol w:w="1764"/>
        <w:gridCol w:w="1764"/>
        <w:gridCol w:w="1764"/>
        <w:gridCol w:w="1764"/>
        <w:gridCol w:w="1764"/>
        <w:gridCol w:w="1763"/>
      </w:tblGrid>
      <w:tr>
        <w:trPr>
          <w:tblHeader w:val="true"/>
          <w:cantSplit w:val="true"/>
        </w:trPr>
        <w:tc>
          <w:tcPr>
            <w:tcW w:w="176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ID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Task / Step Name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Track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Week(s)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Lewin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ADKAR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Bridges</w:t>
            </w:r>
          </w:p>
        </w:tc>
        <w:tc>
          <w:tcPr>
            <w:tcW w:w="176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Kübler-Ross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T1.1-S1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Dual-standard gap analysis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1–7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Awareness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Ending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Denial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T1.1-S2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Stakeholder mapping and Phase 1 sign-off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7–12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Awareness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Ending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Denial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T2.1-S1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Integrated procedure set design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10–18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Awareness → Knowledge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Ending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Denial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T2.1-S2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Design sign-off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18–26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Knowledge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Ending → Neutral Zone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Denial → Resistance/Anger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T3.1-S1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Operations rollout; coalition gap detected (ALT-010)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24–29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Knowledge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Neutral Zone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Resistance/Anger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T3.1-S2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built; procurement and HR rollout resumed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29–38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Knowledge → Ability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Neutral Zone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Resistance/Anger → Exploration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T4.1-S1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Mock-up audit conducted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36–40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Ability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Neutral Zone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Exploration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T4.1-S2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Mock-up findings closed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40–46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Ability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Neutral Zone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Exploration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T5.1-S1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Certifying audit conducted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44–47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Unfreeze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Ability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Neutral Zone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Exploration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T5.1-S2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Certification granted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47–50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Change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Ability → Reinforcement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Neutral Zone → New Beginning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Exploration → Commitment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T6.1-S1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Surveillance schedule designed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48–50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Change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Reinforcement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New Beginning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Commitment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T6.1-S2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Per-function surveillance owners confirmed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50–52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Change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Reinforcement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New Beginning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Commitment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T7.1-S1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First surveillance cycle opens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52–56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Change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Reinforcement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New Beginning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Commitment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T7.1-S2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First cycle closes clean; Refreeze confirmed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56–60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9"/>
                <w:szCs w:val="24"/>
                <w:lang w:val="en-US" w:eastAsia="en-US" w:bidi="ar-SA"/>
              </w:rPr>
              <w:t>Refreeze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Reinforcement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New Beginning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Commitment</w:t>
            </w:r>
          </w:p>
        </w:tc>
      </w:tr>
    </w:tbl>
    <w:p>
      <w:pPr>
        <w:pStyle w:val="BodyText"/>
        <w:rPr/>
      </w:pPr>
      <w:bookmarkStart w:id="70" w:name="Xc6b73c5214ce25f3e31cd7181b649bb6e2db9fd"/>
      <w:r>
        <w:rPr>
          <w:i/>
          <w:iCs/>
          <w:sz w:val="22"/>
        </w:rPr>
        <w:t>Table 4.2.1 — Master WBS &amp; Gantt, framework view. All 14 Task/Step rows through the first full surveillance cycle.</w:t>
      </w:r>
      <w:bookmarkEnd w:id="70"/>
    </w:p>
    <w:p>
      <w:pPr>
        <w:pStyle w:val="Heading3"/>
        <w:rPr/>
      </w:pPr>
      <w:bookmarkStart w:id="71" w:name="__RefHeading___Toc15330_1049687307"/>
      <w:bookmarkStart w:id="72" w:name="Xbfc2cab260ff0d2b037d8bdcc38cc8d05e3256b"/>
      <w:bookmarkEnd w:id="71"/>
      <w:r>
        <w:rPr>
          <w:b/>
          <w:color w:val="275650"/>
          <w:sz w:val="29"/>
        </w:rPr>
        <w:t>4.3 Master WBS &amp; Gantt — Every Task and Step, Techniques and Tools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3"/>
        <w:gridCol w:w="1764"/>
        <w:gridCol w:w="1764"/>
        <w:gridCol w:w="1764"/>
        <w:gridCol w:w="1764"/>
        <w:gridCol w:w="1764"/>
        <w:gridCol w:w="1764"/>
        <w:gridCol w:w="1763"/>
      </w:tblGrid>
      <w:tr>
        <w:trPr>
          <w:tblHeader w:val="true"/>
          <w:cantSplit w:val="true"/>
        </w:trPr>
        <w:tc>
          <w:tcPr>
            <w:tcW w:w="176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ID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Task / Step Name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Track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Week(s)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Technique Name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Technique Goal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Technique Details</w:t>
            </w:r>
          </w:p>
        </w:tc>
        <w:tc>
          <w:tcPr>
            <w:tcW w:w="176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Recommended Tool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T1.1-S1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Dual-standard gap analysis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1–7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Combined ISO 9001/14001 gap assessment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Assess current practice against both standards on one pass, not two separate audits.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Cross-reference current documented and observed practice against both standards’ clauses simultaneously.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LibreOffice Calc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T1.1-S2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Stakeholder mapping and sign-off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7–12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Cross-functional stakeholder mapping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Identify every function certification actually touches, before design work assumes it’s quality’s problem alone.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Map Operations, Quality, Procurement, and HR as distinct cohorts with their own impact severity.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M4 — Stakeholder Mapping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T2.1-S1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Integrated procedure set design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10–18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Single-system procedure design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Design one set of procedures serving both standards, not parallel document sets.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Identify which existing procedures adapt versus need to be written new.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BookStack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T2.1-S2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Design sign-off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18–26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Design review and sign-off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procedure set before implementation begins.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Review with the Quality Lead; sign off per function.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M17 — WBS &amp; Gantt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T3.1-S1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Operations rollout; coalition gap detected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24–29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Coalition-status monitoring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Detect a structural sponsorship gap directly from the M7 record, not assume authority scales automatically.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Check M7 coalition-member count at each phase checkpoint; confirm the gap once implementation stalls outside quality’s own authority.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M7 — Sponsor &amp; Coalition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T3.1-S2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built; rollout resumed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29–38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Cross-functional coalition recruitment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Recruit named allies with real authority in the functions the Sponsor alone cannot compel.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Recruit the Procurement Director and HR Business Partner as named coalition members; resume rollout with their direct backing.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M7 — Sponsor &amp; Coalition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T4.1-S1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Mock-up audit conducted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36–40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Internal rehearsal audit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Find and fix findings before the real certifying audit, not during it.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Run an internal audit against both standards’ full clause set, across all four functions.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M21 — Field Notes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T4.1-S2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Mock-up findings closed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40–46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Corrective action tracking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Close every mock-up finding with a real corrective action, not just a logged note.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Track each finding to closure with an owner and a date, separate from the resistance log.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LibreOffice Calc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T5.1-S1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Certifying audit conducted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44–47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External certifying audit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Pass the real, external audit with the coalition present, not the Sponsor alone.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Host the certifying body across all four functions; coalition members present for their own function’s review.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M21 — Field Notes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T5.1-S2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Certification granted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47–50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Lewin state transition (deliberately not Refreeze)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Move to Change, reserving Refreeze for evidence the system holds beyond the audit pass itself.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Set Lewin to Change with a justification explicitly naming why Refreeze is reserved.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M3 — Initiative Registry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T6.1-S1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Surveillance schedule designed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48–50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Standing surveillance calendar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Design a surveillance cadence before certification is granted, not after.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Define per-function spot-check intervals for the ongoing surveillance cycle.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M17 — WBS &amp; Gantt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T6.1-S2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Per-function surveillance owners confirmed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Joint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50–52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Distributed ownership confirmation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Name a standing owner per function, avoiding a single centralized owner who eventually moves on.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and log one named owner per function for their own surveillance obligations.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M12 — Sustainment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T7.1-S1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First surveillance cycle opens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52–56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Surveillance cycle execution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Begin the standing surveillance obligation the certification actually requires.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Open cycle 1 on the M12 sustainment record, tied to the calendar, not a one-time close.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M12 — Sustainment</w:t>
            </w:r>
          </w:p>
        </w:tc>
      </w:tr>
      <w:tr>
        <w:trPr>
          <w:cantSplit w:val="true"/>
        </w:trPr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T7.1-S2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First cycle closes clean; Refreeze confirmed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CM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56–60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Confirmed Refreeze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Confirm the system holds through a real cycle, and that the coalition survived beyond the audit.</w:t>
            </w:r>
          </w:p>
        </w:tc>
        <w:tc>
          <w:tcPr>
            <w:tcW w:w="17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Verify the Phase 3 coalition is still active before confirming Refreeze — a reverted-to-Sponsor-alone coalition would mean Refreeze isn’t earned yet.</w:t>
            </w:r>
          </w:p>
        </w:tc>
        <w:tc>
          <w:tcPr>
            <w:tcW w:w="1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journi M3 / M7</w:t>
            </w:r>
          </w:p>
        </w:tc>
      </w:tr>
    </w:tbl>
    <w:p>
      <w:pPr>
        <w:pStyle w:val="BodyText"/>
        <w:rPr/>
      </w:pPr>
      <w:bookmarkStart w:id="73" w:name="Xbfc2cab260ff0d2b037d8bdcc38cc8d05e3256b"/>
      <w:r>
        <w:rPr>
          <w:i/>
          <w:iCs/>
          <w:sz w:val="22"/>
        </w:rPr>
        <w:t>Table 4.3.1 — Master WBS &amp; Gantt, technique view. Same 14 rows as Table 4.2.1, with the operational detail behind each step.</w:t>
      </w:r>
      <w:bookmarkEnd w:id="73"/>
    </w:p>
    <w:p>
      <w:pPr>
        <w:pStyle w:val="Heading3"/>
        <w:rPr/>
      </w:pPr>
      <w:bookmarkStart w:id="74" w:name="__RefHeading___Toc15332_1049687307"/>
      <w:bookmarkStart w:id="75" w:name="six-exceptions-in-detail"/>
      <w:bookmarkEnd w:id="74"/>
      <w:r>
        <w:rPr>
          <w:b/>
          <w:color w:val="275650"/>
          <w:sz w:val="29"/>
        </w:rPr>
        <w:t>4.4 Six Exceptions, in Detail</w:t>
      </w:r>
    </w:p>
    <w:p>
      <w:pPr>
        <w:pStyle w:val="Heading4"/>
        <w:rPr/>
      </w:pPr>
      <w:bookmarkStart w:id="76" w:name="Xc1580f460e4e21084ceded0f7be7dace81b7920"/>
      <w:r>
        <w:rPr>
          <w:b/>
          <w:color w:val="3F827B"/>
          <w:sz w:val="25"/>
        </w:rPr>
        <w:t>E1 — Guiding Coalition Gap (Phase 3, Weeks 28–31)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Detailed description.</w:t>
      </w:r>
      <w:r>
        <w:rPr>
          <w:color w:val="3F827B"/>
          <w:sz w:val="22"/>
        </w:rPr>
        <w:t xml:space="preserve"> Five weeks into Implementation, Nadia Fassi’s Sponsor &amp; Coalition record still showed zero named coalition members, and procurement/HR rollout had stalled outside her direct authority — journi’s ALT-010 condition met exactly.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Trigger.</w:t>
      </w:r>
      <w:r>
        <w:rPr>
          <w:color w:val="3F827B"/>
          <w:sz w:val="22"/>
        </w:rPr>
        <w:t xml:space="preserve"> Fewer than two named coalition members logged on M7 during an active implementation phase.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Timeline impact.</w:t>
      </w:r>
      <w:r>
        <w:rPr>
          <w:color w:val="3F827B"/>
          <w:sz w:val="22"/>
        </w:rPr>
        <w:t xml:space="preserve"> No Phase 3 gate delay — resolution completed by Week 31, seven weeks ahead of the Week 38 gate — but it exposed a structural gap that, left open, would have blocked certification entirely.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Recovery tasks.</w:t>
      </w:r>
      <w:r>
        <w:rPr>
          <w:color w:val="3F827B"/>
          <w:sz w:val="22"/>
        </w:rPr>
        <w:t xml:space="preserve"> Escalate the authority gap explicitly to the Steering Committee (Week 29); recruit the Procurement Director and HR Business Partner as named coalition members with real standing in their own functions (Week 31); resume rollout with their direct backing rather than the Sponsor alone.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Outputs.</w:t>
      </w:r>
      <w:r>
        <w:rPr>
          <w:color w:val="3F827B"/>
          <w:sz w:val="22"/>
        </w:rPr>
        <w:t xml:space="preserve"> Two new named coalition members on M7; resumed procurement and HR rollout.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RACSI.</w:t>
      </w:r>
      <w:r>
        <w:rPr>
          <w:color w:val="3F827B"/>
          <w:sz w:val="22"/>
        </w:rPr>
        <w:t xml:space="preserve"> R = CM, ES · A = ES · C = PM · S = FPO · I = SUP, EU</w:t>
      </w:r>
      <w:bookmarkEnd w:id="76"/>
    </w:p>
    <w:p>
      <w:pPr>
        <w:pStyle w:val="Heading4"/>
        <w:rPr/>
      </w:pPr>
      <w:bookmarkStart w:id="77" w:name="X056dc167a7286b5235e35338d3331b6717853e2"/>
      <w:r>
        <w:rPr>
          <w:b/>
          <w:color w:val="3F827B"/>
          <w:sz w:val="25"/>
        </w:rPr>
        <w:t>E2 — Mock-up Audit Finds a Systemic Documentation Gap (Phase 4, Weeks 40–43)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Detailed description.</w:t>
      </w:r>
      <w:r>
        <w:rPr>
          <w:color w:val="3F827B"/>
          <w:sz w:val="22"/>
        </w:rPr>
        <w:t xml:space="preserve"> The mock-up audit finds that the Design phase’s procedure set never fully addressed ISO 14001’s waste-handling documentation clause — not a single missed document, but a systemic gap across the whole environmental half of the integrated system.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Trigger.</w:t>
      </w:r>
      <w:r>
        <w:rPr>
          <w:color w:val="3F827B"/>
          <w:sz w:val="22"/>
        </w:rPr>
        <w:t xml:space="preserve"> A mock-up audit finding pattern spanning multiple clauses within the same standard, rather than isolated findings.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Timeline impact.</w:t>
      </w:r>
      <w:r>
        <w:rPr>
          <w:color w:val="3F827B"/>
          <w:sz w:val="22"/>
        </w:rPr>
        <w:t xml:space="preserve"> Would add two to three weeks to Mock-up Audit while the gap is closed, and risks compressing the buffer before the certifying audit if not caught this early.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Recovery tasks.</w:t>
      </w:r>
      <w:r>
        <w:rPr>
          <w:color w:val="3F827B"/>
          <w:sz w:val="22"/>
        </w:rPr>
        <w:t xml:space="preserve"> Confirm the gap is systemic, not isolated, before treating it as a single finding; return to a focused re-design of the waste-handling documentation specifically, rather than the whole procedure set; re-test the fix against the same mock-up audit criteria before declaring the finding closed.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Outputs.</w:t>
      </w:r>
      <w:r>
        <w:rPr>
          <w:color w:val="3F827B"/>
          <w:sz w:val="22"/>
        </w:rPr>
        <w:t xml:space="preserve"> A revised waste-handling documentation set; a confirmed, re-tested closure.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RACSI.</w:t>
      </w:r>
      <w:r>
        <w:rPr>
          <w:color w:val="3F827B"/>
          <w:sz w:val="22"/>
        </w:rPr>
        <w:t xml:space="preserve"> R = FPO, ITL · A = CM · C = PM · S = SUP · I = ES, EU</w:t>
      </w:r>
      <w:bookmarkEnd w:id="77"/>
    </w:p>
    <w:p>
      <w:pPr>
        <w:pStyle w:val="Heading4"/>
        <w:rPr/>
      </w:pPr>
      <w:bookmarkStart w:id="78" w:name="X4c23374555c4a0f04ca37e4ac0141b2c097fccc"/>
      <w:r>
        <w:rPr>
          <w:b/>
          <w:color w:val="3F827B"/>
          <w:sz w:val="25"/>
        </w:rPr>
        <w:t>E3 — External Auditor Flags a Nonconformity During Certification (Phase 5, Week 47)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Detailed description.</w:t>
      </w:r>
      <w:r>
        <w:rPr>
          <w:color w:val="3F827B"/>
          <w:sz w:val="22"/>
        </w:rPr>
        <w:t xml:space="preserve"> The certifying body’s own auditor, independent of the mock-up audit, flags a minor nonconformity during the real certifying audit — a specific procedure followed correctly on paper but not consistently in observed practice on the plant floor.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Trigger.</w:t>
      </w:r>
      <w:r>
        <w:rPr>
          <w:color w:val="3F827B"/>
          <w:sz w:val="22"/>
        </w:rPr>
        <w:t xml:space="preserve"> A nonconformity finding from the external certifying auditor during the live audit.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Timeline impact.</w:t>
      </w:r>
      <w:r>
        <w:rPr>
          <w:color w:val="3F827B"/>
          <w:sz w:val="22"/>
        </w:rPr>
        <w:t xml:space="preserve"> Minor nonconformities typically allow certification to proceed conditionally, with a defined corrective-action deadline — would add a defined follow-up window (commonly 60–90 days) rather than delaying the Week 50 certification decision itself.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Recovery tasks.</w:t>
      </w:r>
      <w:r>
        <w:rPr>
          <w:color w:val="3F827B"/>
          <w:sz w:val="22"/>
        </w:rPr>
        <w:t xml:space="preserve"> Accept the finding directly rather than dispute it defensively; design and implement the corrective action within the certifying body’s own deadline; document the fix for the first surveillance cycle to verify.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Outputs.</w:t>
      </w:r>
      <w:r>
        <w:rPr>
          <w:color w:val="3F827B"/>
          <w:sz w:val="22"/>
        </w:rPr>
        <w:t xml:space="preserve"> A documented corrective action with a confirmed deadline; conditional certification proceeding on schedule.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RACSI.</w:t>
      </w:r>
      <w:r>
        <w:rPr>
          <w:color w:val="3F827B"/>
          <w:sz w:val="22"/>
        </w:rPr>
        <w:t xml:space="preserve"> R = FPO, SUP · A = CM · C = ES · S = PM · I = ITL, EU</w:t>
      </w:r>
      <w:bookmarkEnd w:id="78"/>
    </w:p>
    <w:p>
      <w:pPr>
        <w:pStyle w:val="Heading4"/>
        <w:rPr/>
      </w:pPr>
      <w:bookmarkStart w:id="79" w:name="X8f3c16f3c83a8a509d66bc521aee94b05f2312a"/>
      <w:r>
        <w:rPr>
          <w:b/>
          <w:color w:val="3F827B"/>
          <w:sz w:val="25"/>
        </w:rPr>
        <w:t>E4 — A Function Reverts to Old Practice Once the Auditor Leaves (Phase 7, Weeks 54–58)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Detailed description.</w:t>
      </w:r>
      <w:r>
        <w:rPr>
          <w:color w:val="3F827B"/>
          <w:sz w:val="22"/>
        </w:rPr>
        <w:t xml:space="preserve"> A surveillance spot-check finds that one function — commonly the one furthest from quality’s own daily oversight — has quietly reverted to a pre-certification shortcut once the pressure of the audit itself passed, the classic “audit theater” risk every certification program has to guard against.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Trigger.</w:t>
      </w:r>
      <w:r>
        <w:rPr>
          <w:color w:val="3F827B"/>
          <w:sz w:val="22"/>
        </w:rPr>
        <w:t xml:space="preserve"> A surveillance spot-check finding a documented procedure not actually followed in practice, in a function with no other open issues.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Timeline impact.</w:t>
      </w:r>
      <w:r>
        <w:rPr>
          <w:color w:val="3F827B"/>
          <w:sz w:val="22"/>
        </w:rPr>
        <w:t xml:space="preserve"> Would not delay the surveillance cycle’s own schedule, but requires an out-of-cycle corrective conversation before the next scheduled spot-check.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Recovery tasks.</w:t>
      </w:r>
      <w:r>
        <w:rPr>
          <w:color w:val="3F827B"/>
          <w:sz w:val="22"/>
        </w:rPr>
        <w:t xml:space="preserve"> Address the reversion directly and specifically with that function’s named coalition-era owner, not a general reminder to everyone; investigate whether the reversion reflects a genuine practical problem with the procedure itself, not just non-compliance, and adjust the procedure if the concern is legitimate.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Outputs.</w:t>
      </w:r>
      <w:r>
        <w:rPr>
          <w:color w:val="3F827B"/>
          <w:sz w:val="22"/>
        </w:rPr>
        <w:t xml:space="preserve"> A closed reversion finding; either confirmed re-compliance or a revised procedure addressing a legitimate practical issue.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RACSI.</w:t>
      </w:r>
      <w:r>
        <w:rPr>
          <w:color w:val="3F827B"/>
          <w:sz w:val="22"/>
        </w:rPr>
        <w:t xml:space="preserve"> R = FPO, SUP · A = CM · C = ES · S = PM · I = ITL, EU</w:t>
      </w:r>
      <w:bookmarkEnd w:id="79"/>
    </w:p>
    <w:p>
      <w:pPr>
        <w:pStyle w:val="Heading4"/>
        <w:rPr/>
      </w:pPr>
      <w:bookmarkStart w:id="80" w:name="X7059665a6daaa22e3a7ded45af08eb70928a3ea"/>
      <w:r>
        <w:rPr>
          <w:b/>
          <w:color w:val="3F827B"/>
          <w:sz w:val="25"/>
        </w:rPr>
        <w:t>E5 — Environmental Requirements Conflict With an Existing Operations Practice (Phase 2–3, Weeks 18–26)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Detailed description.</w:t>
      </w:r>
      <w:r>
        <w:rPr>
          <w:color w:val="3F827B"/>
          <w:sz w:val="22"/>
        </w:rPr>
        <w:t xml:space="preserve"> A specific ISO 14001 waste-handling requirement conflicts directly with an existing, longstanding operations practice that was never a problem for ISO 9001 alone — the specific complication a genuinely </w:t>
      </w:r>
      <w:r>
        <w:rPr>
          <w:i/>
          <w:iCs/>
          <w:color w:val="3F827B"/>
          <w:sz w:val="22"/>
        </w:rPr>
        <w:t>integrated</w:t>
      </w:r>
      <w:r>
        <w:rPr>
          <w:color w:val="3F827B"/>
          <w:sz w:val="22"/>
        </w:rPr>
        <w:t xml:space="preserve"> certification introduces that a single-standard program wouldn’t face.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Trigger.</w:t>
      </w:r>
      <w:r>
        <w:rPr>
          <w:color w:val="3F827B"/>
          <w:sz w:val="22"/>
        </w:rPr>
        <w:t xml:space="preserve"> A design-phase or early-implementation conflict between the two standards’ requirements and current practice, surfaced during procedure drafting.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Timeline impact.</w:t>
      </w:r>
      <w:r>
        <w:rPr>
          <w:color w:val="3F827B"/>
          <w:sz w:val="22"/>
        </w:rPr>
        <w:t xml:space="preserve"> Would add one to two weeks to Design while operations and the environmental requirement’s actual intent are reconciled, rather than simply picking one standard’s letter over the other’s.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Recovery tasks.</w:t>
      </w:r>
      <w:r>
        <w:rPr>
          <w:color w:val="3F827B"/>
          <w:sz w:val="22"/>
        </w:rPr>
        <w:t xml:space="preserve"> Bring Operations directly into resolving the conflict rather than having quality dictate a solution; confirm the actual regulatory intent behind the environmental requirement, since a literal reading and its real intent sometimes diverge; document the resolution as a case study for future integrated-standard conflicts.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Outputs.</w:t>
      </w:r>
      <w:r>
        <w:rPr>
          <w:color w:val="3F827B"/>
          <w:sz w:val="22"/>
        </w:rPr>
        <w:t xml:space="preserve"> A resolved procedure satisfying both standards’ actual intent; a documented resolution case study.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RACSI.</w:t>
      </w:r>
      <w:r>
        <w:rPr>
          <w:color w:val="3F827B"/>
          <w:sz w:val="22"/>
        </w:rPr>
        <w:t xml:space="preserve"> R = FPO, SUP · A = CM · C = ITL · S = PM · I = ES, EU</w:t>
      </w:r>
      <w:bookmarkEnd w:id="80"/>
    </w:p>
    <w:p>
      <w:pPr>
        <w:pStyle w:val="Heading4"/>
        <w:rPr/>
      </w:pPr>
      <w:bookmarkStart w:id="81" w:name="X4124adbf1c92af6c2449fa5ee3c73882ab74ab5"/>
      <w:r>
        <w:rPr>
          <w:b/>
          <w:color w:val="3F827B"/>
          <w:sz w:val="25"/>
        </w:rPr>
        <w:t>E6 — A Coalition Member Departs During Surveillance (Phase 7, Weeks 56+)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Detailed description.</w:t>
      </w:r>
      <w:r>
        <w:rPr>
          <w:color w:val="3F827B"/>
          <w:sz w:val="22"/>
        </w:rPr>
        <w:t xml:space="preserve"> The HR Business Partner recruited as a coalition member during Phase 3’s recovery (Exception E1) leaves the organization during Ongoing Surveillance, risking a quiet reversion to the exact structural gap the program worked to close.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Trigger.</w:t>
      </w:r>
      <w:r>
        <w:rPr>
          <w:color w:val="3F827B"/>
          <w:sz w:val="22"/>
        </w:rPr>
        <w:t xml:space="preserve"> A confirmed departure of a named coalition member during an active surveillance cycle.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Timeline impact.</w:t>
      </w:r>
      <w:r>
        <w:rPr>
          <w:color w:val="3F827B"/>
          <w:sz w:val="22"/>
        </w:rPr>
        <w:t xml:space="preserve"> No impact to the surveillance calendar itself if the coalition seat is refilled promptly; a genuine risk of ALT-010 firing a second time if it is not.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Recovery tasks.</w:t>
      </w:r>
      <w:r>
        <w:rPr>
          <w:color w:val="3F827B"/>
          <w:sz w:val="22"/>
        </w:rPr>
        <w:t xml:space="preserve"> Treat the coalition seat, not just the person, as the standing requirement — identify and onboard a successor from the same function before the departure takes effect, not after; confirm the successor has the same real authority the departing member had, not just the title.</w:t>
      </w:r>
    </w:p>
    <w:p>
      <w:pPr>
        <w:pStyle w:val="BodyText"/>
        <w:rPr/>
      </w:pPr>
      <w:r>
        <w:rPr>
          <w:b/>
          <w:bCs/>
          <w:color w:val="3F827B"/>
          <w:sz w:val="22"/>
        </w:rPr>
        <w:t>Outputs.</w:t>
      </w:r>
      <w:r>
        <w:rPr>
          <w:color w:val="3F827B"/>
          <w:sz w:val="22"/>
        </w:rPr>
        <w:t xml:space="preserve"> A refilled coalition seat with confirmed real authority; a coalition-continuity practice logged for future departures.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orient="landscape" w:w="15840" w:h="12240"/>
          <w:pgMar w:left="864" w:right="864" w:gutter="0" w:header="720" w:top="1008" w:footer="720" w:bottom="1008"/>
          <w:pgNumType w:fmt="decimal"/>
          <w:formProt w:val="false"/>
          <w:textDirection w:val="lrTb"/>
          <w:docGrid w:type="default" w:linePitch="100" w:charSpace="0"/>
        </w:sectPr>
        <w:pStyle w:val="BodyText"/>
        <w:rPr/>
      </w:pPr>
      <w:r>
        <w:rPr>
          <w:b/>
          <w:bCs/>
          <w:color w:val="3F827B"/>
          <w:sz w:val="22"/>
        </w:rPr>
        <w:t>RACSI.</w:t>
      </w:r>
      <w:r>
        <w:rPr>
          <w:color w:val="3F827B"/>
          <w:sz w:val="22"/>
        </w:rPr>
        <w:t xml:space="preserve"> R = CM, ES · A = ES · C = FPO · S = PM · I = SUP, ITL, EU</w:t>
      </w:r>
      <w:bookmarkEnd w:id="50"/>
      <w:bookmarkEnd w:id="75"/>
      <w:bookmarkEnd w:id="81"/>
    </w:p>
    <w:p>
      <w:pPr>
        <w:pStyle w:val="Heading2"/>
        <w:rPr/>
      </w:pPr>
      <w:bookmarkStart w:id="82" w:name="__RefHeading___Toc15334_1049687307"/>
      <w:bookmarkStart w:id="83" w:name="Xb008a721adf293207fd2ad179f51aade2d4a88f"/>
      <w:bookmarkEnd w:id="82"/>
      <w:r>
        <w:rPr>
          <w:b/>
          <w:color w:val="1F4B45"/>
          <w:sz w:val="38"/>
        </w:rPr>
        <w:t>Part 5 — Training Program: Certification Literacy Across Three Tiers</w:t>
      </w:r>
    </w:p>
    <w:p>
      <w:pPr>
        <w:pStyle w:val="Heading3"/>
        <w:rPr/>
      </w:pPr>
      <w:bookmarkStart w:id="84" w:name="__RefHeading___Toc15336_1049687307"/>
      <w:bookmarkStart w:id="85" w:name="what-this-training-covers"/>
      <w:bookmarkEnd w:id="84"/>
      <w:r>
        <w:rPr>
          <w:b/>
          <w:color w:val="275650"/>
          <w:sz w:val="29"/>
        </w:rPr>
        <w:t>5.1 What This Training Covers</w:t>
      </w:r>
    </w:p>
    <w:p>
      <w:pPr>
        <w:pStyle w:val="FirstParagraph"/>
        <w:rPr/>
      </w:pPr>
      <w:bookmarkStart w:id="86" w:name="what-this-training-covers"/>
      <w:r>
        <w:rPr>
          <w:sz w:val="22"/>
        </w:rPr>
        <w:t>Per the E2E-IMS chain, MP-05 is present and directly relevant — certification depends on staff correctly following documented procedures, which is fundamentally a training question, logged on M9.</w:t>
      </w:r>
      <w:bookmarkEnd w:id="86"/>
    </w:p>
    <w:p>
      <w:pPr>
        <w:pStyle w:val="Heading3"/>
        <w:rPr/>
      </w:pPr>
      <w:bookmarkStart w:id="87" w:name="__RefHeading___Toc15338_1049687307"/>
      <w:bookmarkEnd w:id="87"/>
      <w:r>
        <w:rPr>
          <w:b/>
          <w:color w:val="275650"/>
          <w:sz w:val="29"/>
        </w:rPr>
        <w:t>5.2 Tier 1 — Strategic Management (Weeks 1–10)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Cohort.</w:t>
      </w:r>
      <w:r>
        <w:rPr>
          <w:color w:val="3F827B"/>
          <w:sz w:val="22"/>
        </w:rPr>
        <w:t xml:space="preserve"> Nadia Fassi (Sponsor), and — once recruited — the Procurement Director and HR Business Partner coalition members.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02"/>
        <w:gridCol w:w="2102"/>
        <w:gridCol w:w="2103"/>
        <w:gridCol w:w="2102"/>
        <w:gridCol w:w="2103"/>
      </w:tblGrid>
      <w:tr>
        <w:trPr>
          <w:tblHeader w:val="true"/>
          <w:cantSplit w:val="true"/>
        </w:trPr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Curriculum Entry</w:t>
            </w:r>
          </w:p>
        </w:tc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Content Focus</w:t>
            </w:r>
          </w:p>
        </w:tc>
        <w:tc>
          <w:tcPr>
            <w:tcW w:w="210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Weeks</w:t>
            </w:r>
          </w:p>
        </w:tc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M9 Entry — What to Log</w:t>
            </w:r>
          </w:p>
        </w:tc>
        <w:tc>
          <w:tcPr>
            <w:tcW w:w="210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Completion Target</w:t>
            </w:r>
          </w:p>
        </w:tc>
      </w:tr>
      <w:tr>
        <w:trPr>
          <w:cantSplit w:val="true"/>
        </w:trPr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Sponsoring a Cross-Functional Certification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Why quality-function authority alone doesn’t extend to procurement or HR, and what a real coalition requires structurally, not just personally.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1–4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Curriculum: “Sponsoring a Cross-Functional Certification” · Cohort: “Sponsor.”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100% before Week 5</w:t>
            </w:r>
          </w:p>
        </w:tc>
      </w:tr>
      <w:tr>
        <w:trPr>
          <w:cantSplit w:val="true"/>
        </w:trPr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Coalition Governance for New Members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Onboarding for the coalition members recruited in Exception E1 — their real role, not a ceremonial title.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29–31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Curriculum: “Coalition Governance for New Members” · Cohort: “Procurement Director, HR Business Partner.”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100% before Week 33</w:t>
            </w:r>
            <w:bookmarkStart w:id="88" w:name="tier-1-strategic-management-weeks-110"/>
            <w:bookmarkEnd w:id="88"/>
          </w:p>
        </w:tc>
      </w:tr>
    </w:tbl>
    <w:p>
      <w:pPr>
        <w:pStyle w:val="Heading3"/>
        <w:rPr/>
      </w:pPr>
      <w:bookmarkStart w:id="89" w:name="__RefHeading___Toc15340_1049687307"/>
      <w:bookmarkEnd w:id="89"/>
      <w:r>
        <w:rPr>
          <w:b/>
          <w:color w:val="275650"/>
          <w:sz w:val="29"/>
        </w:rPr>
        <w:t>5.3 Tier 2 — Operational Management (Weeks 10–36)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Cohort.</w:t>
      </w:r>
      <w:r>
        <w:rPr>
          <w:color w:val="3F827B"/>
          <w:sz w:val="22"/>
        </w:rPr>
        <w:t xml:space="preserve"> Mehdi Ouahbi (FPO), Aziz Berrada (SUP).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02"/>
        <w:gridCol w:w="2102"/>
        <w:gridCol w:w="2103"/>
        <w:gridCol w:w="2102"/>
        <w:gridCol w:w="2103"/>
      </w:tblGrid>
      <w:tr>
        <w:trPr>
          <w:tblHeader w:val="true"/>
          <w:cantSplit w:val="true"/>
        </w:trPr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Curriculum Entry</w:t>
            </w:r>
          </w:p>
        </w:tc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Content Focus</w:t>
            </w:r>
          </w:p>
        </w:tc>
        <w:tc>
          <w:tcPr>
            <w:tcW w:w="210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Weeks</w:t>
            </w:r>
          </w:p>
        </w:tc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M9 Entry — What to Log</w:t>
            </w:r>
          </w:p>
        </w:tc>
        <w:tc>
          <w:tcPr>
            <w:tcW w:w="210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Completion Target</w:t>
            </w:r>
          </w:p>
        </w:tc>
      </w:tr>
      <w:tr>
        <w:trPr>
          <w:cantSplit w:val="true"/>
        </w:trPr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Leading Integrated Procedure Rollout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Practical rollout leadership for a single procedure set serving two standards, distinct from a single-standard certification.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10–24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Curriculum: “Leading Integrated Procedure Rollout” · Cohort: “Quality Lead, Operations Supervisor.”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100% before Week 26</w:t>
            </w:r>
          </w:p>
        </w:tc>
      </w:tr>
      <w:tr>
        <w:trPr>
          <w:cantSplit w:val="true"/>
        </w:trPr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Preparing a Team for Audit — Mock-up Through Certifying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Practical audit-readiness coaching, distinguishing documentation compliance from demonstrated practice.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32–36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Curriculum: “Preparing a Team for Audit” · Cohort: “Quality Lead, Operations Supervisor.”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100% before Week 38</w:t>
            </w:r>
          </w:p>
        </w:tc>
      </w:tr>
    </w:tbl>
    <w:p>
      <w:pPr>
        <w:pStyle w:val="Heading3"/>
        <w:rPr/>
      </w:pPr>
      <w:bookmarkStart w:id="90" w:name="__RefHeading___Toc15342_1049687307"/>
      <w:bookmarkEnd w:id="90"/>
      <w:r>
        <w:rPr>
          <w:b/>
          <w:color w:val="275650"/>
          <w:sz w:val="29"/>
        </w:rPr>
        <w:t>5.4 Tier 3 — Operations (Frontline) (Weeks 20–46)</w:t>
      </w:r>
    </w:p>
    <w:p>
      <w:pPr>
        <w:pStyle w:val="FirstParagraph"/>
        <w:rPr/>
      </w:pPr>
      <w:r>
        <w:rPr>
          <w:b/>
          <w:bCs/>
          <w:color w:val="3F827B"/>
          <w:sz w:val="22"/>
        </w:rPr>
        <w:t>Cohort.</w:t>
      </w:r>
      <w:r>
        <w:rPr>
          <w:color w:val="3F827B"/>
          <w:sz w:val="22"/>
        </w:rPr>
        <w:t xml:space="preserve"> All 410 Settat plant operations and quality staff.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02"/>
        <w:gridCol w:w="2102"/>
        <w:gridCol w:w="2103"/>
        <w:gridCol w:w="2102"/>
        <w:gridCol w:w="2103"/>
      </w:tblGrid>
      <w:tr>
        <w:trPr>
          <w:tblHeader w:val="true"/>
          <w:cantSplit w:val="true"/>
        </w:trPr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Curriculum Entry</w:t>
            </w:r>
          </w:p>
        </w:tc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Content Focus</w:t>
            </w:r>
          </w:p>
        </w:tc>
        <w:tc>
          <w:tcPr>
            <w:tcW w:w="210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Weeks</w:t>
            </w:r>
          </w:p>
        </w:tc>
        <w:tc>
          <w:tcPr>
            <w:tcW w:w="2102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M9 Entry — What to Log</w:t>
            </w:r>
          </w:p>
        </w:tc>
        <w:tc>
          <w:tcPr>
            <w:tcW w:w="2103" w:type="dxa"/>
            <w:tcBorders>
              <w:bottom w:val="single" w:sz="6" w:space="0" w:color="000000"/>
            </w:tcBorders>
            <w:shd w:fill="1F4B45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Completion Target</w:t>
            </w:r>
          </w:p>
        </w:tc>
      </w:tr>
      <w:tr>
        <w:trPr>
          <w:cantSplit w:val="true"/>
        </w:trPr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Following the Integrated Management System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Practical training on the new procedures, using real plant-floor scenarios, not abstract standard language.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20–34 (per function rollout wave)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Curriculum: “Following the Integrated Management System” · Cohort: “Operations” / “Procurement” / “HR.”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100% within 2 weeks of each function’s rollout</w:t>
            </w:r>
          </w:p>
        </w:tc>
      </w:tr>
      <w:tr>
        <w:trPr>
          <w:cantSplit w:val="true"/>
        </w:trPr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Sustaining Practice Beyond the Audit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Directly addresses Exception E4’s audit-theater risk — why the procedure matters after the auditor leaves, not only during the audit.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44–46</w:t>
            </w:r>
          </w:p>
        </w:tc>
        <w:tc>
          <w:tcPr>
            <w:tcW w:w="21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Curriculum: “Sustaining Practice Beyond the Audit” · Cohort: “All 410.”</w:t>
            </w:r>
          </w:p>
        </w:tc>
        <w:tc>
          <w:tcPr>
            <w:tcW w:w="21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9"/>
                <w:szCs w:val="24"/>
                <w:lang w:val="en-US" w:eastAsia="en-US" w:bidi="ar-SA"/>
              </w:rPr>
              <w:t>100% before certification, Week 50</w:t>
            </w:r>
          </w:p>
        </w:tc>
      </w:tr>
    </w:tbl>
    <w:p>
      <w:pPr>
        <w:pStyle w:val="Heading3"/>
        <w:rPr/>
      </w:pPr>
      <w:bookmarkStart w:id="91" w:name="__RefHeading___Toc15344_1049687307"/>
      <w:bookmarkEnd w:id="91"/>
      <w:r>
        <w:rPr>
          <w:b/>
          <w:color w:val="275650"/>
          <w:sz w:val="29"/>
        </w:rPr>
        <w:t>5.5 Training Completion and the Composite Readiness Index</w:t>
      </w:r>
    </w:p>
    <w:p>
      <w:pPr>
        <w:pStyle w:val="FirstParagraph"/>
        <w:spacing w:before="180" w:after="180"/>
        <w:rPr/>
      </w:pPr>
      <w:bookmarkStart w:id="92" w:name="Xb008a721adf293207fd2ad179f51aade2d4a88f"/>
      <w:r>
        <w:rPr>
          <w:sz w:val="22"/>
        </w:rPr>
        <w:t>This program’s training-completion term rises through Design and Implementation, then plateaus alongside the coalition gap (Section 2.3) — procurement and HR staff cannot meaningfully complete training on procedures their own function hasn’t yet adopted. The term resumes climbing once the coalition is built and rollout resumes, a pattern this guide reads as confirming, not contradicting, the M7 coalition record.</w:t>
      </w:r>
      <w:bookmarkEnd w:id="92"/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w="12240" w:h="15840"/>
      <w:pgMar w:left="864" w:right="864" w:gutter="0" w:header="720" w:top="1008" w:footer="720" w:bottom="10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999999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999999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999999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999999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999999"/>
        <w:sz w:val="16"/>
      </w:rPr>
      <w:t>journi — Running a Quality Management System Certification Program (ISO 9001/14001)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999999"/>
        <w:sz w:val="16"/>
      </w:rPr>
      <w:t>journi — Running a Quality Management System Certification Program (ISO 9001/14001)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999999"/>
        <w:sz w:val="16"/>
      </w:rPr>
      <w:t>journi — Running a Quality Management System Certification Program (ISO 9001/14001)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999999"/>
        <w:sz w:val="16"/>
      </w:rPr>
      <w:t>journi — Running a Quality Management System Certification Program (ISO 9001/14001)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>
      <w:sz w:val="22"/>
    </w:rPr>
  </w:style>
  <w:style w:type="paragraph" w:styleId="Compact" w:customStyle="1">
    <w:name w:val="Compact"/>
    <w:basedOn w:val="BodyText"/>
    <w:qFormat/>
    <w:pPr>
      <w:spacing w:before="36" w:after="36"/>
    </w:pPr>
    <w:rPr>
      <w:sz w:val="22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sz w:val="22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2">
    <w:name w:val="TOC 2"/>
    <w:basedOn w:val="Index"/>
    <w:pPr>
      <w:tabs>
        <w:tab w:val="clear" w:pos="720"/>
        <w:tab w:val="right" w:pos="10229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9945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24</Pages>
  <Words>5560</Words>
  <Characters>31443</Characters>
  <CharactersWithSpaces>36366</CharactersWithSpaces>
  <Paragraphs>781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2026-09-04T13:46:57Z</dcterms:created>
  <dc:creator/>
  <dc:description/>
  <dc:language>en-US</dc:language>
  <cp:lastModifiedBy/>
  <dcterms:modified xsi:type="dcterms:W3CDTF">2026-09-04T13:47:05Z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