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left"/>
      </w:pPr>
      <w:r>
        <w:rPr>
          <w:rFonts w:ascii="Calibri" w:cs="Calibri" w:eastAsia="Calibri" w:hAnsi="Calibri"/>
          <w:b/>
          <w:bCs/>
          <w:color w:val="C2661C"/>
          <w:sz w:val="22"/>
          <w:szCs w:val="22"/>
        </w:rPr>
        <w:t xml:space="preserve">FOUNDATION · TRN-F1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5423A"/>
          <w:sz w:val="56"/>
          <w:szCs w:val="56"/>
        </w:rPr>
        <w:t xml:space="preserve">Facilitator Guide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6459"/>
          <w:sz w:val="32"/>
          <w:szCs w:val="32"/>
        </w:rPr>
        <w:t xml:space="preserve">Change Management Foundations &amp; the journi Platform</w:t>
      </w:r>
    </w:p>
    <w:p>
      <w:pPr>
        <w:spacing w:after="600"/>
      </w:pPr>
      <w:r>
        <w:rPr>
          <w:rFonts w:ascii="Calibri" w:cs="Calibri" w:eastAsia="Calibri" w:hAnsi="Calibri"/>
          <w:i/>
          <w:iCs/>
          <w:color w:val="5C6D68"/>
          <w:sz w:val="24"/>
          <w:szCs w:val="24"/>
        </w:rPr>
        <w:t xml:space="preserve">2 days · 4 half-days · 4 quizzes · 4 workshops · 1 training exam</w:t>
      </w:r>
    </w:p>
    <w:p>
      <w:pPr>
        <w:spacing w:after="160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16221F"/>
          <w:sz w:val="22"/>
          <w:szCs w:val="22"/>
        </w:rPr>
        <w:t xml:space="preserve">journi Academy</w:t>
      </w:r>
    </w:p>
    <w:p>
      <w:pPr>
        <w:spacing w:after="100"/>
      </w:pPr>
      <w:r>
        <w:rPr>
          <w:rFonts w:ascii="Calibri" w:cs="Calibri" w:eastAsia="Calibri" w:hAnsi="Calibri"/>
          <w:color w:val="5C6D68"/>
          <w:sz w:val="22"/>
          <w:szCs w:val="22"/>
        </w:rPr>
        <w:t xml:space="preserve">Prepared for POWERACT Consulting</w:t>
      </w:r>
    </w:p>
    <w:p>
      <w:r>
        <w:rPr>
          <w:rFonts w:ascii="Calibri" w:cs="Calibri" w:eastAsia="Calibri" w:hAnsi="Calibri"/>
          <w:i/>
          <w:iCs/>
          <w:color w:val="5C6D68"/>
          <w:sz w:val="22"/>
          <w:szCs w:val="22"/>
        </w:rPr>
        <w:t xml:space="preserve">Confidential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5423A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5423A"/>
          <w:sz w:val="32"/>
          <w:szCs w:val="32"/>
        </w:rPr>
        <w:t xml:space="preserve">1. Training Overview</w:t>
      </w:r>
    </w:p>
    <w:tbl>
      <w:tblPr>
        <w:tblW w:type="dxa" w:w="9350"/>
        <w:tblBorders>
          <w:top w:val="single" w:color="DBE6E3" w:sz="4"/>
          <w:left w:val="single" w:color="DBE6E3" w:sz="4"/>
          <w:bottom w:val="single" w:color="DBE6E3" w:sz="4"/>
          <w:right w:val="single" w:color="DBE6E3" w:sz="4"/>
          <w:insideH w:val="single" w:color="DBE6E3" w:sz="4"/>
          <w:insideV w:val="single" w:color="DBE6E3" w:sz="4"/>
        </w:tblBorders>
      </w:tblPr>
      <w:tblGrid>
        <w:gridCol w:w="3115"/>
        <w:gridCol w:w="6235"/>
      </w:tblGrid>
      <w:tr>
        <w:tc>
          <w:tcPr>
            <w:tcW w:type="dxa" w:w="3115"/>
            <w:shd w:fill="1542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235"/>
            <w:shd w:fill="1542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3115"/>
            <w:shd w:fill="EAF2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423A"/>
                <w:sz w:val="21"/>
                <w:szCs w:val="21"/>
              </w:rPr>
              <w:t xml:space="preserve">Training ID</w:t>
            </w:r>
          </w:p>
        </w:tc>
        <w:tc>
          <w:tcPr>
            <w:tcW w:type="dxa" w:w="6235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TRN-F1</w:t>
            </w:r>
          </w:p>
        </w:tc>
      </w:tr>
      <w:tr>
        <w:tc>
          <w:tcPr>
            <w:tcW w:type="dxa" w:w="3115"/>
            <w:shd w:fill="EAF2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423A"/>
                <w:sz w:val="21"/>
                <w:szCs w:val="21"/>
              </w:rPr>
              <w:t xml:space="preserve">Name</w:t>
            </w:r>
          </w:p>
        </w:tc>
        <w:tc>
          <w:tcPr>
            <w:tcW w:type="dxa" w:w="6235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Change Management Foundations &amp; the journi Platform</w:t>
            </w:r>
          </w:p>
        </w:tc>
      </w:tr>
      <w:tr>
        <w:tc>
          <w:tcPr>
            <w:tcW w:type="dxa" w:w="3115"/>
            <w:shd w:fill="EAF2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423A"/>
                <w:sz w:val="21"/>
                <w:szCs w:val="21"/>
              </w:rPr>
              <w:t xml:space="preserve">Level</w:t>
            </w:r>
          </w:p>
        </w:tc>
        <w:tc>
          <w:tcPr>
            <w:tcW w:type="dxa" w:w="6235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Foundation (LVL-F)</w:t>
            </w:r>
          </w:p>
        </w:tc>
      </w:tr>
      <w:tr>
        <w:tc>
          <w:tcPr>
            <w:tcW w:type="dxa" w:w="3115"/>
            <w:shd w:fill="EAF2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423A"/>
                <w:sz w:val="21"/>
                <w:szCs w:val="21"/>
              </w:rPr>
              <w:t xml:space="preserve">Prerequisite</w:t>
            </w:r>
          </w:p>
        </w:tc>
        <w:tc>
          <w:tcPr>
            <w:tcW w:type="dxa" w:w="6235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None — this is the entry training for the Foundation level</w:t>
            </w:r>
          </w:p>
        </w:tc>
      </w:tr>
      <w:tr>
        <w:tc>
          <w:tcPr>
            <w:tcW w:type="dxa" w:w="3115"/>
            <w:shd w:fill="EAF2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423A"/>
                <w:sz w:val="21"/>
                <w:szCs w:val="21"/>
              </w:rPr>
              <w:t xml:space="preserve">Duration</w:t>
            </w:r>
          </w:p>
        </w:tc>
        <w:tc>
          <w:tcPr>
            <w:tcW w:type="dxa" w:w="6235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2 days (4 half-days)</w:t>
            </w:r>
          </w:p>
        </w:tc>
      </w:tr>
      <w:tr>
        <w:tc>
          <w:tcPr>
            <w:tcW w:type="dxa" w:w="3115"/>
            <w:shd w:fill="EAF2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423A"/>
                <w:sz w:val="21"/>
                <w:szCs w:val="21"/>
              </w:rPr>
              <w:t xml:space="preserve">Target audience</w:t>
            </w:r>
          </w:p>
        </w:tc>
        <w:tc>
          <w:tcPr>
            <w:tcW w:type="dxa" w:w="6235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New Change Managers, HR Business Partners, PMO members, People Managers — no prior journi experience required</w:t>
            </w:r>
          </w:p>
        </w:tc>
      </w:tr>
      <w:tr>
        <w:tc>
          <w:tcPr>
            <w:tcW w:type="dxa" w:w="3115"/>
            <w:shd w:fill="EAF2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423A"/>
                <w:sz w:val="21"/>
                <w:szCs w:val="21"/>
              </w:rPr>
              <w:t xml:space="preserve">Training exam</w:t>
            </w:r>
          </w:p>
        </w:tc>
        <w:tc>
          <w:tcPr>
            <w:tcW w:type="dxa" w:w="6235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EXM-F1 — 40 MCQ + 2 short-answer, 75 min, pass mark 75%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6459"/>
          <w:sz w:val="26"/>
          <w:szCs w:val="26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Explain why ~70% of transformations fail on the human side and how ADKAR, Kotter, Lewin and Bridges/Kübler-Ross address it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Navigate journi's tenant hierarchy (Group / Organization / Project) and role-based access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Read the Organizational Breakdown Structure (OBS) and the Macro Process / SIPOC / RACSI registry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Explain the Assistive / Augmented AI governance model and why Autonomous AI is out of scope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6459"/>
          <w:sz w:val="26"/>
          <w:szCs w:val="26"/>
        </w:rPr>
        <w:t xml:space="preserve">Golden Rule</w:t>
      </w:r>
    </w:p>
    <w:p>
      <w:pPr>
        <w:spacing w:after="16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Every half-day pairs exactly one formative quiz with one hands-on workshop: content is taught, immediately checked (quiz), then immediately applied (workshop), then debriefed. No half-day skips either half of that pairing.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6459"/>
          <w:sz w:val="26"/>
          <w:szCs w:val="26"/>
        </w:rPr>
        <w:t xml:space="preserve">Agenda at a Glance</w:t>
      </w:r>
    </w:p>
    <w:tbl>
      <w:tblPr>
        <w:tblW w:type="dxa" w:w="9350"/>
        <w:tblBorders>
          <w:top w:val="single" w:color="DBE6E3" w:sz="4"/>
          <w:left w:val="single" w:color="DBE6E3" w:sz="4"/>
          <w:bottom w:val="single" w:color="DBE6E3" w:sz="4"/>
          <w:right w:val="single" w:color="DBE6E3" w:sz="4"/>
          <w:insideH w:val="single" w:color="DBE6E3" w:sz="4"/>
          <w:insideV w:val="single" w:color="DBE6E3" w:sz="4"/>
        </w:tblBorders>
      </w:tblPr>
      <w:tblGrid>
        <w:gridCol w:w="3115"/>
        <w:gridCol w:w="6235"/>
      </w:tblGrid>
      <w:tr>
        <w:tc>
          <w:tcPr>
            <w:tcW w:type="dxa" w:w="3115"/>
            <w:shd w:fill="1542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Half-Day</w:t>
            </w:r>
          </w:p>
        </w:tc>
        <w:tc>
          <w:tcPr>
            <w:tcW w:type="dxa" w:w="6235"/>
            <w:shd w:fill="1542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Theme</w:t>
            </w:r>
          </w:p>
        </w:tc>
      </w:tr>
      <w:tr>
        <w:tc>
          <w:tcPr>
            <w:tcW w:type="dxa" w:w="3115"/>
            <w:shd w:fill="EAF2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423A"/>
                <w:sz w:val="21"/>
                <w:szCs w:val="21"/>
              </w:rPr>
              <w:t xml:space="preserve">Day 1 · AM</w:t>
            </w:r>
          </w:p>
        </w:tc>
        <w:tc>
          <w:tcPr>
            <w:tcW w:type="dxa" w:w="6235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Why Change Management, Why journi</w:t>
            </w:r>
          </w:p>
        </w:tc>
      </w:tr>
      <w:tr>
        <w:tc>
          <w:tcPr>
            <w:tcW w:type="dxa" w:w="3115"/>
            <w:shd w:fill="EAF2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423A"/>
                <w:sz w:val="21"/>
                <w:szCs w:val="21"/>
              </w:rPr>
              <w:t xml:space="preserve">Day 1 · PM</w:t>
            </w:r>
          </w:p>
        </w:tc>
        <w:tc>
          <w:tcPr>
            <w:tcW w:type="dxa" w:w="6235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The Process Backbone &amp; Governed AI</w:t>
            </w:r>
          </w:p>
        </w:tc>
      </w:tr>
      <w:tr>
        <w:tc>
          <w:tcPr>
            <w:tcW w:type="dxa" w:w="3115"/>
            <w:shd w:fill="EAF2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423A"/>
                <w:sz w:val="21"/>
                <w:szCs w:val="21"/>
              </w:rPr>
              <w:t xml:space="preserve">Day 2 · AM</w:t>
            </w:r>
          </w:p>
        </w:tc>
        <w:tc>
          <w:tcPr>
            <w:tcW w:type="dxa" w:w="6235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Reading the Program Layer</w:t>
            </w:r>
          </w:p>
        </w:tc>
      </w:tr>
      <w:tr>
        <w:tc>
          <w:tcPr>
            <w:tcW w:type="dxa" w:w="3115"/>
            <w:shd w:fill="EAF2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423A"/>
                <w:sz w:val="21"/>
                <w:szCs w:val="21"/>
              </w:rPr>
              <w:t xml:space="preserve">Day 2 · PM</w:t>
            </w:r>
          </w:p>
        </w:tc>
        <w:tc>
          <w:tcPr>
            <w:tcW w:type="dxa" w:w="6235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Metrics, Dashboards &amp; the Field Notebook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5423A"/>
          <w:sz w:val="32"/>
          <w:szCs w:val="32"/>
        </w:rPr>
        <w:t xml:space="preserve">2. Delivery Logistics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6459"/>
          <w:sz w:val="26"/>
          <w:szCs w:val="26"/>
        </w:rPr>
        <w:t xml:space="preserve">Cohort &amp; Environment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Cap at 12 participants per journi environment so every workshop step is individually completable, not just observed.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Each cohort gets its own seeded Windows-installed journi instance (Atlas Industrial Group demo tenant); run "Reset Demo Data" between cohorts, never mid-cohort.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One lead facilitator per cohort is sufficient for TRN-F1 (no second facilitator required, unlike the Advanced capstone).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Half-days run 3.5–4 hours including breaks; the golden-rule blocks (content → quiz → workshop → debrief) are not compressible.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6459"/>
          <w:sz w:val="26"/>
          <w:szCs w:val="26"/>
        </w:rPr>
        <w:t xml:space="preserve">Materials Checklist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Projector / screen-share for the instructional slide deck (TRN-F1_Training_Slides.pptx)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One journi demo environment per participant, freshly reset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Printed or digital copy of the Quiz Bank (Excel workbook) — facilitator use only, do not distribute the answer key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Manufacturing-client scenario brief (1-pager) for the Day 1 workshops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Workshop Checklist tab of the Excel workbook, one copy per cohort, to track completion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5423A"/>
          <w:sz w:val="32"/>
          <w:szCs w:val="32"/>
        </w:rPr>
        <w:t xml:space="preserve">3. Day 1 · AM — Why Change Management, Why journi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6459"/>
          <w:sz w:val="26"/>
          <w:szCs w:val="26"/>
        </w:rPr>
        <w:t xml:space="preserve">Session Plan</w:t>
      </w:r>
    </w:p>
    <w:tbl>
      <w:tblPr>
        <w:tblW w:type="dxa" w:w="9350"/>
        <w:tblBorders>
          <w:top w:val="single" w:color="DBE6E3" w:sz="4"/>
          <w:left w:val="single" w:color="DBE6E3" w:sz="4"/>
          <w:bottom w:val="single" w:color="DBE6E3" w:sz="4"/>
          <w:right w:val="single" w:color="DBE6E3" w:sz="4"/>
          <w:insideH w:val="single" w:color="DBE6E3" w:sz="4"/>
          <w:insideV w:val="single" w:color="DBE6E3" w:sz="4"/>
        </w:tblBorders>
      </w:tblPr>
      <w:tblGrid>
        <w:gridCol w:w="3115"/>
        <w:gridCol w:w="6235"/>
      </w:tblGrid>
      <w:tr>
        <w:tc>
          <w:tcPr>
            <w:tcW w:type="dxa" w:w="3115"/>
            <w:shd w:fill="1542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Session</w:t>
            </w:r>
          </w:p>
        </w:tc>
        <w:tc>
          <w:tcPr>
            <w:tcW w:type="dxa" w:w="6235"/>
            <w:shd w:fill="1542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Duration</w:t>
            </w:r>
          </w:p>
        </w:tc>
      </w:tr>
      <w:tr>
        <w:tc>
          <w:tcPr>
            <w:tcW w:type="dxa" w:w="3115"/>
            <w:shd w:fill="EAF2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423A"/>
                <w:sz w:val="21"/>
                <w:szCs w:val="21"/>
              </w:rPr>
              <w:t xml:space="preserve">The human side of transformation — the ~70% stat, root causes, the 4 frameworks at a glance</w:t>
            </w:r>
          </w:p>
        </w:tc>
        <w:tc>
          <w:tcPr>
            <w:tcW w:type="dxa" w:w="6235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75 min</w:t>
            </w:r>
          </w:p>
        </w:tc>
      </w:tr>
      <w:tr>
        <w:tc>
          <w:tcPr>
            <w:tcW w:type="dxa" w:w="3115"/>
            <w:shd w:fill="EAF2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423A"/>
                <w:sz w:val="21"/>
                <w:szCs w:val="21"/>
              </w:rPr>
              <w:t xml:space="preserve">Platform tour — scope switcher, Sidebar sections, multilingual UI (EN/FR/AR)</w:t>
            </w:r>
          </w:p>
        </w:tc>
        <w:tc>
          <w:tcPr>
            <w:tcW w:type="dxa" w:w="6235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45 min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2661C"/>
          <w:sz w:val="22"/>
          <w:szCs w:val="22"/>
        </w:rPr>
        <w:t xml:space="preserve">The human side of transformation</w:t>
      </w:r>
    </w:p>
    <w:tbl>
      <w:tblPr>
        <w:tblW w:type="dxa" w:w="9350"/>
        <w:tblBorders>
          <w:top w:val="single" w:color="EAF2EF" w:sz="2"/>
          <w:left w:val="single" w:color="EAF2EF" w:sz="2"/>
          <w:bottom w:val="single" w:color="EAF2EF" w:sz="2"/>
          <w:right w:val="single" w:color="EAF2EF" w:sz="2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AF2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2661C"/>
                <w:sz w:val="19"/>
                <w:szCs w:val="19"/>
              </w:rPr>
              <w:t xml:space="preserve">FACILITATOR NOTE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Open with a show of hands: who has lived through a change effort that "failed" even though the system worked fine? Use their answers to introduce the ~70% stat, then walk the 4-framework quick-reference (ADKAR, Kotter, Lewin, Bridges/Kübler-Ross) before opening journi.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2661C"/>
          <w:sz w:val="22"/>
          <w:szCs w:val="22"/>
        </w:rPr>
        <w:t xml:space="preserve">Platform tour</w:t>
      </w:r>
    </w:p>
    <w:tbl>
      <w:tblPr>
        <w:tblW w:type="dxa" w:w="9350"/>
        <w:tblBorders>
          <w:top w:val="single" w:color="EAF2EF" w:sz="2"/>
          <w:left w:val="single" w:color="EAF2EF" w:sz="2"/>
          <w:bottom w:val="single" w:color="EAF2EF" w:sz="2"/>
          <w:right w:val="single" w:color="EAF2EF" w:sz="2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AF2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2661C"/>
                <w:sz w:val="19"/>
                <w:szCs w:val="19"/>
              </w:rPr>
              <w:t xml:space="preserve">FACILITATOR NOTE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Run this as a live projected walkthrough in the seeded Atlas Industrial Group demo tenant. Have participants follow along on their own laptop rather than just watching.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6459"/>
          <w:sz w:val="26"/>
          <w:szCs w:val="26"/>
        </w:rPr>
        <w:t xml:space="preserve">Quiz QZ-F1-1 — Framework definitions + platform navigation</w:t>
      </w:r>
    </w:p>
    <w:tbl>
      <w:tblPr>
        <w:tblW w:type="dxa" w:w="9350"/>
        <w:tblBorders>
          <w:top w:val="single" w:color="DBE6E3" w:sz="4"/>
          <w:left w:val="single" w:color="DBE6E3" w:sz="4"/>
          <w:bottom w:val="single" w:color="DBE6E3" w:sz="4"/>
          <w:right w:val="single" w:color="DBE6E3" w:sz="4"/>
          <w:insideH w:val="single" w:color="DBE6E3" w:sz="4"/>
          <w:insideV w:val="single" w:color="DBE6E3" w:sz="4"/>
        </w:tblBorders>
      </w:tblPr>
      <w:tblGrid>
        <w:gridCol w:w="3115"/>
        <w:gridCol w:w="6235"/>
      </w:tblGrid>
      <w:tr>
        <w:tc>
          <w:tcPr>
            <w:tcW w:type="dxa" w:w="3115"/>
            <w:shd w:fill="1542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Format</w:t>
            </w:r>
          </w:p>
        </w:tc>
        <w:tc>
          <w:tcPr>
            <w:tcW w:type="dxa" w:w="6235"/>
            <w:shd w:fill="1542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8 MCQ, closed-book, 15 min</w:t>
            </w:r>
          </w:p>
        </w:tc>
      </w:tr>
      <w:tr>
        <w:tc>
          <w:tcPr>
            <w:tcW w:type="dxa" w:w="3115"/>
            <w:shd w:fill="EAF2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423A"/>
                <w:sz w:val="21"/>
                <w:szCs w:val="21"/>
              </w:rPr>
              <w:t xml:space="preserve">Pass mark</w:t>
            </w:r>
          </w:p>
        </w:tc>
        <w:tc>
          <w:tcPr>
            <w:tcW w:type="dxa" w:w="6235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Formative only — no pass mark</w:t>
            </w:r>
          </w:p>
        </w:tc>
      </w:tr>
      <w:tr>
        <w:tc>
          <w:tcPr>
            <w:tcW w:type="dxa" w:w="3115"/>
            <w:shd w:fill="EAF2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423A"/>
                <w:sz w:val="21"/>
                <w:szCs w:val="21"/>
              </w:rPr>
              <w:t xml:space="preserve">Answer key</w:t>
            </w:r>
          </w:p>
        </w:tc>
        <w:tc>
          <w:tcPr>
            <w:tcW w:type="dxa" w:w="6235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Quiz Bank tab of TRN-F1_Training_Pack.xlsx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i/>
          <w:iCs/>
          <w:color w:val="5C6D68"/>
          <w:sz w:val="22"/>
          <w:szCs w:val="22"/>
        </w:rPr>
        <w:t xml:space="preserve">Read each question aloud or project it; do not distribute the answer key beforehand. Debrief any missed items in under 2 minutes before moving into the workshop.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6459"/>
          <w:sz w:val="26"/>
          <w:szCs w:val="26"/>
        </w:rPr>
        <w:t xml:space="preserve">Workshop WS-F1-1 — Stand Up a Tenant (90 min)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6459"/>
          <w:sz w:val="22"/>
          <w:szCs w:val="22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Build a correct 4-level tenant hierarchy for a new client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Configure an Organization's default language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6459"/>
          <w:sz w:val="22"/>
          <w:szCs w:val="22"/>
        </w:rPr>
        <w:t xml:space="preserve">Materials Needed</w:t>
      </w:r>
    </w:p>
    <w:p>
      <w:pPr>
        <w:spacing w:after="16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A clean journi demo environment with "Reset Demo Data" run beforehand; the manufacturing-client scenario brief (1-pager); each participant logged in with a Change Manager or Org Admin seed account.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6459"/>
          <w:sz w:val="22"/>
          <w:szCs w:val="22"/>
        </w:rPr>
        <w:t xml:space="preserve">Facilitation Steps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Create a Group and an Organization for a new manufacturing client scenario.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Register a Main Project and a linked Change Management Project.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Set the Organization's Default Language and explain the precedence rule to a neighbor.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Review the M2 user list and identify each seeded role's scope.</w:t>
      </w:r>
    </w:p>
    <w:tbl>
      <w:tblPr>
        <w:tblW w:type="dxa" w:w="9350"/>
        <w:tblBorders>
          <w:top w:val="single" w:color="F7E4D2" w:sz="2"/>
          <w:left w:val="single" w:color="F7E4D2" w:sz="2"/>
          <w:bottom w:val="single" w:color="F7E4D2" w:sz="2"/>
          <w:right w:val="single" w:color="F7E4D2" w:sz="2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7E4D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2661C"/>
                <w:sz w:val="19"/>
                <w:szCs w:val="19"/>
              </w:rPr>
              <w:t xml:space="preserve">DEBRIEF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Ask one pair to explain, in their own words, why the CM Project is linked to the Main Project rather than standing alone.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5423A"/>
          <w:sz w:val="32"/>
          <w:szCs w:val="32"/>
        </w:rPr>
        <w:t xml:space="preserve">4. Day 1 · PM — The Process Backbone &amp; Governed AI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6459"/>
          <w:sz w:val="26"/>
          <w:szCs w:val="26"/>
        </w:rPr>
        <w:t xml:space="preserve">Session Plan</w:t>
      </w:r>
    </w:p>
    <w:tbl>
      <w:tblPr>
        <w:tblW w:type="dxa" w:w="9350"/>
        <w:tblBorders>
          <w:top w:val="single" w:color="DBE6E3" w:sz="4"/>
          <w:left w:val="single" w:color="DBE6E3" w:sz="4"/>
          <w:bottom w:val="single" w:color="DBE6E3" w:sz="4"/>
          <w:right w:val="single" w:color="DBE6E3" w:sz="4"/>
          <w:insideH w:val="single" w:color="DBE6E3" w:sz="4"/>
          <w:insideV w:val="single" w:color="DBE6E3" w:sz="4"/>
        </w:tblBorders>
      </w:tblPr>
      <w:tblGrid>
        <w:gridCol w:w="3115"/>
        <w:gridCol w:w="6235"/>
      </w:tblGrid>
      <w:tr>
        <w:tc>
          <w:tcPr>
            <w:tcW w:type="dxa" w:w="3115"/>
            <w:shd w:fill="1542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Session</w:t>
            </w:r>
          </w:p>
        </w:tc>
        <w:tc>
          <w:tcPr>
            <w:tcW w:type="dxa" w:w="6235"/>
            <w:shd w:fill="1542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Duration</w:t>
            </w:r>
          </w:p>
        </w:tc>
      </w:tr>
      <w:tr>
        <w:tc>
          <w:tcPr>
            <w:tcW w:type="dxa" w:w="3115"/>
            <w:shd w:fill="EAF2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423A"/>
                <w:sz w:val="21"/>
                <w:szCs w:val="21"/>
              </w:rPr>
              <w:t xml:space="preserve">Macro Processes, SIPOC &amp; RACSI — the 10 macro processes, E2E registry, reading a RACSI grid</w:t>
            </w:r>
          </w:p>
        </w:tc>
        <w:tc>
          <w:tcPr>
            <w:tcW w:type="dxa" w:w="6235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60 min</w:t>
            </w:r>
          </w:p>
        </w:tc>
      </w:tr>
      <w:tr>
        <w:tc>
          <w:tcPr>
            <w:tcW w:type="dxa" w:w="3115"/>
            <w:shd w:fill="EAF2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423A"/>
                <w:sz w:val="21"/>
                <w:szCs w:val="21"/>
              </w:rPr>
              <w:t xml:space="preserve">OBS and the AI Use Case Library — resourcing roster vs. RBAC users; Assistive vs. Augmented tiers</w:t>
            </w:r>
          </w:p>
        </w:tc>
        <w:tc>
          <w:tcPr>
            <w:tcW w:type="dxa" w:w="6235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60 min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2661C"/>
          <w:sz w:val="22"/>
          <w:szCs w:val="22"/>
        </w:rPr>
        <w:t xml:space="preserve">Macro Processes, SIPOC &amp; RACSI</w:t>
      </w:r>
    </w:p>
    <w:tbl>
      <w:tblPr>
        <w:tblW w:type="dxa" w:w="9350"/>
        <w:tblBorders>
          <w:top w:val="single" w:color="EAF2EF" w:sz="2"/>
          <w:left w:val="single" w:color="EAF2EF" w:sz="2"/>
          <w:bottom w:val="single" w:color="EAF2EF" w:sz="2"/>
          <w:right w:val="single" w:color="EAF2EF" w:sz="2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AF2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2661C"/>
                <w:sz w:val="19"/>
                <w:szCs w:val="19"/>
              </w:rPr>
              <w:t xml:space="preserve">FACILITATOR NOTE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Project a real RACSI grid from the seeded scenario and cold-call participants to identify who is "Accountable" vs. "Responsible" on two different rows — this is the single most commonly confused pair of role codes.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2661C"/>
          <w:sz w:val="22"/>
          <w:szCs w:val="22"/>
        </w:rPr>
        <w:t xml:space="preserve">OBS and the AI Use Case Library</w:t>
      </w:r>
    </w:p>
    <w:tbl>
      <w:tblPr>
        <w:tblW w:type="dxa" w:w="9350"/>
        <w:tblBorders>
          <w:top w:val="single" w:color="EAF2EF" w:sz="2"/>
          <w:left w:val="single" w:color="EAF2EF" w:sz="2"/>
          <w:bottom w:val="single" w:color="EAF2EF" w:sz="2"/>
          <w:right w:val="single" w:color="EAF2EF" w:sz="2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AF2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2661C"/>
                <w:sz w:val="19"/>
                <w:szCs w:val="19"/>
              </w:rPr>
              <w:t xml:space="preserve">FACILITATOR NOTE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Emphasize this distinction early: it recurs in every later module. Memory hook — 'Assistive suggests, Augmented drafts, Autonomous decides — and journi never ships the third one.'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6459"/>
          <w:sz w:val="26"/>
          <w:szCs w:val="26"/>
        </w:rPr>
        <w:t xml:space="preserve">Quiz QZ-F1-2 — RACSI role codes + AI tier definitions</w:t>
      </w:r>
    </w:p>
    <w:tbl>
      <w:tblPr>
        <w:tblW w:type="dxa" w:w="9350"/>
        <w:tblBorders>
          <w:top w:val="single" w:color="DBE6E3" w:sz="4"/>
          <w:left w:val="single" w:color="DBE6E3" w:sz="4"/>
          <w:bottom w:val="single" w:color="DBE6E3" w:sz="4"/>
          <w:right w:val="single" w:color="DBE6E3" w:sz="4"/>
          <w:insideH w:val="single" w:color="DBE6E3" w:sz="4"/>
          <w:insideV w:val="single" w:color="DBE6E3" w:sz="4"/>
        </w:tblBorders>
      </w:tblPr>
      <w:tblGrid>
        <w:gridCol w:w="3115"/>
        <w:gridCol w:w="6235"/>
      </w:tblGrid>
      <w:tr>
        <w:tc>
          <w:tcPr>
            <w:tcW w:type="dxa" w:w="3115"/>
            <w:shd w:fill="1542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Format</w:t>
            </w:r>
          </w:p>
        </w:tc>
        <w:tc>
          <w:tcPr>
            <w:tcW w:type="dxa" w:w="6235"/>
            <w:shd w:fill="1542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8 MCQ, closed-book, 15 min</w:t>
            </w:r>
          </w:p>
        </w:tc>
      </w:tr>
      <w:tr>
        <w:tc>
          <w:tcPr>
            <w:tcW w:type="dxa" w:w="3115"/>
            <w:shd w:fill="EAF2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423A"/>
                <w:sz w:val="21"/>
                <w:szCs w:val="21"/>
              </w:rPr>
              <w:t xml:space="preserve">Pass mark</w:t>
            </w:r>
          </w:p>
        </w:tc>
        <w:tc>
          <w:tcPr>
            <w:tcW w:type="dxa" w:w="6235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Formative only — no pass mark</w:t>
            </w:r>
          </w:p>
        </w:tc>
      </w:tr>
      <w:tr>
        <w:tc>
          <w:tcPr>
            <w:tcW w:type="dxa" w:w="3115"/>
            <w:shd w:fill="EAF2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423A"/>
                <w:sz w:val="21"/>
                <w:szCs w:val="21"/>
              </w:rPr>
              <w:t xml:space="preserve">Answer key</w:t>
            </w:r>
          </w:p>
        </w:tc>
        <w:tc>
          <w:tcPr>
            <w:tcW w:type="dxa" w:w="6235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Quiz Bank tab of TRN-F1_Training_Pack.xlsx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i/>
          <w:iCs/>
          <w:color w:val="5C6D68"/>
          <w:sz w:val="22"/>
          <w:szCs w:val="22"/>
        </w:rPr>
        <w:t xml:space="preserve">Read each question aloud or project it; do not distribute the answer key beforehand. Debrief any missed items in under 2 minutes before moving into the workshop.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6459"/>
          <w:sz w:val="26"/>
          <w:szCs w:val="26"/>
        </w:rPr>
        <w:t xml:space="preserve">Workshop WS-F1-2 — Read the Process Backbone (90 min)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6459"/>
          <w:sz w:val="22"/>
          <w:szCs w:val="22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Build an OBS roster and trace it into other modules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Correctly classify AI use cases by tier and checkpoint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6459"/>
          <w:sz w:val="22"/>
          <w:szCs w:val="22"/>
        </w:rPr>
        <w:t xml:space="preserve">Materials Needed</w:t>
      </w:r>
    </w:p>
    <w:p>
      <w:pPr>
        <w:spacing w:after="16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Same demo tenant as the morning workshop, now populated from WS-F1-1; a printed or projected AI Use Case Library excerpt (3 entries) for the classification exercise.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6459"/>
          <w:sz w:val="22"/>
          <w:szCs w:val="22"/>
        </w:rPr>
        <w:t xml:space="preserve">Facilitation Steps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Build a 4-role OBS roster with a reporting chain for the scenario project.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Trace one End-to-End process chain through its ordered Macro Processes.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Review 3 AI Use Case Library entries and classify tier + human checkpoint for each.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Identify which module each of the 3 use cases plugs into.</w:t>
      </w:r>
    </w:p>
    <w:tbl>
      <w:tblPr>
        <w:tblW w:type="dxa" w:w="9350"/>
        <w:tblBorders>
          <w:top w:val="single" w:color="F7E4D2" w:sz="2"/>
          <w:left w:val="single" w:color="F7E4D2" w:sz="2"/>
          <w:bottom w:val="single" w:color="F7E4D2" w:sz="2"/>
          <w:right w:val="single" w:color="F7E4D2" w:sz="2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7E4D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2661C"/>
                <w:sz w:val="19"/>
                <w:szCs w:val="19"/>
              </w:rPr>
              <w:t xml:space="preserve">DEBRIEF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Poll the room on the 3 AI use case classifications before revealing the answers — disagreement here is the most useful teaching moment of the day.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5423A"/>
          <w:sz w:val="32"/>
          <w:szCs w:val="32"/>
        </w:rPr>
        <w:t xml:space="preserve">5. Day 2 · AM — Reading the Program Layer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6459"/>
          <w:sz w:val="26"/>
          <w:szCs w:val="26"/>
        </w:rPr>
        <w:t xml:space="preserve">Session Plan</w:t>
      </w:r>
    </w:p>
    <w:tbl>
      <w:tblPr>
        <w:tblW w:type="dxa" w:w="9350"/>
        <w:tblBorders>
          <w:top w:val="single" w:color="DBE6E3" w:sz="4"/>
          <w:left w:val="single" w:color="DBE6E3" w:sz="4"/>
          <w:bottom w:val="single" w:color="DBE6E3" w:sz="4"/>
          <w:right w:val="single" w:color="DBE6E3" w:sz="4"/>
          <w:insideH w:val="single" w:color="DBE6E3" w:sz="4"/>
          <w:insideV w:val="single" w:color="DBE6E3" w:sz="4"/>
        </w:tblBorders>
      </w:tblPr>
      <w:tblGrid>
        <w:gridCol w:w="3115"/>
        <w:gridCol w:w="6235"/>
      </w:tblGrid>
      <w:tr>
        <w:tc>
          <w:tcPr>
            <w:tcW w:type="dxa" w:w="3115"/>
            <w:shd w:fill="1542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Session</w:t>
            </w:r>
          </w:p>
        </w:tc>
        <w:tc>
          <w:tcPr>
            <w:tcW w:type="dxa" w:w="6235"/>
            <w:shd w:fill="1542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Duration</w:t>
            </w:r>
          </w:p>
        </w:tc>
      </w:tr>
      <w:tr>
        <w:tc>
          <w:tcPr>
            <w:tcW w:type="dxa" w:w="3115"/>
            <w:shd w:fill="EAF2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423A"/>
                <w:sz w:val="21"/>
                <w:szCs w:val="21"/>
              </w:rPr>
              <w:t xml:space="preserve">Initiative Registry &amp; CM Charters — how a program is registered and chartered, reading (not yet editing) a charter</w:t>
            </w:r>
          </w:p>
        </w:tc>
        <w:tc>
          <w:tcPr>
            <w:tcW w:type="dxa" w:w="6235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60 min</w:t>
            </w:r>
          </w:p>
        </w:tc>
      </w:tr>
      <w:tr>
        <w:tc>
          <w:tcPr>
            <w:tcW w:type="dxa" w:w="3115"/>
            <w:shd w:fill="EAF2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423A"/>
                <w:sz w:val="21"/>
                <w:szCs w:val="21"/>
              </w:rPr>
              <w:t xml:space="preserve">WBS, Gantt &amp; Phase Gates at a glance — reading a program's schedule and phase-gate status</w:t>
            </w:r>
          </w:p>
        </w:tc>
        <w:tc>
          <w:tcPr>
            <w:tcW w:type="dxa" w:w="6235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45 min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2661C"/>
          <w:sz w:val="22"/>
          <w:szCs w:val="22"/>
        </w:rPr>
        <w:t xml:space="preserve">Initiative Registry &amp; CM Charters</w:t>
      </w:r>
    </w:p>
    <w:tbl>
      <w:tblPr>
        <w:tblW w:type="dxa" w:w="9350"/>
        <w:tblBorders>
          <w:top w:val="single" w:color="EAF2EF" w:sz="2"/>
          <w:left w:val="single" w:color="EAF2EF" w:sz="2"/>
          <w:bottom w:val="single" w:color="EAF2EF" w:sz="2"/>
          <w:right w:val="single" w:color="EAF2EF" w:sz="2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AF2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2661C"/>
                <w:sz w:val="19"/>
                <w:szCs w:val="19"/>
              </w:rPr>
              <w:t xml:space="preserve">FACILITATOR NOTE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Stress the phrase 'justified-change pattern' — every macro-state change in journi requires a written justification, which is a governance habit worth calling out explicitly here.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2661C"/>
          <w:sz w:val="22"/>
          <w:szCs w:val="22"/>
        </w:rPr>
        <w:t xml:space="preserve">WBS, Gantt &amp; Phase Gates at a glance</w:t>
      </w:r>
    </w:p>
    <w:tbl>
      <w:tblPr>
        <w:tblW w:type="dxa" w:w="9350"/>
        <w:tblBorders>
          <w:top w:val="single" w:color="EAF2EF" w:sz="2"/>
          <w:left w:val="single" w:color="EAF2EF" w:sz="2"/>
          <w:bottom w:val="single" w:color="EAF2EF" w:sz="2"/>
          <w:right w:val="single" w:color="EAF2EF" w:sz="2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AF2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2661C"/>
                <w:sz w:val="19"/>
                <w:szCs w:val="19"/>
              </w:rPr>
              <w:t xml:space="preserve">FACILITATOR NOTE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Use a real Gantt view with one deliberately late task to demonstrate a schedule gap live, then walk straight into the linked Phase Gate to show the two are connected.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6459"/>
          <w:sz w:val="26"/>
          <w:szCs w:val="26"/>
        </w:rPr>
        <w:t xml:space="preserve">Quiz QZ-F1-3 — Program layer terms</w:t>
      </w:r>
    </w:p>
    <w:tbl>
      <w:tblPr>
        <w:tblW w:type="dxa" w:w="9350"/>
        <w:tblBorders>
          <w:top w:val="single" w:color="DBE6E3" w:sz="4"/>
          <w:left w:val="single" w:color="DBE6E3" w:sz="4"/>
          <w:bottom w:val="single" w:color="DBE6E3" w:sz="4"/>
          <w:right w:val="single" w:color="DBE6E3" w:sz="4"/>
          <w:insideH w:val="single" w:color="DBE6E3" w:sz="4"/>
          <w:insideV w:val="single" w:color="DBE6E3" w:sz="4"/>
        </w:tblBorders>
      </w:tblPr>
      <w:tblGrid>
        <w:gridCol w:w="3115"/>
        <w:gridCol w:w="6235"/>
      </w:tblGrid>
      <w:tr>
        <w:tc>
          <w:tcPr>
            <w:tcW w:type="dxa" w:w="3115"/>
            <w:shd w:fill="1542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Format</w:t>
            </w:r>
          </w:p>
        </w:tc>
        <w:tc>
          <w:tcPr>
            <w:tcW w:type="dxa" w:w="6235"/>
            <w:shd w:fill="1542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8 MCQ, closed-book, 15 min</w:t>
            </w:r>
          </w:p>
        </w:tc>
      </w:tr>
      <w:tr>
        <w:tc>
          <w:tcPr>
            <w:tcW w:type="dxa" w:w="3115"/>
            <w:shd w:fill="EAF2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423A"/>
                <w:sz w:val="21"/>
                <w:szCs w:val="21"/>
              </w:rPr>
              <w:t xml:space="preserve">Pass mark</w:t>
            </w:r>
          </w:p>
        </w:tc>
        <w:tc>
          <w:tcPr>
            <w:tcW w:type="dxa" w:w="6235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Formative only — no pass mark</w:t>
            </w:r>
          </w:p>
        </w:tc>
      </w:tr>
      <w:tr>
        <w:tc>
          <w:tcPr>
            <w:tcW w:type="dxa" w:w="3115"/>
            <w:shd w:fill="EAF2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423A"/>
                <w:sz w:val="21"/>
                <w:szCs w:val="21"/>
              </w:rPr>
              <w:t xml:space="preserve">Answer key</w:t>
            </w:r>
          </w:p>
        </w:tc>
        <w:tc>
          <w:tcPr>
            <w:tcW w:type="dxa" w:w="6235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Quiz Bank tab of TRN-F1_Training_Pack.xlsx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i/>
          <w:iCs/>
          <w:color w:val="5C6D68"/>
          <w:sz w:val="22"/>
          <w:szCs w:val="22"/>
        </w:rPr>
        <w:t xml:space="preserve">Read each question aloud or project it; do not distribute the answer key beforehand. Debrief any missed items in under 2 minutes before moving into the workshop.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6459"/>
          <w:sz w:val="26"/>
          <w:szCs w:val="26"/>
        </w:rPr>
        <w:t xml:space="preserve">Workshop WS-F1-3 — Read a Program's Status (90 min)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6459"/>
          <w:sz w:val="22"/>
          <w:szCs w:val="22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Read an Initiative Registry entry and its linked CM Charter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Interpret a WBS Gantt view and the current Phase Gate state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6459"/>
          <w:sz w:val="22"/>
          <w:szCs w:val="22"/>
        </w:rPr>
        <w:t xml:space="preserve">Materials Needed</w:t>
      </w:r>
    </w:p>
    <w:p>
      <w:pPr>
        <w:spacing w:after="16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The seeded program record from Day 1 (or a facilitator-provided backup record); no new setup required.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6459"/>
          <w:sz w:val="22"/>
          <w:szCs w:val="22"/>
        </w:rPr>
        <w:t xml:space="preserve">Facilitation Steps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Open a seeded Initiative Registry entry and its CM Charter; identify the Lewin macro-state and the top charter action.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Open the linked WBS/Gantt view and identify 2 tasks with a schedule gap.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Identify the current Phase Gate status and who owns the next decision.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Summarize the program's health in 3 bullet points, as if briefing a manager who has 60 seconds.</w:t>
      </w:r>
    </w:p>
    <w:tbl>
      <w:tblPr>
        <w:tblW w:type="dxa" w:w="9350"/>
        <w:tblBorders>
          <w:top w:val="single" w:color="F7E4D2" w:sz="2"/>
          <w:left w:val="single" w:color="F7E4D2" w:sz="2"/>
          <w:bottom w:val="single" w:color="F7E4D2" w:sz="2"/>
          <w:right w:val="single" w:color="F7E4D2" w:sz="2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7E4D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2661C"/>
                <w:sz w:val="19"/>
                <w:szCs w:val="19"/>
              </w:rPr>
              <w:t xml:space="preserve">DEBRIEF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Have 2 participants read their 3-bullet summaries aloud — compare how differently the same data can be framed, and agree on what 'good' looks like.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5423A"/>
          <w:sz w:val="32"/>
          <w:szCs w:val="32"/>
        </w:rPr>
        <w:t xml:space="preserve">6. Day 2 · PM — Metrics, Dashboards &amp; the Field Notebook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6459"/>
          <w:sz w:val="26"/>
          <w:szCs w:val="26"/>
        </w:rPr>
        <w:t xml:space="preserve">Session Plan</w:t>
      </w:r>
    </w:p>
    <w:tbl>
      <w:tblPr>
        <w:tblW w:type="dxa" w:w="9350"/>
        <w:tblBorders>
          <w:top w:val="single" w:color="DBE6E3" w:sz="4"/>
          <w:left w:val="single" w:color="DBE6E3" w:sz="4"/>
          <w:bottom w:val="single" w:color="DBE6E3" w:sz="4"/>
          <w:right w:val="single" w:color="DBE6E3" w:sz="4"/>
          <w:insideH w:val="single" w:color="DBE6E3" w:sz="4"/>
          <w:insideV w:val="single" w:color="DBE6E3" w:sz="4"/>
        </w:tblBorders>
      </w:tblPr>
      <w:tblGrid>
        <w:gridCol w:w="3115"/>
        <w:gridCol w:w="6235"/>
      </w:tblGrid>
      <w:tr>
        <w:tc>
          <w:tcPr>
            <w:tcW w:type="dxa" w:w="3115"/>
            <w:shd w:fill="1542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Session</w:t>
            </w:r>
          </w:p>
        </w:tc>
        <w:tc>
          <w:tcPr>
            <w:tcW w:type="dxa" w:w="6235"/>
            <w:shd w:fill="1542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Duration</w:t>
            </w:r>
          </w:p>
        </w:tc>
      </w:tr>
      <w:tr>
        <w:tc>
          <w:tcPr>
            <w:tcW w:type="dxa" w:w="3115"/>
            <w:shd w:fill="EAF2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423A"/>
                <w:sz w:val="21"/>
                <w:szCs w:val="21"/>
              </w:rPr>
              <w:t xml:space="preserve">Metrics &amp; Analytics Dashboard — reading the ADKAR heatmap and adoption curve (reference-only at this level)</w:t>
            </w:r>
          </w:p>
        </w:tc>
        <w:tc>
          <w:tcPr>
            <w:tcW w:type="dxa" w:w="6235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45 min</w:t>
            </w:r>
          </w:p>
        </w:tc>
      </w:tr>
      <w:tr>
        <w:tc>
          <w:tcPr>
            <w:tcW w:type="dxa" w:w="3115"/>
            <w:shd w:fill="EAF2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423A"/>
                <w:sz w:val="21"/>
                <w:szCs w:val="21"/>
              </w:rPr>
              <w:t xml:space="preserve">Field Notes — the practitioner's scratchpad, and the multilingual UI (EN/FR/AR)</w:t>
            </w:r>
          </w:p>
        </w:tc>
        <w:tc>
          <w:tcPr>
            <w:tcW w:type="dxa" w:w="6235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45 min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2661C"/>
          <w:sz w:val="22"/>
          <w:szCs w:val="22"/>
        </w:rPr>
        <w:t xml:space="preserve">Metrics &amp; Analytics Dashboard</w:t>
      </w:r>
    </w:p>
    <w:tbl>
      <w:tblPr>
        <w:tblW w:type="dxa" w:w="9350"/>
        <w:tblBorders>
          <w:top w:val="single" w:color="EAF2EF" w:sz="2"/>
          <w:left w:val="single" w:color="EAF2EF" w:sz="2"/>
          <w:bottom w:val="single" w:color="EAF2EF" w:sz="2"/>
          <w:right w:val="single" w:color="EAF2EF" w:sz="2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AF2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2661C"/>
                <w:sz w:val="19"/>
                <w:szCs w:val="19"/>
              </w:rPr>
              <w:t xml:space="preserve">FACILITATOR NOTE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Pull up a project whose ADKAR heatmap has a clearly weak block and ask participants to name it before you point it out — this builds the reading habit faster than lecturing it.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2661C"/>
          <w:sz w:val="22"/>
          <w:szCs w:val="22"/>
        </w:rPr>
        <w:t xml:space="preserve">Field Notes</w:t>
      </w:r>
    </w:p>
    <w:tbl>
      <w:tblPr>
        <w:tblW w:type="dxa" w:w="9350"/>
        <w:tblBorders>
          <w:top w:val="single" w:color="EAF2EF" w:sz="2"/>
          <w:left w:val="single" w:color="EAF2EF" w:sz="2"/>
          <w:bottom w:val="single" w:color="EAF2EF" w:sz="2"/>
          <w:right w:val="single" w:color="EAF2EF" w:sz="2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AF2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2661C"/>
                <w:sz w:val="19"/>
                <w:szCs w:val="19"/>
              </w:rPr>
              <w:t xml:space="preserve">FACILITATOR NOTE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Give a concrete contrast: 'I noticed the sponsor seemed disengaged in today's meeting' is a Field Note. 'Sponsor visibility risk, likelihood 3/5, impact 4/5, owner: PMO' is a Risk Register entry. Same observation, different destination.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6459"/>
          <w:sz w:val="26"/>
          <w:szCs w:val="26"/>
        </w:rPr>
        <w:t xml:space="preserve">Quiz QZ-F1-4 — Dashboard reading + Field Notes scope</w:t>
      </w:r>
    </w:p>
    <w:tbl>
      <w:tblPr>
        <w:tblW w:type="dxa" w:w="9350"/>
        <w:tblBorders>
          <w:top w:val="single" w:color="DBE6E3" w:sz="4"/>
          <w:left w:val="single" w:color="DBE6E3" w:sz="4"/>
          <w:bottom w:val="single" w:color="DBE6E3" w:sz="4"/>
          <w:right w:val="single" w:color="DBE6E3" w:sz="4"/>
          <w:insideH w:val="single" w:color="DBE6E3" w:sz="4"/>
          <w:insideV w:val="single" w:color="DBE6E3" w:sz="4"/>
        </w:tblBorders>
      </w:tblPr>
      <w:tblGrid>
        <w:gridCol w:w="3115"/>
        <w:gridCol w:w="6235"/>
      </w:tblGrid>
      <w:tr>
        <w:tc>
          <w:tcPr>
            <w:tcW w:type="dxa" w:w="3115"/>
            <w:shd w:fill="1542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Format</w:t>
            </w:r>
          </w:p>
        </w:tc>
        <w:tc>
          <w:tcPr>
            <w:tcW w:type="dxa" w:w="6235"/>
            <w:shd w:fill="1542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8 MCQ, closed-book, 15 min</w:t>
            </w:r>
          </w:p>
        </w:tc>
      </w:tr>
      <w:tr>
        <w:tc>
          <w:tcPr>
            <w:tcW w:type="dxa" w:w="3115"/>
            <w:shd w:fill="EAF2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423A"/>
                <w:sz w:val="21"/>
                <w:szCs w:val="21"/>
              </w:rPr>
              <w:t xml:space="preserve">Pass mark</w:t>
            </w:r>
          </w:p>
        </w:tc>
        <w:tc>
          <w:tcPr>
            <w:tcW w:type="dxa" w:w="6235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Formative only — no pass mark</w:t>
            </w:r>
          </w:p>
        </w:tc>
      </w:tr>
      <w:tr>
        <w:tc>
          <w:tcPr>
            <w:tcW w:type="dxa" w:w="3115"/>
            <w:shd w:fill="EAF2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423A"/>
                <w:sz w:val="21"/>
                <w:szCs w:val="21"/>
              </w:rPr>
              <w:t xml:space="preserve">Answer key</w:t>
            </w:r>
          </w:p>
        </w:tc>
        <w:tc>
          <w:tcPr>
            <w:tcW w:type="dxa" w:w="6235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Quiz Bank tab of TRN-F1_Training_Pack.xlsx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i/>
          <w:iCs/>
          <w:color w:val="5C6D68"/>
          <w:sz w:val="22"/>
          <w:szCs w:val="22"/>
        </w:rPr>
        <w:t xml:space="preserve">Read each question aloud or project it; do not distribute the answer key beforehand. Debrief any missed items in under 2 minutes before moving into the workshop.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6459"/>
          <w:sz w:val="26"/>
          <w:szCs w:val="26"/>
        </w:rPr>
        <w:t xml:space="preserve">Workshop WS-F1-4 — Read a Dashboard, Log a Field Note (90 min)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6459"/>
          <w:sz w:val="22"/>
          <w:szCs w:val="22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Read a project's Metrics &amp; Analytics Dashboard without editing it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Add a properly-scoped Field Note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6459"/>
          <w:sz w:val="22"/>
          <w:szCs w:val="22"/>
        </w:rPr>
        <w:t xml:space="preserve">Materials Needed</w:t>
      </w:r>
    </w:p>
    <w:p>
      <w:pPr>
        <w:spacing w:after="16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The seeded project used throughout the training; no additional setup.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6459"/>
          <w:sz w:val="22"/>
          <w:szCs w:val="22"/>
        </w:rPr>
        <w:t xml:space="preserve">Facilitation Steps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Open the Metrics &amp; Analytics Dashboard for the seeded project and identify the ADKAR heatmap's weakest block.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Identify the adoption curve's current trend.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Add a Field Note capturing an observation from the review (not a structured record).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Explain, in writing, why that observation belongs in Field Notes and not the Risk Register.</w:t>
      </w:r>
    </w:p>
    <w:tbl>
      <w:tblPr>
        <w:tblW w:type="dxa" w:w="9350"/>
        <w:tblBorders>
          <w:top w:val="single" w:color="F7E4D2" w:sz="2"/>
          <w:left w:val="single" w:color="F7E4D2" w:sz="2"/>
          <w:bottom w:val="single" w:color="F7E4D2" w:sz="2"/>
          <w:right w:val="single" w:color="F7E4D2" w:sz="2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7E4D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2661C"/>
                <w:sz w:val="19"/>
                <w:szCs w:val="19"/>
              </w:rPr>
              <w:t xml:space="preserve">DEBRIEF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Close the day by asking each participant to name the one journi screen they feel least confident navigating — capture it for a 10-minute recap at the start of TRN-F2.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5423A"/>
          <w:sz w:val="32"/>
          <w:szCs w:val="32"/>
        </w:rPr>
        <w:t xml:space="preserve">7. Training Exam — EXM-F1</w:t>
      </w:r>
    </w:p>
    <w:tbl>
      <w:tblPr>
        <w:tblW w:type="dxa" w:w="9350"/>
        <w:tblBorders>
          <w:top w:val="single" w:color="DBE6E3" w:sz="4"/>
          <w:left w:val="single" w:color="DBE6E3" w:sz="4"/>
          <w:bottom w:val="single" w:color="DBE6E3" w:sz="4"/>
          <w:right w:val="single" w:color="DBE6E3" w:sz="4"/>
          <w:insideH w:val="single" w:color="DBE6E3" w:sz="4"/>
          <w:insideV w:val="single" w:color="DBE6E3" w:sz="4"/>
        </w:tblBorders>
      </w:tblPr>
      <w:tblGrid>
        <w:gridCol w:w="3115"/>
        <w:gridCol w:w="6235"/>
      </w:tblGrid>
      <w:tr>
        <w:tc>
          <w:tcPr>
            <w:tcW w:type="dxa" w:w="3115"/>
            <w:shd w:fill="1542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Format</w:t>
            </w:r>
          </w:p>
        </w:tc>
        <w:tc>
          <w:tcPr>
            <w:tcW w:type="dxa" w:w="6235"/>
            <w:shd w:fill="15423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40 MCQ + 2 short-answer</w:t>
            </w:r>
          </w:p>
        </w:tc>
      </w:tr>
      <w:tr>
        <w:tc>
          <w:tcPr>
            <w:tcW w:type="dxa" w:w="3115"/>
            <w:shd w:fill="EAF2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423A"/>
                <w:sz w:val="21"/>
                <w:szCs w:val="21"/>
              </w:rPr>
              <w:t xml:space="preserve">Duration</w:t>
            </w:r>
          </w:p>
        </w:tc>
        <w:tc>
          <w:tcPr>
            <w:tcW w:type="dxa" w:w="6235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75 minutes</w:t>
            </w:r>
          </w:p>
        </w:tc>
      </w:tr>
      <w:tr>
        <w:tc>
          <w:tcPr>
            <w:tcW w:type="dxa" w:w="3115"/>
            <w:shd w:fill="EAF2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423A"/>
                <w:sz w:val="21"/>
                <w:szCs w:val="21"/>
              </w:rPr>
              <w:t xml:space="preserve">Pass mark</w:t>
            </w:r>
          </w:p>
        </w:tc>
        <w:tc>
          <w:tcPr>
            <w:tcW w:type="dxa" w:w="6235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75%</w:t>
            </w:r>
          </w:p>
        </w:tc>
      </w:tr>
      <w:tr>
        <w:tc>
          <w:tcPr>
            <w:tcW w:type="dxa" w:w="3115"/>
            <w:shd w:fill="EAF2E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423A"/>
                <w:sz w:val="21"/>
                <w:szCs w:val="21"/>
              </w:rPr>
              <w:t xml:space="preserve">Retake policy</w:t>
            </w:r>
          </w:p>
        </w:tc>
        <w:tc>
          <w:tcPr>
            <w:tcW w:type="dxa" w:w="6235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color w:val="16221F"/>
                <w:sz w:val="21"/>
                <w:szCs w:val="21"/>
              </w:rPr>
              <w:t xml:space="preserve">One free retake after a 48-hour review period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6459"/>
          <w:sz w:val="26"/>
          <w:szCs w:val="26"/>
        </w:rPr>
        <w:t xml:space="preserve">Scope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Drawn from all 4 half-day quizzes: framework definitions, RACSI + AI tiers, program-layer terms, dashboard reading + Field Notes scope.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The 2 short-answer questions ask participants to justify a governance decision in writing (e.g. why a Phase Gate needs an independent Accountable role).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Passing EXM-F1 is one of three training exams required before the Foundation Level Exam (EXM-LVL-F).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6459"/>
          <w:sz w:val="26"/>
          <w:szCs w:val="26"/>
        </w:rPr>
        <w:t xml:space="preserve">Administering the Exam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Distribute the exam only after all 4 workshops are complete.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Closed-book, closed-device except the live journi environment where a question explicitly requires 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Score using the Exam Blueprint tab of the Excel workbook; record results in the cohort tracker.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6459"/>
          <w:sz w:val="26"/>
          <w:szCs w:val="26"/>
        </w:rPr>
        <w:t xml:space="preserve">Next Training</w:t>
      </w:r>
    </w:p>
    <w:p>
      <w:pPr>
        <w:spacing w:after="160"/>
      </w:pPr>
      <w:r>
        <w:rPr>
          <w:rFonts w:ascii="Calibri" w:cs="Calibri" w:eastAsia="Calibri" w:hAnsi="Calibri"/>
          <w:color w:val="16221F"/>
          <w:sz w:val="22"/>
          <w:szCs w:val="22"/>
        </w:rPr>
        <w:t xml:space="preserve">TRN-F2 — Individual &amp; Emotional Readiness: ADKAR and the Human Journey. Open TRN-F2 with a 10-minute recap addressing whichever journi screen this cohort flagged as least confident at the close of TRN-F1.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C6D6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C6D68"/>
        <w:sz w:val="16"/>
        <w:szCs w:val="16"/>
      </w:rPr>
      <w:t xml:space="preserve">TRN-F1 Facilitator Guide — journi Academy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2026-09-01T11:37:03.003Z</dcterms:created>
  <dcterms:modified xsi:type="dcterms:W3CDTF">2026-09-01T11:37:03.003Z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