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pPr>
      <w:r>
        <w:rPr>
          <w:b/>
          <w:color w:val="333333"/>
          <w:sz w:val="26"/>
        </w:rPr>
        <w:t>journi</w:t>
      </w:r>
    </w:p>
    <w:p>
      <w:pPr>
        <w:pStyle w:val="BodyText"/>
        <w:jc w:val="center"/>
        <w:rPr/>
      </w:pPr>
      <w:r>
        <w:rPr>
          <w:b/>
          <w:color w:val="1F4B45"/>
          <w:sz w:val="48"/>
        </w:rPr>
        <w:t>Running a Business Process Redesign Program</w:t>
      </w:r>
    </w:p>
    <w:p>
      <w:pPr>
        <w:pStyle w:val="BodyText"/>
        <w:jc w:val="center"/>
        <w:rPr/>
      </w:pPr>
      <w:r>
        <w:rPr>
          <w:b w:val="false"/>
          <w:color w:val="333333"/>
          <w:sz w:val="26"/>
        </w:rPr>
        <w:t>A Focused Guide to journi’s BPR Transformation Archetype</w:t>
      </w:r>
    </w:p>
    <w:p>
      <w:pPr>
        <w:pStyle w:val="BodyText"/>
        <w:jc w:val="center"/>
        <w:rPr/>
      </w:pPr>
      <w:r>
        <w:rPr>
          <w:b w:val="false"/>
          <w:color w:val="333333"/>
          <w:sz w:val="22"/>
        </w:rPr>
        <w:t>Case: Order-to-Cash Process Redesign (Manufacturing — Casablanca Finance)</w:t>
      </w:r>
    </w:p>
    <w:p>
      <w:pPr>
        <w:pStyle w:val="BodyText"/>
        <w:jc w:val="center"/>
        <w:rPr/>
      </w:pPr>
      <w:r>
        <w:rPr>
          <w:b w:val="false"/>
          <w:color w:val="333333"/>
          <w:sz w:val="21"/>
        </w:rPr>
        <w:t>Tenant Setup Through Sustainment — One Program, Followed Week by Week</w:t>
      </w:r>
    </w:p>
    <w:p>
      <w:pPr>
        <w:pStyle w:val="BodyText"/>
        <w:jc w:val="center"/>
        <w:rPr/>
      </w:pPr>
      <w:r>
        <w:rPr>
          <w:b w:val="false"/>
          <w:color w:val="333333"/>
          <w:sz w:val="21"/>
        </w:rPr>
        <w:t>Version 1.0 · September 2026 · Confidential</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2"/>
            <w:tabs>
              <w:tab w:val="clear" w:pos="10229"/>
              <w:tab w:val="right" w:pos="10511" w:leader="dot"/>
            </w:tabs>
            <w:rPr/>
          </w:pPr>
          <w:r>
            <w:fldChar w:fldCharType="begin"/>
          </w:r>
          <w:r>
            <w:rPr>
              <w:webHidden/>
              <w:rStyle w:val="IndexLink"/>
            </w:rPr>
            <w:instrText xml:space="preserve"> TOC \z \o "1-3" \u \h</w:instrText>
          </w:r>
          <w:r>
            <w:rPr>
              <w:webHidden/>
              <w:rStyle w:val="IndexLink"/>
            </w:rPr>
            <w:fldChar w:fldCharType="separate"/>
          </w:r>
          <w:hyperlink w:anchor="__RefHeading___Toc6326_3532355311">
            <w:r>
              <w:rPr>
                <w:webHidden/>
                <w:rStyle w:val="IndexLink"/>
              </w:rPr>
              <w:t>Part 0 — Purpose and How to Use This Guide</w:t>
              <w:tab/>
              <w:t>4</w:t>
            </w:r>
          </w:hyperlink>
        </w:p>
        <w:p>
          <w:pPr>
            <w:pStyle w:val="TOC3"/>
            <w:tabs>
              <w:tab w:val="clear" w:pos="9945"/>
              <w:tab w:val="right" w:pos="10511" w:leader="dot"/>
            </w:tabs>
            <w:rPr/>
          </w:pPr>
          <w:hyperlink w:anchor="__RefHeading___Toc6328_3532355311">
            <w:r>
              <w:rPr>
                <w:webHidden/>
                <w:rStyle w:val="IndexLink"/>
              </w:rPr>
              <w:t>What this guide is</w:t>
              <w:tab/>
              <w:t>4</w:t>
            </w:r>
          </w:hyperlink>
        </w:p>
        <w:p>
          <w:pPr>
            <w:pStyle w:val="TOC3"/>
            <w:tabs>
              <w:tab w:val="clear" w:pos="9945"/>
              <w:tab w:val="right" w:pos="10511" w:leader="dot"/>
            </w:tabs>
            <w:rPr/>
          </w:pPr>
          <w:hyperlink w:anchor="__RefHeading___Toc6330_3532355311">
            <w:r>
              <w:rPr>
                <w:webHidden/>
                <w:rStyle w:val="IndexLink"/>
              </w:rPr>
              <w:t>How to use it</w:t>
              <w:tab/>
              <w:t>4</w:t>
            </w:r>
          </w:hyperlink>
        </w:p>
        <w:p>
          <w:pPr>
            <w:pStyle w:val="TOC3"/>
            <w:tabs>
              <w:tab w:val="clear" w:pos="9945"/>
              <w:tab w:val="right" w:pos="10511" w:leader="dot"/>
            </w:tabs>
            <w:rPr/>
          </w:pPr>
          <w:hyperlink w:anchor="__RefHeading___Toc6332_3532355311">
            <w:r>
              <w:rPr>
                <w:webHidden/>
                <w:rStyle w:val="IndexLink"/>
              </w:rPr>
              <w:t>A note on fidelity</w:t>
              <w:tab/>
              <w:t>4</w:t>
            </w:r>
          </w:hyperlink>
        </w:p>
        <w:p>
          <w:pPr>
            <w:pStyle w:val="TOC3"/>
            <w:tabs>
              <w:tab w:val="clear" w:pos="9945"/>
              <w:tab w:val="right" w:pos="10511" w:leader="dot"/>
            </w:tabs>
            <w:rPr/>
          </w:pPr>
          <w:hyperlink w:anchor="__RefHeading___Toc6334_3532355311">
            <w:r>
              <w:rPr>
                <w:webHidden/>
                <w:rStyle w:val="IndexLink"/>
              </w:rPr>
              <w:t>A note on the RACSI codes used throughout</w:t>
              <w:tab/>
              <w:t>4</w:t>
            </w:r>
          </w:hyperlink>
        </w:p>
        <w:p>
          <w:pPr>
            <w:pStyle w:val="TOC3"/>
            <w:tabs>
              <w:tab w:val="clear" w:pos="9945"/>
              <w:tab w:val="right" w:pos="10511" w:leader="dot"/>
            </w:tabs>
            <w:rPr/>
          </w:pPr>
          <w:hyperlink w:anchor="__RefHeading___Toc6336_3532355311">
            <w:r>
              <w:rPr>
                <w:webHidden/>
                <w:rStyle w:val="IndexLink"/>
              </w:rPr>
              <w:t>Reading paths, by role</w:t>
              <w:tab/>
              <w:t>5</w:t>
            </w:r>
          </w:hyperlink>
        </w:p>
        <w:p>
          <w:pPr>
            <w:pStyle w:val="TOC2"/>
            <w:tabs>
              <w:tab w:val="clear" w:pos="10229"/>
              <w:tab w:val="right" w:pos="10511" w:leader="dot"/>
            </w:tabs>
            <w:rPr/>
          </w:pPr>
          <w:hyperlink w:anchor="__RefHeading___Toc6338_3532355311">
            <w:r>
              <w:rPr>
                <w:webHidden/>
                <w:rStyle w:val="IndexLink"/>
              </w:rPr>
              <w:t>Part 1 — Executive Summary</w:t>
              <w:tab/>
              <w:t>5</w:t>
            </w:r>
          </w:hyperlink>
        </w:p>
        <w:p>
          <w:pPr>
            <w:pStyle w:val="TOC3"/>
            <w:tabs>
              <w:tab w:val="clear" w:pos="9945"/>
              <w:tab w:val="right" w:pos="10511" w:leader="dot"/>
            </w:tabs>
            <w:rPr/>
          </w:pPr>
          <w:hyperlink w:anchor="__RefHeading___Toc6340_3532355311">
            <w:r>
              <w:rPr>
                <w:webHidden/>
                <w:rStyle w:val="IndexLink"/>
              </w:rPr>
              <w:t>1.1 Why This Case Matters: Resistance With a Real, Rational Cause</w:t>
              <w:tab/>
              <w:t>5</w:t>
            </w:r>
          </w:hyperlink>
        </w:p>
        <w:p>
          <w:pPr>
            <w:pStyle w:val="TOC3"/>
            <w:tabs>
              <w:tab w:val="clear" w:pos="9945"/>
              <w:tab w:val="right" w:pos="10511" w:leader="dot"/>
            </w:tabs>
            <w:rPr/>
          </w:pPr>
          <w:hyperlink w:anchor="__RefHeading___Toc6342_3532355311">
            <w:r>
              <w:rPr>
                <w:webHidden/>
                <w:rStyle w:val="IndexLink"/>
              </w:rPr>
              <w:t>1.2 The Case, in Brief</w:t>
              <w:tab/>
              <w:t>5</w:t>
            </w:r>
          </w:hyperlink>
        </w:p>
        <w:p>
          <w:pPr>
            <w:pStyle w:val="TOC3"/>
            <w:tabs>
              <w:tab w:val="clear" w:pos="9945"/>
              <w:tab w:val="right" w:pos="10511" w:leader="dot"/>
            </w:tabs>
            <w:rPr/>
          </w:pPr>
          <w:hyperlink w:anchor="__RefHeading___Toc6344_3532355311">
            <w:r>
              <w:rPr>
                <w:webHidden/>
                <w:rStyle w:val="IndexLink"/>
              </w:rPr>
              <w:t>1.3 What This Guide Proves, Concretely</w:t>
              <w:tab/>
              <w:t>6</w:t>
            </w:r>
          </w:hyperlink>
        </w:p>
        <w:p>
          <w:pPr>
            <w:pStyle w:val="TOC2"/>
            <w:tabs>
              <w:tab w:val="clear" w:pos="10229"/>
              <w:tab w:val="right" w:pos="10511" w:leader="dot"/>
            </w:tabs>
            <w:rPr/>
          </w:pPr>
          <w:hyperlink w:anchor="__RefHeading___Toc6346_3532355311">
            <w:r>
              <w:rPr>
                <w:webHidden/>
                <w:rStyle w:val="IndexLink"/>
              </w:rPr>
              <w:t>Part 2 — The Four Frameworks and What Is Specific to BPR</w:t>
              <w:tab/>
              <w:t>6</w:t>
            </w:r>
          </w:hyperlink>
        </w:p>
        <w:p>
          <w:pPr>
            <w:pStyle w:val="TOC3"/>
            <w:tabs>
              <w:tab w:val="clear" w:pos="9945"/>
              <w:tab w:val="right" w:pos="10511" w:leader="dot"/>
            </w:tabs>
            <w:rPr/>
          </w:pPr>
          <w:hyperlink w:anchor="__RefHeading___Toc6348_3532355311">
            <w:r>
              <w:rPr>
                <w:webHidden/>
                <w:rStyle w:val="IndexLink"/>
              </w:rPr>
              <w:t>2.1 journi’s Four Frameworks, in Their Real Stage Vocabulary</w:t>
              <w:tab/>
              <w:t>6</w:t>
            </w:r>
          </w:hyperlink>
        </w:p>
        <w:p>
          <w:pPr>
            <w:pStyle w:val="TOC3"/>
            <w:tabs>
              <w:tab w:val="clear" w:pos="9945"/>
              <w:tab w:val="right" w:pos="10511" w:leader="dot"/>
            </w:tabs>
            <w:rPr/>
          </w:pPr>
          <w:hyperlink w:anchor="__RefHeading___Toc6350_3532355311">
            <w:r>
              <w:rPr>
                <w:webHidden/>
                <w:rStyle w:val="IndexLink"/>
              </w:rPr>
              <w:t>2.2 Why the Weighting Is Different for BPR</w:t>
              <w:tab/>
              <w:t>6</w:t>
            </w:r>
          </w:hyperlink>
        </w:p>
        <w:p>
          <w:pPr>
            <w:pStyle w:val="TOC3"/>
            <w:tabs>
              <w:tab w:val="clear" w:pos="9945"/>
              <w:tab w:val="right" w:pos="10511" w:leader="dot"/>
            </w:tabs>
            <w:rPr/>
          </w:pPr>
          <w:hyperlink w:anchor="__RefHeading___Toc6352_3532355311">
            <w:r>
              <w:rPr>
                <w:webHidden/>
                <w:rStyle w:val="IndexLink"/>
              </w:rPr>
              <w:t>2.3 The Composite Readiness Index and Benchmarking, Read for This Case</w:t>
              <w:tab/>
              <w:t>6</w:t>
            </w:r>
          </w:hyperlink>
        </w:p>
        <w:p>
          <w:pPr>
            <w:pStyle w:val="TOC2"/>
            <w:tabs>
              <w:tab w:val="clear" w:pos="10229"/>
              <w:tab w:val="right" w:pos="10511" w:leader="dot"/>
            </w:tabs>
            <w:rPr/>
          </w:pPr>
          <w:hyperlink w:anchor="__RefHeading___Toc6354_3532355311">
            <w:r>
              <w:rPr>
                <w:webHidden/>
                <w:rStyle w:val="IndexLink"/>
              </w:rPr>
              <w:t>Part 3 — Tenant and Admin Setup</w:t>
              <w:tab/>
              <w:t>7</w:t>
            </w:r>
          </w:hyperlink>
        </w:p>
        <w:p>
          <w:pPr>
            <w:pStyle w:val="TOC3"/>
            <w:tabs>
              <w:tab w:val="clear" w:pos="9945"/>
              <w:tab w:val="right" w:pos="10511" w:leader="dot"/>
            </w:tabs>
            <w:rPr/>
          </w:pPr>
          <w:hyperlink w:anchor="__RefHeading___Toc6356_3532355311">
            <w:r>
              <w:rPr>
                <w:webHidden/>
                <w:rStyle w:val="IndexLink"/>
              </w:rPr>
              <w:t>3.1 The Existing Tenant: Bouregreg Group</w:t>
              <w:tab/>
              <w:t>7</w:t>
            </w:r>
          </w:hyperlink>
        </w:p>
        <w:p>
          <w:pPr>
            <w:pStyle w:val="TOC3"/>
            <w:tabs>
              <w:tab w:val="clear" w:pos="9945"/>
              <w:tab w:val="right" w:pos="10511" w:leader="dot"/>
            </w:tabs>
            <w:rPr/>
          </w:pPr>
          <w:hyperlink w:anchor="__RefHeading___Toc6358_3532355311">
            <w:r>
              <w:rPr>
                <w:webHidden/>
                <w:rStyle w:val="IndexLink"/>
              </w:rPr>
              <w:t>3.2 Step 1 — Onboarding the Redesign Team (M2)</w:t>
              <w:tab/>
              <w:t>7</w:t>
            </w:r>
          </w:hyperlink>
        </w:p>
        <w:p>
          <w:pPr>
            <w:pStyle w:val="TOC3"/>
            <w:tabs>
              <w:tab w:val="clear" w:pos="9945"/>
              <w:tab w:val="right" w:pos="10511" w:leader="dot"/>
            </w:tabs>
            <w:rPr/>
          </w:pPr>
          <w:hyperlink w:anchor="__RefHeading___Toc6360_3532355311">
            <w:r>
              <w:rPr>
                <w:webHidden/>
                <w:rStyle w:val="IndexLink"/>
              </w:rPr>
              <w:t>3.3 Step 2 — Creating the Order-to-Cash Process Redesign CM Project (M1)</w:t>
              <w:tab/>
              <w:t>7</w:t>
            </w:r>
          </w:hyperlink>
        </w:p>
        <w:p>
          <w:pPr>
            <w:pStyle w:val="TOC3"/>
            <w:tabs>
              <w:tab w:val="clear" w:pos="9945"/>
              <w:tab w:val="right" w:pos="10511" w:leader="dot"/>
            </w:tabs>
            <w:rPr/>
          </w:pPr>
          <w:hyperlink w:anchor="__RefHeading___Toc6362_3532355311">
            <w:r>
              <w:rPr>
                <w:webHidden/>
                <w:rStyle w:val="IndexLink"/>
              </w:rPr>
              <w:t>3.4 Step 3 — Governance (M2)</w:t>
              <w:tab/>
              <w:t>8</w:t>
            </w:r>
          </w:hyperlink>
        </w:p>
        <w:p>
          <w:pPr>
            <w:pStyle w:val="TOC3"/>
            <w:tabs>
              <w:tab w:val="clear" w:pos="9945"/>
              <w:tab w:val="right" w:pos="10511" w:leader="dot"/>
            </w:tabs>
            <w:rPr/>
          </w:pPr>
          <w:hyperlink w:anchor="__RefHeading___Toc6364_3532355311">
            <w:r>
              <w:rPr>
                <w:webHidden/>
                <w:rStyle w:val="IndexLink"/>
              </w:rPr>
              <w:t>3.5 Step 4 — Charters for This Program (M19)</w:t>
              <w:tab/>
              <w:t>8</w:t>
            </w:r>
          </w:hyperlink>
        </w:p>
        <w:p>
          <w:pPr>
            <w:pStyle w:val="TOC3"/>
            <w:tabs>
              <w:tab w:val="clear" w:pos="9945"/>
              <w:tab w:val="right" w:pos="10511" w:leader="dot"/>
            </w:tabs>
            <w:rPr/>
          </w:pPr>
          <w:hyperlink w:anchor="__RefHeading___Toc6366_3532355311">
            <w:r>
              <w:rPr>
                <w:webHidden/>
                <w:rStyle w:val="IndexLink"/>
              </w:rPr>
              <w:t>3.6 Setup Checklist</w:t>
              <w:tab/>
              <w:t>8</w:t>
            </w:r>
          </w:hyperlink>
        </w:p>
        <w:p>
          <w:pPr>
            <w:pStyle w:val="TOC2"/>
            <w:tabs>
              <w:tab w:val="clear" w:pos="10229"/>
              <w:tab w:val="right" w:pos="10511" w:leader="dot"/>
            </w:tabs>
            <w:rPr/>
          </w:pPr>
          <w:hyperlink w:anchor="__RefHeading___Toc6368_3532355311">
            <w:r>
              <w:rPr>
                <w:webHidden/>
                <w:rStyle w:val="IndexLink"/>
              </w:rPr>
              <w:t>Part 4 — Week-by-Week BPR Timeline: Normal Flow and Exceptions</w:t>
              <w:tab/>
              <w:t>8</w:t>
            </w:r>
          </w:hyperlink>
        </w:p>
        <w:p>
          <w:pPr>
            <w:pStyle w:val="TOC3"/>
            <w:tabs>
              <w:tab w:val="clear" w:pos="9945"/>
              <w:tab w:val="right" w:pos="10511" w:leader="dot"/>
            </w:tabs>
            <w:rPr/>
          </w:pPr>
          <w:hyperlink w:anchor="__RefHeading___Toc6370_3532355311">
            <w:r>
              <w:rPr>
                <w:webHidden/>
                <w:rStyle w:val="IndexLink"/>
              </w:rPr>
              <w:t>4.1 Normal Flow, Phase by Phase</w:t>
              <w:tab/>
              <w:t>9</w:t>
            </w:r>
          </w:hyperlink>
        </w:p>
        <w:p>
          <w:pPr>
            <w:pStyle w:val="TOC3"/>
            <w:tabs>
              <w:tab w:val="clear" w:pos="9945"/>
              <w:tab w:val="right" w:pos="10511" w:leader="dot"/>
            </w:tabs>
            <w:rPr/>
          </w:pPr>
          <w:hyperlink w:anchor="__RefHeading___Toc6372_3532355311">
            <w:r>
              <w:rPr>
                <w:webHidden/>
                <w:rStyle w:val="IndexLink"/>
              </w:rPr>
              <w:t>4.2 Master WBS &amp; Gantt — Every Task and Step, PM and CM Tracks, Across the Four Frameworks</w:t>
              <w:tab/>
              <w:t>17</w:t>
            </w:r>
          </w:hyperlink>
        </w:p>
        <w:p>
          <w:pPr>
            <w:pStyle w:val="TOC3"/>
            <w:tabs>
              <w:tab w:val="clear" w:pos="9945"/>
              <w:tab w:val="right" w:pos="10511" w:leader="dot"/>
            </w:tabs>
            <w:rPr/>
          </w:pPr>
          <w:hyperlink w:anchor="__RefHeading___Toc6374_3532355311">
            <w:r>
              <w:rPr>
                <w:webHidden/>
                <w:rStyle w:val="IndexLink"/>
              </w:rPr>
              <w:t>4.3 Master WBS &amp; Gantt — Every Task and Step, Techniques and Tools</w:t>
              <w:tab/>
              <w:t>19</w:t>
            </w:r>
          </w:hyperlink>
        </w:p>
        <w:p>
          <w:pPr>
            <w:pStyle w:val="TOC3"/>
            <w:tabs>
              <w:tab w:val="clear" w:pos="9945"/>
              <w:tab w:val="right" w:pos="10511" w:leader="dot"/>
            </w:tabs>
            <w:rPr/>
          </w:pPr>
          <w:hyperlink w:anchor="__RefHeading___Toc6376_3532355311">
            <w:r>
              <w:rPr>
                <w:webHidden/>
                <w:rStyle w:val="IndexLink"/>
              </w:rPr>
              <w:t>4.4 Six Exceptions, in Detail</w:t>
              <w:tab/>
              <w:t>22</w:t>
            </w:r>
          </w:hyperlink>
        </w:p>
        <w:p>
          <w:pPr>
            <w:pStyle w:val="TOC2"/>
            <w:tabs>
              <w:tab w:val="clear" w:pos="10229"/>
              <w:tab w:val="right" w:pos="10511" w:leader="dot"/>
            </w:tabs>
            <w:rPr/>
          </w:pPr>
          <w:hyperlink w:anchor="__RefHeading___Toc6378_3532355311">
            <w:r>
              <w:rPr>
                <w:webHidden/>
                <w:rStyle w:val="IndexLink"/>
              </w:rPr>
              <w:t>Part 5 — Training Program: Process Literacy Across Three Tiers</w:t>
              <w:tab/>
              <w:t>25</w:t>
            </w:r>
          </w:hyperlink>
        </w:p>
        <w:p>
          <w:pPr>
            <w:pStyle w:val="TOC3"/>
            <w:tabs>
              <w:tab w:val="clear" w:pos="9945"/>
              <w:tab w:val="right" w:pos="10511" w:leader="dot"/>
            </w:tabs>
            <w:rPr/>
          </w:pPr>
          <w:hyperlink w:anchor="__RefHeading___Toc6380_3532355311">
            <w:r>
              <w:rPr>
                <w:webHidden/>
                <w:rStyle w:val="IndexLink"/>
              </w:rPr>
              <w:t>5.1 What This Training Covers</w:t>
              <w:tab/>
              <w:t>25</w:t>
            </w:r>
          </w:hyperlink>
        </w:p>
        <w:p>
          <w:pPr>
            <w:pStyle w:val="TOC3"/>
            <w:tabs>
              <w:tab w:val="clear" w:pos="9945"/>
              <w:tab w:val="right" w:pos="10511" w:leader="dot"/>
            </w:tabs>
            <w:rPr/>
          </w:pPr>
          <w:hyperlink w:anchor="__RefHeading___Toc6382_3532355311">
            <w:r>
              <w:rPr>
                <w:webHidden/>
                <w:rStyle w:val="IndexLink"/>
              </w:rPr>
              <w:t>5.2 Tier 1 — Strategic Management (Weeks 1–4)</w:t>
              <w:tab/>
              <w:t>25</w:t>
            </w:r>
          </w:hyperlink>
        </w:p>
        <w:p>
          <w:pPr>
            <w:pStyle w:val="TOC3"/>
            <w:tabs>
              <w:tab w:val="clear" w:pos="9945"/>
              <w:tab w:val="right" w:pos="10511" w:leader="dot"/>
            </w:tabs>
            <w:rPr/>
          </w:pPr>
          <w:hyperlink w:anchor="__RefHeading___Toc6384_3532355311">
            <w:r>
              <w:rPr>
                <w:webHidden/>
                <w:rStyle w:val="IndexLink"/>
              </w:rPr>
              <w:t>5.3 Tier 2 — Operational Management (Weeks 4–14)</w:t>
              <w:tab/>
              <w:t>25</w:t>
            </w:r>
          </w:hyperlink>
        </w:p>
        <w:p>
          <w:pPr>
            <w:pStyle w:val="TOC3"/>
            <w:tabs>
              <w:tab w:val="clear" w:pos="9945"/>
              <w:tab w:val="right" w:pos="10511" w:leader="dot"/>
            </w:tabs>
            <w:rPr/>
          </w:pPr>
          <w:hyperlink w:anchor="__RefHeading___Toc6386_3532355311">
            <w:r>
              <w:rPr>
                <w:webHidden/>
                <w:rStyle w:val="IndexLink"/>
              </w:rPr>
              <w:t>5.4 Tier 3 — Operations (Frontline) (Weeks 12–28)</w:t>
              <w:tab/>
              <w:t>26</w:t>
            </w:r>
          </w:hyperlink>
        </w:p>
        <w:p>
          <w:pPr>
            <w:pStyle w:val="TOC3"/>
            <w:tabs>
              <w:tab w:val="clear" w:pos="9945"/>
              <w:tab w:val="right" w:pos="10511" w:leader="dot"/>
            </w:tabs>
            <w:rPr/>
          </w:pPr>
          <w:hyperlink w:anchor="__RefHeading___Toc6388_3532355311">
            <w:r>
              <w:rPr>
                <w:webHidden/>
                <w:rStyle w:val="IndexLink"/>
              </w:rPr>
              <w:t>5.5 Training Completion and the Composite Readiness Index</w:t>
              <w:tab/>
              <w:t>26</w:t>
            </w:r>
          </w:hyperlink>
          <w:r>
            <w:rPr>
              <w:rStyle w:val="IndexLink"/>
            </w:rPr>
            <w:fldChar w:fldCharType="end"/>
          </w:r>
        </w:p>
      </w:sdtContent>
    </w:sdt>
    <w:p>
      <w:pPr>
        <w:pStyle w:val="Normal"/>
        <w:rPr/>
      </w:pPr>
      <w:r>
        <w:rPr/>
      </w:r>
      <w:r>
        <w:br w:type="page"/>
      </w:r>
    </w:p>
    <w:p>
      <w:pPr>
        <w:pStyle w:val="Heading2"/>
        <w:spacing w:before="0" w:after="0"/>
        <w:rPr/>
      </w:pPr>
      <w:bookmarkStart w:id="0" w:name="__RefHeading___Toc6326_3532355311"/>
      <w:bookmarkStart w:id="1" w:name="part-0-purpose-and-how-to-use-this-guide"/>
      <w:bookmarkEnd w:id="0"/>
      <w:r>
        <w:rPr>
          <w:b/>
          <w:color w:val="1F4B45"/>
          <w:sz w:val="38"/>
        </w:rPr>
        <w:t>Part 0 — Purpose and How to Use This Guide</w:t>
      </w:r>
    </w:p>
    <w:p>
      <w:pPr>
        <w:pStyle w:val="Heading3"/>
        <w:rPr/>
      </w:pPr>
      <w:bookmarkStart w:id="2" w:name="__RefHeading___Toc6328_3532355311"/>
      <w:bookmarkStart w:id="3" w:name="what-this-guide-is"/>
      <w:bookmarkEnd w:id="2"/>
      <w:r>
        <w:rPr>
          <w:b/>
          <w:color w:val="275650"/>
          <w:sz w:val="29"/>
        </w:rPr>
        <w:t>What this guide is</w:t>
      </w:r>
    </w:p>
    <w:p>
      <w:pPr>
        <w:pStyle w:val="FirstParagraph"/>
        <w:rPr/>
      </w:pPr>
      <w:r>
        <w:rPr>
          <w:sz w:val="22"/>
        </w:rPr>
        <w:t xml:space="preserve">This guide is a single, focused companion to journi’s Business Process Redesign (BPR) archetype, following </w:t>
      </w:r>
      <w:r>
        <w:rPr>
          <w:b/>
          <w:bCs/>
          <w:sz w:val="22"/>
        </w:rPr>
        <w:t>Order-to-Cash Process Redesign</w:t>
      </w:r>
      <w:r>
        <w:rPr>
          <w:sz w:val="22"/>
        </w:rPr>
        <w:t xml:space="preserve"> — Bouregreg Manufacturing Maroc’s own redesign of a manual, workaround-riddled finance process — from CM Project creation through sustainment, week by week. Unlike the Automation archetype guide in this series, this case is built by journi’s own scenario library to cross the resistance-escalation threshold: the finance staff who built and privately own today’s manual workarounds resist a redesign that makes those workarounds obsolete, by design.</w:t>
      </w:r>
    </w:p>
    <w:p>
      <w:pPr>
        <w:pStyle w:val="BodyText"/>
        <w:rPr/>
      </w:pPr>
      <w:bookmarkStart w:id="4" w:name="what-this-guide-is"/>
      <w:r>
        <w:rPr>
          <w:sz w:val="22"/>
        </w:rPr>
        <w:t>It is organized in six parts: Part 0 (this part), Part 1 (Executive Summary), Part 2 (The Four Frameworks and What Is Specific to BPR), Part 3 (Tenant and Admin Setup), Part 4 (Week-by-Week BPR Timeline: Normal Flow and Exceptions, including two Master WBS &amp; Gantt views), and Part 5 (Training Program).</w:t>
      </w:r>
      <w:bookmarkEnd w:id="4"/>
    </w:p>
    <w:p>
      <w:pPr>
        <w:pStyle w:val="Heading3"/>
        <w:rPr/>
      </w:pPr>
      <w:bookmarkStart w:id="5" w:name="__RefHeading___Toc6330_3532355311"/>
      <w:bookmarkStart w:id="6" w:name="how-to-use-it"/>
      <w:bookmarkEnd w:id="5"/>
      <w:r>
        <w:rPr>
          <w:b/>
          <w:color w:val="275650"/>
          <w:sz w:val="29"/>
        </w:rPr>
        <w:t>How to use it</w:t>
      </w:r>
    </w:p>
    <w:p>
      <w:pPr>
        <w:pStyle w:val="FirstParagraph"/>
        <w:rPr/>
      </w:pPr>
      <w:bookmarkStart w:id="7" w:name="how-to-use-it"/>
      <w:r>
        <w:rPr>
          <w:sz w:val="22"/>
        </w:rPr>
        <w:t>This guide’s Bouregreg Group tenant is the same one journi’s Master User Guide builds, and the same one this series’ other archetype guides extend. A reader with the tenant already set up skips to Part 3, Section 3.2.</w:t>
      </w:r>
      <w:bookmarkEnd w:id="7"/>
    </w:p>
    <w:p>
      <w:pPr>
        <w:pStyle w:val="Heading3"/>
        <w:rPr/>
      </w:pPr>
      <w:bookmarkStart w:id="8" w:name="__RefHeading___Toc6332_3532355311"/>
      <w:bookmarkStart w:id="9" w:name="a-note-on-fidelity"/>
      <w:bookmarkEnd w:id="8"/>
      <w:r>
        <w:rPr>
          <w:b/>
          <w:color w:val="275650"/>
          <w:sz w:val="29"/>
        </w:rPr>
        <w:t>A note on fidelity</w:t>
      </w:r>
    </w:p>
    <w:p>
      <w:pPr>
        <w:pStyle w:val="FirstParagraph"/>
        <w:rPr/>
      </w:pPr>
      <w:r>
        <w:rPr>
          <w:sz w:val="22"/>
        </w:rPr>
        <w:t xml:space="preserve">Every journi module, field, and role named in this guide is verified against journi’s actual source. Order-to-Cash Process Redesign is journi’s own stated case for </w:t>
      </w:r>
      <w:r>
        <w:rPr>
          <w:b/>
          <w:bCs/>
          <w:sz w:val="22"/>
        </w:rPr>
        <w:t>ALT-004 (Resistance Escalation Threshold Breached)</w:t>
      </w:r>
      <w:r>
        <w:rPr>
          <w:sz w:val="22"/>
        </w:rPr>
        <w:t xml:space="preserve"> — this guide builds toward that alert firing exactly once three or more open resistance entries accumulate, per journi’s own threshold logic, not before.</w:t>
      </w:r>
      <w:bookmarkEnd w:id="9"/>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64" w:right="864" w:gutter="0" w:header="720" w:top="1008" w:footer="720" w:bottom="1008"/>
          <w:pgNumType w:fmt="decimal"/>
          <w:formProt w:val="false"/>
          <w:textDirection w:val="lrTb"/>
          <w:docGrid w:type="default" w:linePitch="100" w:charSpace="0"/>
        </w:sectPr>
        <w:pStyle w:val="Heading3"/>
        <w:rPr/>
      </w:pPr>
      <w:bookmarkStart w:id="10" w:name="__RefHeading___Toc6334_3532355311"/>
      <w:bookmarkStart w:id="11" w:name="X14c73c2752e550dc7bd4181aa8c52a44f6ae1ff"/>
      <w:bookmarkEnd w:id="10"/>
      <w:r>
        <w:rPr>
          <w:b/>
          <w:color w:val="275650"/>
          <w:sz w:val="29"/>
        </w:rPr>
        <w:t>A note on the RACSI codes used throughout</w:t>
      </w:r>
    </w:p>
    <w:p>
      <w:pPr>
        <w:pStyle w:val="FirstParagraph"/>
        <w:rPr/>
      </w:pPr>
      <w:r>
        <w:rPr>
          <w:sz w:val="22"/>
        </w:rPr>
        <w:t xml:space="preserve">Part 4’s RACSI tables use journi’s 7-code RACSI role taxonomy (ES/CM/PM/FPO/ITL/SUP/EU), distinct from the 9-role platform RBAC enum Part 3 uses for journi user accounts. </w:t>
      </w:r>
      <w:r>
        <w:rPr>
          <w:b/>
          <w:bCs/>
          <w:sz w:val="22"/>
        </w:rPr>
        <w:t>ES</w:t>
      </w:r>
      <w:r>
        <w:rPr>
          <w:sz w:val="22"/>
        </w:rPr>
        <w:t xml:space="preserve"> = Executive Sponsor, </w:t>
      </w:r>
      <w:r>
        <w:rPr>
          <w:b/>
          <w:bCs/>
          <w:sz w:val="22"/>
        </w:rPr>
        <w:t>CM</w:t>
      </w:r>
      <w:r>
        <w:rPr>
          <w:sz w:val="22"/>
        </w:rPr>
        <w:t xml:space="preserve"> = Change Manager, </w:t>
      </w:r>
      <w:r>
        <w:rPr>
          <w:b/>
          <w:bCs/>
          <w:sz w:val="22"/>
        </w:rPr>
        <w:t>PM</w:t>
      </w:r>
      <w:r>
        <w:rPr>
          <w:sz w:val="22"/>
        </w:rPr>
        <w:t xml:space="preserve"> = Program/Project Manager, </w:t>
      </w:r>
      <w:r>
        <w:rPr>
          <w:b/>
          <w:bCs/>
          <w:sz w:val="22"/>
        </w:rPr>
        <w:t>FPO</w:t>
      </w:r>
      <w:r>
        <w:rPr>
          <w:sz w:val="22"/>
        </w:rPr>
        <w:t xml:space="preserve"> = Functional Process Owner, </w:t>
      </w:r>
      <w:r>
        <w:rPr>
          <w:b/>
          <w:bCs/>
          <w:sz w:val="22"/>
        </w:rPr>
        <w:t>ITL</w:t>
      </w:r>
      <w:r>
        <w:rPr>
          <w:sz w:val="22"/>
        </w:rPr>
        <w:t xml:space="preserve"> = IT/Technical Lead, </w:t>
      </w:r>
      <w:r>
        <w:rPr>
          <w:b/>
          <w:bCs/>
          <w:sz w:val="22"/>
        </w:rPr>
        <w:t>SUP</w:t>
      </w:r>
      <w:r>
        <w:rPr>
          <w:sz w:val="22"/>
        </w:rPr>
        <w:t xml:space="preserve"> = Supervisor, </w:t>
      </w:r>
      <w:r>
        <w:rPr>
          <w:b/>
          <w:bCs/>
          <w:sz w:val="22"/>
        </w:rPr>
        <w:t>EU</w:t>
      </w:r>
      <w:r>
        <w:rPr>
          <w:sz w:val="22"/>
        </w:rPr>
        <w:t xml:space="preserve"> = End User.</w:t>
      </w:r>
      <w:bookmarkEnd w:id="11"/>
    </w:p>
    <w:p>
      <w:pPr>
        <w:pStyle w:val="Heading3"/>
        <w:rPr/>
      </w:pPr>
      <w:bookmarkStart w:id="12" w:name="__RefHeading___Toc6336_3532355311"/>
      <w:bookmarkStart w:id="13" w:name="reading-paths-by-role"/>
      <w:bookmarkEnd w:id="12"/>
      <w:r>
        <w:rPr>
          <w:b/>
          <w:color w:val="275650"/>
          <w:sz w:val="29"/>
        </w:rPr>
        <w:t>Reading paths, by role</w:t>
      </w:r>
    </w:p>
    <w:p>
      <w:pPr>
        <w:pStyle w:val="Compact"/>
        <w:numPr>
          <w:ilvl w:val="0"/>
          <w:numId w:val="1"/>
        </w:numPr>
        <w:rPr/>
      </w:pPr>
      <w:r>
        <w:rPr>
          <w:b/>
          <w:bCs/>
          <w:sz w:val="22"/>
        </w:rPr>
        <w:t>A Change Manager running this program day to day:</w:t>
      </w:r>
      <w:r>
        <w:rPr>
          <w:sz w:val="22"/>
        </w:rPr>
        <w:t xml:space="preserve"> Part 2 once, then Part 4 in full.</w:t>
      </w:r>
    </w:p>
    <w:p>
      <w:pPr>
        <w:pStyle w:val="Compact"/>
        <w:numPr>
          <w:ilvl w:val="0"/>
          <w:numId w:val="1"/>
        </w:numPr>
        <w:rPr/>
      </w:pPr>
      <w:r>
        <w:rPr>
          <w:b/>
          <w:bCs/>
          <w:sz w:val="22"/>
        </w:rPr>
        <w:t>A Program/Project Manager:</w:t>
      </w:r>
      <w:r>
        <w:rPr>
          <w:sz w:val="22"/>
        </w:rPr>
        <w:t xml:space="preserve"> Part 4’s PM Track column and the Master WBS &amp; Gantt (Sections 4.2–4.3).</w:t>
      </w:r>
    </w:p>
    <w:p>
      <w:pPr>
        <w:pStyle w:val="Compact"/>
        <w:numPr>
          <w:ilvl w:val="0"/>
          <w:numId w:val="1"/>
        </w:numPr>
        <w:rPr/>
      </w:pPr>
      <w:r>
        <w:rPr>
          <w:b/>
          <w:bCs/>
          <w:sz w:val="22"/>
        </w:rPr>
        <w:t>An Executive Sponsor:</w:t>
      </w:r>
      <w:r>
        <w:rPr>
          <w:sz w:val="22"/>
        </w:rPr>
        <w:t xml:space="preserve"> Part 1, then Part 4’s phase-opening narratives.</w:t>
      </w:r>
    </w:p>
    <w:p>
      <w:pPr>
        <w:pStyle w:val="Compact"/>
        <w:numPr>
          <w:ilvl w:val="0"/>
          <w:numId w:val="1"/>
        </w:numPr>
        <w:rPr/>
      </w:pPr>
      <w:r>
        <w:rPr>
          <w:b/>
          <w:bCs/>
          <w:sz w:val="22"/>
        </w:rPr>
        <w:t>A Super Admin or Org Admin:</w:t>
      </w:r>
      <w:r>
        <w:rPr>
          <w:sz w:val="22"/>
        </w:rPr>
        <w:t xml:space="preserve"> Part 3.</w:t>
      </w:r>
      <w:bookmarkEnd w:id="1"/>
      <w:bookmarkEnd w:id="13"/>
    </w:p>
    <w:p>
      <w:pPr>
        <w:pStyle w:val="Heading2"/>
        <w:rPr/>
      </w:pPr>
      <w:bookmarkStart w:id="14" w:name="__RefHeading___Toc6338_3532355311"/>
      <w:bookmarkStart w:id="15" w:name="part-1-executive-summary"/>
      <w:bookmarkEnd w:id="14"/>
      <w:r>
        <w:rPr>
          <w:b/>
          <w:color w:val="1F4B45"/>
          <w:sz w:val="38"/>
        </w:rPr>
        <w:t>Part 1 — Executive Summary</w:t>
      </w:r>
    </w:p>
    <w:p>
      <w:pPr>
        <w:pStyle w:val="Heading3"/>
        <w:rPr/>
      </w:pPr>
      <w:bookmarkStart w:id="16" w:name="__RefHeading___Toc6340_3532355311"/>
      <w:bookmarkStart w:id="17" w:name="X60c9db81643e0e9ce190601428b6be9c28ef38e"/>
      <w:bookmarkEnd w:id="16"/>
      <w:r>
        <w:rPr>
          <w:b/>
          <w:color w:val="275650"/>
          <w:sz w:val="29"/>
        </w:rPr>
        <w:t>1.1 Why This Case Matters: Resistance With a Real, Rational Cause</w:t>
      </w:r>
    </w:p>
    <w:p>
      <w:pPr>
        <w:pStyle w:val="FirstParagraph"/>
        <w:rPr/>
      </w:pPr>
      <w:r>
        <w:rPr>
          <w:sz w:val="22"/>
        </w:rPr>
        <w:t>Order-to-Cash Process Redesign is journi’s own case for a resistance pattern that is not irrational or merely emotional: Casablanca finance staff built the manual workarounds this redesign eliminates, over years, to cope with a process design that costs the function three weeks of reconciliation work every month. Redesigning the process makes those workarounds — and the specific expertise built around them — obsolete. That is a real, rational stake, and this guide treats it as one rather than reducing it to generic change fatigue.</w:t>
      </w:r>
    </w:p>
    <w:p>
      <w:pPr>
        <w:pStyle w:val="BodyText"/>
        <w:rPr/>
      </w:pPr>
      <w:r>
        <w:rPr>
          <w:sz w:val="22"/>
        </w:rPr>
        <w:t>Three facts drive this case’s specific shape:</w:t>
      </w:r>
    </w:p>
    <w:p>
      <w:pPr>
        <w:pStyle w:val="Compact"/>
        <w:numPr>
          <w:ilvl w:val="0"/>
          <w:numId w:val="8"/>
        </w:numPr>
        <w:rPr/>
      </w:pPr>
      <w:r>
        <w:rPr>
          <w:b/>
          <w:bCs/>
          <w:sz w:val="22"/>
        </w:rPr>
        <w:t>The business driver is quantified and self-inflicted.</w:t>
      </w:r>
      <w:r>
        <w:rPr>
          <w:sz w:val="22"/>
        </w:rPr>
        <w:t xml:space="preserve"> Three weeks of month-end reconciliation work per cycle traces directly to the process’s own design, not to external tooling limits — a business case with no ambiguity about whether the problem is real.</w:t>
      </w:r>
    </w:p>
    <w:p>
      <w:pPr>
        <w:pStyle w:val="Compact"/>
        <w:numPr>
          <w:ilvl w:val="0"/>
          <w:numId w:val="9"/>
        </w:numPr>
        <w:rPr/>
      </w:pPr>
      <w:r>
        <w:rPr>
          <w:b/>
          <w:bCs/>
          <w:sz w:val="22"/>
        </w:rPr>
        <w:t>Resistance here is expertise defending itself.</w:t>
      </w:r>
      <w:r>
        <w:rPr>
          <w:sz w:val="22"/>
        </w:rPr>
        <w:t xml:space="preserve"> The staff most likely to resist are the same staff whose workaround expertise makes them most valuable today — a direct tension this guide’s Phase 2 design work has to resolve, not paper over.</w:t>
      </w:r>
    </w:p>
    <w:p>
      <w:pPr>
        <w:pStyle w:val="Compact"/>
        <w:numPr>
          <w:ilvl w:val="0"/>
          <w:numId w:val="10"/>
        </w:numPr>
        <w:rPr/>
      </w:pPr>
      <w:r>
        <w:rPr>
          <w:b/>
          <w:bCs/>
          <w:sz w:val="22"/>
        </w:rPr>
        <w:t>The threshold is real, not decorative.</w:t>
      </w:r>
      <w:r>
        <w:rPr>
          <w:sz w:val="22"/>
        </w:rPr>
        <w:t xml:space="preserve"> journi’s ALT-004 (Resistance Escalation Threshold Breached) fires once three or more open resistance entries accumulate — this program’s own record crosses that exact threshold during its pilot phase, and this guide shows the real escalation and response, not a hypothetical one.</w:t>
      </w:r>
      <w:bookmarkEnd w:id="17"/>
    </w:p>
    <w:p>
      <w:pPr>
        <w:pStyle w:val="Heading3"/>
        <w:rPr/>
      </w:pPr>
      <w:bookmarkStart w:id="18" w:name="__RefHeading___Toc6342_3532355311"/>
      <w:bookmarkStart w:id="19" w:name="the-case-in-brief"/>
      <w:bookmarkEnd w:id="18"/>
      <w:r>
        <w:rPr>
          <w:b/>
          <w:color w:val="275650"/>
          <w:sz w:val="29"/>
        </w:rPr>
        <w:t>1.2 The Case, in Brief</w:t>
      </w:r>
    </w:p>
    <w:p>
      <w:pPr>
        <w:pStyle w:val="FirstParagraph"/>
        <w:rPr/>
      </w:pPr>
      <w:bookmarkStart w:id="20" w:name="the-case-in-brief"/>
      <w:r>
        <w:rPr>
          <w:sz w:val="22"/>
        </w:rPr>
        <w:t>Casablanca HQ’s finance function has run order-to-cash manually since before Bouregreg Group’s ERP program began. This 50-week program (Weeks 3–52 of Bouregreg Group’s own org calendar, opening alongside the ERP program’s own Discovery phase) redesigns the process itself — independent of any system change — for the 140-person Casablanca finance population, crossing the resistance-escalation threshold once during its pilot and recovering from it using journi’s own mitigation mechanism.</w:t>
      </w:r>
      <w:bookmarkEnd w:id="20"/>
    </w:p>
    <w:p>
      <w:pPr>
        <w:pStyle w:val="Heading3"/>
        <w:rPr/>
      </w:pPr>
      <w:bookmarkStart w:id="21" w:name="__RefHeading___Toc6344_3532355311"/>
      <w:bookmarkStart w:id="22" w:name="what-this-guide-proves-concretely"/>
      <w:bookmarkEnd w:id="21"/>
      <w:r>
        <w:rPr>
          <w:b/>
          <w:color w:val="275650"/>
          <w:sz w:val="29"/>
        </w:rPr>
        <w:t>1.3 What This Guide Proves, Concretely</w:t>
      </w:r>
    </w:p>
    <w:p>
      <w:pPr>
        <w:pStyle w:val="FirstParagraph"/>
        <w:rPr/>
      </w:pPr>
      <w:bookmarkStart w:id="23" w:name="part-1-executive-summary"/>
      <w:bookmarkStart w:id="24" w:name="what-this-guide-proves-concretely"/>
      <w:r>
        <w:rPr>
          <w:sz w:val="22"/>
        </w:rPr>
        <w:t>Every claim above is traceable to a real journi record this guide builds: a quantified, three-workaround business case; a resistance log that crosses three open entries at a specific, named point in the pilot; and a documented mitigation response that closes those entries before rollout.</w:t>
      </w:r>
      <w:bookmarkEnd w:id="23"/>
      <w:bookmarkEnd w:id="24"/>
    </w:p>
    <w:p>
      <w:pPr>
        <w:pStyle w:val="Heading2"/>
        <w:rPr/>
      </w:pPr>
      <w:bookmarkStart w:id="25" w:name="__RefHeading___Toc6346_3532355311"/>
      <w:bookmarkStart w:id="26" w:name="X8bba618cd44e03019af3fbf34a5d715410dbc9e"/>
      <w:bookmarkEnd w:id="25"/>
      <w:r>
        <w:rPr>
          <w:b/>
          <w:color w:val="1F4B45"/>
          <w:sz w:val="38"/>
        </w:rPr>
        <w:t>Part 2 — The Four Frameworks and What Is Specific to BPR</w:t>
      </w:r>
    </w:p>
    <w:p>
      <w:pPr>
        <w:pStyle w:val="Heading3"/>
        <w:rPr/>
      </w:pPr>
      <w:bookmarkStart w:id="27" w:name="__RefHeading___Toc6348_3532355311"/>
      <w:bookmarkEnd w:id="27"/>
      <w:r>
        <w:rPr>
          <w:b/>
          <w:color w:val="275650"/>
          <w:sz w:val="29"/>
        </w:rPr>
        <w:t>2.1 journi’s Four Frameworks, in Their Real Stage Vocabulary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27"/>
        <w:gridCol w:w="3528"/>
        <w:gridCol w:w="3528"/>
        <w:gridCol w:w="3528"/>
      </w:tblGrid>
      <w:tr>
        <w:trPr>
          <w:tblHeader w:val="true"/>
          <w:cantSplit w:val="true"/>
        </w:trPr>
        <w:tc>
          <w:tcPr>
            <w:tcW w:w="352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Framework</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Altitude</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Stages (in journi’s own UI, in order)</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Logged on</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 one reading per project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 → Change → Refreeze</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Prosci ADKAR</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five independently-scored blocks</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Desire → Knowledge → Ability → Reinforcement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Transition Model</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emotional position</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 Neutral Zone → New Beginning</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Kübler-Ross Change Curve</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sentiment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 → Resistance/Anger → Exploration → Commitment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bookmarkStart w:id="28" w:name="Xf9388d334f39966b48f045236a5d077134e6061"/>
            <w:bookmarkEnd w:id="28"/>
          </w:p>
        </w:tc>
      </w:tr>
    </w:tbl>
    <w:p>
      <w:pPr>
        <w:pStyle w:val="Heading3"/>
        <w:rPr/>
      </w:pPr>
      <w:bookmarkStart w:id="29" w:name="__RefHeading___Toc6350_3532355311"/>
      <w:bookmarkEnd w:id="29"/>
      <w:r>
        <w:rPr>
          <w:b/>
          <w:color w:val="275650"/>
          <w:sz w:val="29"/>
        </w:rPr>
        <w:t>2.2 Why the Weighting Is Different for BPR</w:t>
      </w:r>
    </w:p>
    <w:p>
      <w:pPr>
        <w:pStyle w:val="Compact"/>
        <w:numPr>
          <w:ilvl w:val="0"/>
          <w:numId w:val="11"/>
        </w:numPr>
        <w:rPr/>
      </w:pPr>
      <w:r>
        <w:rPr>
          <w:b/>
          <w:bCs/>
          <w:sz w:val="22"/>
        </w:rPr>
        <w:t>Desire is the hardest block, and it stays hard.</w:t>
      </w:r>
      <w:r>
        <w:rPr>
          <w:sz w:val="22"/>
        </w:rPr>
        <w:t xml:space="preserve"> Unlike Automation’s near-zero emotional stakes, BPR asks staff to give up expertise they built themselves. Desire does not move on a logical business case alone — it moves when staff see a real role for their expertise in the redesigned process, not just an ending for the old one.</w:t>
      </w:r>
    </w:p>
    <w:p>
      <w:pPr>
        <w:pStyle w:val="Compact"/>
        <w:numPr>
          <w:ilvl w:val="0"/>
          <w:numId w:val="12"/>
        </w:numPr>
        <w:rPr/>
      </w:pPr>
      <w:r>
        <w:rPr>
          <w:b/>
          <w:bCs/>
          <w:sz w:val="22"/>
        </w:rPr>
        <w:t>Bridges and Kübler-Ross read closer to the Cultural archetype than to Automation.</w:t>
      </w:r>
      <w:r>
        <w:rPr>
          <w:sz w:val="22"/>
        </w:rPr>
        <w:t xml:space="preserve"> A workaround someone built and privately owns is a real Ending in Bridges’ sense — not organizational rhetoric, but a specific, personal loss of a specific skill’s relevance.</w:t>
      </w:r>
    </w:p>
    <w:p>
      <w:pPr>
        <w:pStyle w:val="Compact"/>
        <w:numPr>
          <w:ilvl w:val="0"/>
          <w:numId w:val="13"/>
        </w:numPr>
        <w:rPr/>
      </w:pPr>
      <w:r>
        <w:rPr>
          <w:b/>
          <w:bCs/>
          <w:sz w:val="22"/>
        </w:rPr>
        <w:t>MP-05 (Training &amp; Capability Enablement) is present</w:t>
      </w:r>
      <w:r>
        <w:rPr>
          <w:sz w:val="22"/>
        </w:rPr>
        <w:t>, per the E2E-BPR chain (MP-01→02→03→05→07→08→09→10) — Part 5 covers it, focused specifically on the new process’s mechanics, not on convincing anyone to want the change.</w:t>
      </w:r>
    </w:p>
    <w:p>
      <w:pPr>
        <w:pStyle w:val="Heading3"/>
        <w:rPr/>
      </w:pPr>
      <w:bookmarkStart w:id="30" w:name="__RefHeading___Toc6352_3532355311"/>
      <w:bookmarkStart w:id="31" w:name="Xb76089adb1c663877aebe90ebf6f1cee8dd0b39"/>
      <w:bookmarkEnd w:id="30"/>
      <w:r>
        <w:rPr>
          <w:b/>
          <w:color w:val="275650"/>
          <w:sz w:val="29"/>
        </w:rPr>
        <w:t>2.3 The Composite Readiness Index and Benchmarking, Read for This Case</w:t>
      </w:r>
    </w:p>
    <w:p>
      <w:pPr>
        <w:pStyle w:val="FirstParagraph"/>
        <w:rPr/>
      </w:pPr>
      <w:bookmarkStart w:id="32" w:name="X8bba618cd44e03019af3fbf34a5d715410dbc9e"/>
      <w:bookmarkStart w:id="33" w:name="Xb76089adb1c663877aebe90ebf6f1cee8dd0b39"/>
      <w:r>
        <w:rPr>
          <w:sz w:val="22"/>
        </w:rPr>
        <w:t>This program’s Composite Readiness Index (Section 4.1) shows a real, visible dip during the pilot phase, coinciding with the resistance-escalation threshold crossing — an honest reading this guide narrates directly rather than smooth over. Benchmarking correspondingly reads “Behind” briefly during the pilot before recovering to “In Line” once the mitigation response closes the open resistance entries.</w:t>
      </w:r>
      <w:bookmarkEnd w:id="32"/>
      <w:bookmarkEnd w:id="33"/>
    </w:p>
    <w:p>
      <w:pPr>
        <w:pStyle w:val="Heading2"/>
        <w:rPr/>
      </w:pPr>
      <w:bookmarkStart w:id="34" w:name="__RefHeading___Toc6354_3532355311"/>
      <w:bookmarkStart w:id="35" w:name="part-3-tenant-and-admin-setup"/>
      <w:bookmarkEnd w:id="34"/>
      <w:r>
        <w:rPr>
          <w:b/>
          <w:color w:val="1F4B45"/>
          <w:sz w:val="38"/>
        </w:rPr>
        <w:t>Part 3 — Tenant and Admin Setup</w:t>
      </w:r>
    </w:p>
    <w:p>
      <w:pPr>
        <w:pStyle w:val="Heading3"/>
        <w:rPr/>
      </w:pPr>
      <w:bookmarkStart w:id="36" w:name="__RefHeading___Toc6356_3532355311"/>
      <w:bookmarkStart w:id="37" w:name="the-existing-tenant-bouregreg-group"/>
      <w:bookmarkEnd w:id="36"/>
      <w:r>
        <w:rPr>
          <w:b/>
          <w:color w:val="275650"/>
          <w:sz w:val="29"/>
        </w:rPr>
        <w:t>3.1 The Existing Tenant: Bouregreg Group</w:t>
      </w:r>
    </w:p>
    <w:p>
      <w:pPr>
        <w:pStyle w:val="FirstParagraph"/>
        <w:rPr/>
      </w:pPr>
      <w:bookmarkStart w:id="38" w:name="the-existing-tenant-bouregreg-group"/>
      <w:r>
        <w:rPr>
          <w:sz w:val="22"/>
        </w:rPr>
        <w:t>This program runs inside the same tenant journi’s Master User Guide builds, under the existing Bouregreg Manufacturing Maroc Organization. No new Organization is needed — Casablanca finance already sits inside it.</w:t>
      </w:r>
      <w:bookmarkEnd w:id="38"/>
    </w:p>
    <w:p>
      <w:pPr>
        <w:pStyle w:val="Heading3"/>
        <w:rPr/>
      </w:pPr>
      <w:bookmarkStart w:id="39" w:name="__RefHeading___Toc6358_3532355311"/>
      <w:bookmarkEnd w:id="39"/>
      <w:r>
        <w:rPr>
          <w:b/>
          <w:color w:val="275650"/>
          <w:sz w:val="29"/>
        </w:rPr>
        <w:t>3.2 Step 1 — Onboarding the Redesign Team (M2)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Role (RBAC)</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 type</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RACSI Code</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Notes</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Karim Zniber</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Order-to-Cash Process Redesign </w:t>
            </w:r>
            <w:r>
              <w:rPr>
                <w:rFonts w:eastAsia="Cambria" w:cs=""/>
                <w:i/>
                <w:iCs/>
                <w:kern w:val="0"/>
                <w:sz w:val="19"/>
                <w:szCs w:val="24"/>
                <w:lang w:val="en-US" w:eastAsia="en-US" w:bidi="ar-SA"/>
              </w:rPr>
              <w:t>(created in Step 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VP Finance</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Imane Berrada</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Order-to-Cash Process Redesign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Owns day-to-day program execution</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Othmane Rifai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Order-to-Cash Process Redesign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Process redesign and build lead</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Salwa Tazi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Order-to-Cash Process Redesign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FPO</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Casablanca Finance Process Owner</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Karim Alami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Order-to-Cash Process Redesign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ITL</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 liaison for tooling changes</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Amina Sebti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Order-to-Cash Process Redesign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AP/AR team lead</w:t>
            </w:r>
            <w:bookmarkStart w:id="40" w:name="step-1-onboarding-the-redesign-team-m2"/>
            <w:bookmarkEnd w:id="40"/>
          </w:p>
        </w:tc>
      </w:tr>
    </w:tbl>
    <w:p>
      <w:pPr>
        <w:pStyle w:val="Heading3"/>
        <w:rPr/>
      </w:pPr>
      <w:bookmarkStart w:id="41" w:name="__RefHeading___Toc6360_3532355311"/>
      <w:bookmarkEnd w:id="41"/>
      <w:r>
        <w:rPr>
          <w:b/>
          <w:color w:val="275650"/>
          <w:sz w:val="29"/>
        </w:rPr>
        <w:t>3.3 Step 2 — Creating the Order-to-Cash Process Redesign CM Project (M1)</w:t>
      </w:r>
    </w:p>
    <w:p>
      <w:pPr>
        <w:pStyle w:val="Compact"/>
        <w:numPr>
          <w:ilvl w:val="0"/>
          <w:numId w:val="14"/>
        </w:numPr>
        <w:rPr/>
      </w:pPr>
      <w:r>
        <w:rPr>
          <w:sz w:val="22"/>
        </w:rPr>
        <w:t xml:space="preserve">On the Bouregreg Manufacturing Maroc Organization card, click </w:t>
      </w:r>
      <w:r>
        <w:rPr>
          <w:b/>
          <w:bCs/>
          <w:sz w:val="22"/>
        </w:rPr>
        <w:t>+ CM Project</w:t>
      </w:r>
      <w:r>
        <w:rPr>
          <w:sz w:val="22"/>
        </w:rPr>
        <w:t>. Fill in:</w:t>
      </w:r>
    </w:p>
    <w:p>
      <w:pPr>
        <w:pStyle w:val="Compact"/>
        <w:numPr>
          <w:ilvl w:val="1"/>
          <w:numId w:val="15"/>
        </w:numPr>
        <w:rPr/>
      </w:pPr>
      <w:r>
        <w:rPr>
          <w:sz w:val="22"/>
        </w:rPr>
        <w:t>Name: “Order-to-Cash Process Redesign”</w:t>
      </w:r>
    </w:p>
    <w:p>
      <w:pPr>
        <w:pStyle w:val="Compact"/>
        <w:numPr>
          <w:ilvl w:val="1"/>
          <w:numId w:val="16"/>
        </w:numPr>
        <w:rPr/>
      </w:pPr>
      <w:r>
        <w:rPr>
          <w:sz w:val="22"/>
        </w:rPr>
        <w:t xml:space="preserve">Linked Main Project: </w:t>
      </w:r>
      <w:r>
        <w:rPr>
          <w:b/>
          <w:bCs/>
          <w:sz w:val="22"/>
        </w:rPr>
        <w:t>none</w:t>
      </w:r>
    </w:p>
    <w:p>
      <w:pPr>
        <w:pStyle w:val="Compact"/>
        <w:numPr>
          <w:ilvl w:val="1"/>
          <w:numId w:val="17"/>
        </w:numPr>
        <w:rPr/>
      </w:pPr>
      <w:r>
        <w:rPr>
          <w:sz w:val="22"/>
        </w:rPr>
        <w:t>Owner: “Imane Berrada”</w:t>
      </w:r>
    </w:p>
    <w:p>
      <w:pPr>
        <w:pStyle w:val="Compact"/>
        <w:numPr>
          <w:ilvl w:val="1"/>
          <w:numId w:val="18"/>
        </w:numPr>
        <w:rPr/>
      </w:pPr>
      <w:r>
        <w:rPr>
          <w:sz w:val="22"/>
        </w:rPr>
        <w:t xml:space="preserve">Change type: </w:t>
      </w:r>
      <w:r>
        <w:rPr>
          <w:b/>
          <w:bCs/>
          <w:sz w:val="22"/>
        </w:rPr>
        <w:t>BPR</w:t>
      </w:r>
    </w:p>
    <w:p>
      <w:pPr>
        <w:pStyle w:val="Compact"/>
        <w:numPr>
          <w:ilvl w:val="1"/>
          <w:numId w:val="19"/>
        </w:numPr>
        <w:rPr/>
      </w:pPr>
      <w:r>
        <w:rPr>
          <w:sz w:val="22"/>
        </w:rPr>
        <w:t>Target population: “Casablanca Finance (140)”</w:t>
      </w:r>
    </w:p>
    <w:p>
      <w:pPr>
        <w:pStyle w:val="Compact"/>
        <w:numPr>
          <w:ilvl w:val="1"/>
          <w:numId w:val="20"/>
        </w:numPr>
        <w:rPr/>
      </w:pPr>
      <w:r>
        <w:rPr>
          <w:sz w:val="22"/>
        </w:rPr>
        <w:t>Business driver: “Three weeks of month-end reconciliation work per cycle, self-inflicted by the current order-to-cash process design, not by any tooling limitation.”</w:t>
      </w:r>
    </w:p>
    <w:p>
      <w:pPr>
        <w:pStyle w:val="Compact"/>
        <w:numPr>
          <w:ilvl w:val="0"/>
          <w:numId w:val="4"/>
        </w:numPr>
        <w:rPr/>
      </w:pPr>
      <w:r>
        <w:rPr>
          <w:sz w:val="22"/>
        </w:rPr>
        <w:t xml:space="preserve">Save. Lewin opens at </w:t>
      </w:r>
      <w:r>
        <w:rPr>
          <w:b/>
          <w:bCs/>
          <w:sz w:val="22"/>
        </w:rPr>
        <w:t>Unfreeze</w:t>
      </w:r>
      <w:r>
        <w:rPr>
          <w:sz w:val="22"/>
        </w:rPr>
        <w:t>, justification: “Opening Unfreeze at program start, Week 1 (org Week 3), alongside the ERP program’s own Discovery phase.”</w:t>
      </w:r>
    </w:p>
    <w:p>
      <w:pPr>
        <w:pStyle w:val="Compact"/>
        <w:numPr>
          <w:ilvl w:val="0"/>
          <w:numId w:val="4"/>
        </w:numPr>
        <w:rPr/>
      </w:pPr>
      <w:r>
        <w:rPr>
          <w:sz w:val="22"/>
        </w:rPr>
        <w:t xml:space="preserve">On </w:t>
      </w:r>
      <w:r>
        <w:rPr>
          <w:b/>
          <w:bCs/>
          <w:sz w:val="22"/>
        </w:rPr>
        <w:t>Module 17 — WBS &amp; Gantt</w:t>
      </w:r>
      <w:r>
        <w:rPr>
          <w:sz w:val="22"/>
        </w:rPr>
        <w:t xml:space="preserve">, load the </w:t>
      </w:r>
      <w:r>
        <w:rPr>
          <w:b/>
          <w:bCs/>
          <w:sz w:val="22"/>
        </w:rPr>
        <w:t>TPL-BPR-7</w:t>
      </w:r>
      <w:r>
        <w:rPr>
          <w:sz w:val="22"/>
        </w:rPr>
        <w:t xml:space="preserve"> phase template (Intake &amp; Diagnosis → Clean-Slate Design → Build → Pilot → Rollout → Stabilization → Sustainment).</w:t>
      </w:r>
    </w:p>
    <w:p>
      <w:pPr>
        <w:pStyle w:val="Heading3"/>
        <w:rPr/>
      </w:pPr>
      <w:bookmarkStart w:id="42" w:name="__RefHeading___Toc6362_3532355311"/>
      <w:bookmarkStart w:id="43" w:name="step-3-governance-m2"/>
      <w:bookmarkEnd w:id="42"/>
      <w:r>
        <w:rPr>
          <w:b/>
          <w:color w:val="275650"/>
          <w:sz w:val="29"/>
        </w:rPr>
        <w:t>3.4 Step 3 — Governance (M2)</w:t>
      </w:r>
    </w:p>
    <w:p>
      <w:pPr>
        <w:pStyle w:val="FirstParagraph"/>
        <w:rPr/>
      </w:pPr>
      <w:bookmarkStart w:id="44" w:name="step-3-governance-m2"/>
      <w:r>
        <w:rPr>
          <w:sz w:val="22"/>
        </w:rPr>
        <w:t>Permission Matrix and the Governance Setting stay unchanged tenant-wide.</w:t>
      </w:r>
      <w:bookmarkEnd w:id="44"/>
    </w:p>
    <w:p>
      <w:pPr>
        <w:pStyle w:val="Heading3"/>
        <w:rPr/>
      </w:pPr>
      <w:bookmarkStart w:id="45" w:name="__RefHeading___Toc6364_3532355311"/>
      <w:bookmarkStart w:id="46" w:name="step-4-charters-for-this-program-m19"/>
      <w:bookmarkEnd w:id="45"/>
      <w:r>
        <w:rPr>
          <w:b/>
          <w:color w:val="275650"/>
          <w:sz w:val="29"/>
        </w:rPr>
        <w:t>3.5 Step 4 — Charters for This Program (M19)</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4"/>
        <w:gridCol w:w="4704"/>
        <w:gridCol w:w="4704"/>
      </w:tblGrid>
      <w:tr>
        <w:trPr>
          <w:tblHeader w:val="true"/>
          <w:cantSplit w:val="true"/>
        </w:trPr>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Charter</w:t>
            </w:r>
          </w:p>
        </w:tc>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Accountable (this program)</w:t>
            </w:r>
          </w:p>
        </w:tc>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Review cadence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 Sponsorship / Leadership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Karim Zniber (ES)</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CHTR-02 Participative Management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Amina Sebti (SUP)</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Quarterly</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CHTR-03 Communication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Imane Berrada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communication wave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CHTR-04 Organizational Impact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Imane Berrada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 scope change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CHTR-06 One-to-One Coaching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Imane Berrada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triggered case — directly relevant given this case’s expected resistance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CHTR-08 Pulse / Interview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Imane Berrada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 + ad hoc</w:t>
            </w:r>
          </w:p>
        </w:tc>
      </w:tr>
    </w:tbl>
    <w:p>
      <w:pPr>
        <w:pStyle w:val="BodyText"/>
        <w:rPr/>
      </w:pPr>
      <w:bookmarkStart w:id="47" w:name="step-4-charters-for-this-program-m19"/>
      <w:r>
        <w:rPr>
          <w:sz w:val="22"/>
        </w:rPr>
        <w:t>CHTR-05 (Team Coaching, hypercare-specific) and CHTR-07 (Mentoring) stay dormant — this program has no hypercare phase of its own and does not run a mentoring cohort.</w:t>
      </w:r>
      <w:bookmarkEnd w:id="47"/>
    </w:p>
    <w:p>
      <w:pPr>
        <w:pStyle w:val="Heading3"/>
        <w:rPr/>
      </w:pPr>
      <w:bookmarkStart w:id="48" w:name="__RefHeading___Toc6366_3532355311"/>
      <w:bookmarkStart w:id="49" w:name="setup-checklist"/>
      <w:bookmarkEnd w:id="48"/>
      <w:r>
        <w:rPr>
          <w:b/>
          <w:color w:val="275650"/>
          <w:sz w:val="29"/>
        </w:rPr>
        <w:t>3.6 Setup Checklist</w:t>
      </w:r>
    </w:p>
    <w:p>
      <w:pPr>
        <w:pStyle w:val="Compact"/>
        <w:numPr>
          <w:ilvl w:val="0"/>
          <w:numId w:val="21"/>
        </w:numPr>
        <w:rPr/>
      </w:pPr>
      <w:r>
        <w:rPr>
          <w:sz w:val="22"/>
        </w:rPr>
        <w:t xml:space="preserve">☐ </w:t>
      </w:r>
      <w:r>
        <w:rPr>
          <w:sz w:val="22"/>
        </w:rPr>
        <w:t>Base tenant confirmed (Bouregreg Group, Bouregreg Manufacturing Maroc Organization)</w:t>
      </w:r>
    </w:p>
    <w:p>
      <w:pPr>
        <w:pStyle w:val="Compact"/>
        <w:numPr>
          <w:ilvl w:val="0"/>
          <w:numId w:val="22"/>
        </w:numPr>
        <w:rPr/>
      </w:pPr>
      <w:r>
        <w:rPr>
          <w:sz w:val="22"/>
        </w:rPr>
        <w:t xml:space="preserve">☐ </w:t>
      </w:r>
      <w:r>
        <w:rPr>
          <w:sz w:val="22"/>
        </w:rPr>
        <w:t>Redesign team accounts created — Section 3.2</w:t>
      </w:r>
    </w:p>
    <w:p>
      <w:pPr>
        <w:pStyle w:val="Compact"/>
        <w:numPr>
          <w:ilvl w:val="0"/>
          <w:numId w:val="23"/>
        </w:numPr>
        <w:rPr/>
      </w:pPr>
      <w:r>
        <w:rPr>
          <w:sz w:val="22"/>
        </w:rPr>
        <w:t xml:space="preserve">☐ </w:t>
      </w:r>
      <w:r>
        <w:rPr>
          <w:sz w:val="22"/>
        </w:rPr>
        <w:t>Order-to-Cash Process Redesign CM Project created, Lewin opened at Unfreeze — Section 3.3</w:t>
      </w:r>
    </w:p>
    <w:p>
      <w:pPr>
        <w:pStyle w:val="Compact"/>
        <w:numPr>
          <w:ilvl w:val="0"/>
          <w:numId w:val="24"/>
        </w:numPr>
        <w:rPr/>
      </w:pPr>
      <w:r>
        <w:rPr>
          <w:sz w:val="22"/>
        </w:rPr>
        <w:t xml:space="preserve">☐ </w:t>
      </w:r>
      <w:r>
        <w:rPr>
          <w:sz w:val="22"/>
        </w:rPr>
        <w:t>TPL-BPR-7 phase template loaded on M17 — Section 3.3</w:t>
      </w:r>
    </w:p>
    <w:p>
      <w:pPr>
        <w:pStyle w:val="Compact"/>
        <w:numPr>
          <w:ilvl w:val="0"/>
          <w:numId w:val="25"/>
        </w:numPr>
        <w:rPr/>
      </w:pPr>
      <w:r>
        <w:rPr>
          <w:sz w:val="22"/>
        </w:rPr>
        <w:t xml:space="preserve">☐ </w:t>
      </w:r>
      <w:r>
        <w:rPr>
          <w:sz w:val="22"/>
        </w:rPr>
        <w:t>Six applicable Charters reviewed and accountable owners confirmed — Section 3.5</w:t>
      </w:r>
    </w:p>
    <w:p>
      <w:pPr>
        <w:pStyle w:val="FirstParagraph"/>
        <w:rPr/>
      </w:pPr>
      <w:bookmarkStart w:id="50" w:name="part-3-tenant-and-admin-setup"/>
      <w:bookmarkStart w:id="51" w:name="setup-checklist"/>
      <w:r>
        <w:rPr>
          <w:sz w:val="22"/>
        </w:rPr>
        <w:t>With this checklist complete, Part 4 runs the program forward, week by week.</w:t>
      </w:r>
      <w:bookmarkEnd w:id="50"/>
      <w:bookmarkEnd w:id="51"/>
    </w:p>
    <w:p>
      <w:pPr>
        <w:pStyle w:val="Heading2"/>
        <w:rPr/>
      </w:pPr>
      <w:bookmarkStart w:id="52" w:name="__RefHeading___Toc6368_3532355311"/>
      <w:bookmarkStart w:id="53" w:name="Xdaf787b043a3c9360b1b4ea8639dee5593338fa"/>
      <w:bookmarkEnd w:id="52"/>
      <w:r>
        <w:rPr>
          <w:b/>
          <w:color w:val="1F4B45"/>
          <w:sz w:val="38"/>
        </w:rPr>
        <w:t>Part 4 — Week-by-Week BPR Timeline: Normal Flow and Exceptions</w:t>
      </w:r>
    </w:p>
    <w:p>
      <w:pPr>
        <w:pStyle w:val="FirstParagraph"/>
        <w:rPr/>
      </w:pPr>
      <w:r>
        <w:rPr>
          <w:sz w:val="22"/>
        </w:rPr>
        <w:t>Part 3 ended with Order-to-Cash Process Redesign registered and its Lewin phase opened at Unfreeze, program Week 1. This Part runs that program forward for its full 50-week duration, against journi’s TPL-BPR-7 template. Program Week 1 corresponds to Bouregreg Group’s own org-calendar Week 3 — add 2 to convert a program week to its org-calendar equivalent. Every one of the program’s 50 individual weeks is listed on its own row, so a reader can see exactly which week a framework reading, a phase transition, or an exception is active in.</w:t>
      </w:r>
    </w:p>
    <w:p>
      <w:pPr>
        <w:pStyle w:val="Heading3"/>
        <w:rPr/>
      </w:pPr>
      <w:bookmarkStart w:id="54" w:name="__RefHeading___Toc6370_3532355311"/>
      <w:bookmarkStart w:id="55" w:name="normal-flow-phase-by-phase"/>
      <w:bookmarkEnd w:id="54"/>
      <w:r>
        <w:rPr>
          <w:b/>
          <w:color w:val="275650"/>
          <w:sz w:val="29"/>
        </w:rPr>
        <w:t>4.1 Normal Flow, Phase by Phase</w:t>
      </w:r>
    </w:p>
    <w:p>
      <w:pPr>
        <w:pStyle w:val="Heading4"/>
        <w:rPr/>
      </w:pPr>
      <w:bookmarkStart w:id="56" w:name="phase-1-intake-diagnosis-weeks-17"/>
      <w:r>
        <w:rPr>
          <w:b/>
          <w:color w:val="3F827B"/>
          <w:sz w:val="25"/>
        </w:rPr>
        <w:t>Phase 1 — Intake &amp; Diagnosis (Weeks 1–7)</w:t>
      </w:r>
    </w:p>
    <w:p>
      <w:pPr>
        <w:pStyle w:val="FirstParagraph"/>
        <w:rPr/>
      </w:pPr>
      <w:r>
        <w:rPr>
          <w:sz w:val="22"/>
        </w:rPr>
        <w:t>Quantifies the real cost of the current process before any redesign work starts — the business case this program runs on has to be unambiguous, since the redesign will ask staff to give up real expertise.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Othmane Rifai holds program kickoff; confirms Karim Zniber’s sponsorship.</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Imane Berrada briefs the team; plans the workaround-inventory capture method.</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 (Hierarchy) — verify the CM Project record matches the kickoff agreement.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Interview finance staff (AR and AP) about the current order-to-cash process, step by step.</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logging workaround findings neutrally, not yet as resistance entries.</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Workshop · Title: “Order-to-Cash Interviews Begin.”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interviews across the full AR/AP cycle.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Compile the workaround inventory: manual credit-note re-keying, whiteboard-tracked partial shipments, manual bank-reconciliation matching.</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Body: “Four distinct workarounds identified, each traced to a specific process gap.”</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Workaround count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Pull reconciliation time logs across the full monthly cycle.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Quantify: three weeks of reconciliation work per month, traced to the four named workarounds.</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Body: “3 weeks/month, all four workarounds implicated, fully traced not estimated.”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the business case.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stakeholder mapping.</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(Stakeholder Mapping) — “Casablanca Finance — AR” and “Casablanca Finance — AP” (dimension: Process, severity: High).</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the draft business case to the Steering Committee.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Flag which sub-team (AR or AP) carries the deepest workaround exposure for the design phase’s priority order.</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(Stakeholder Mapping) — AR cohort severity updated to Critical.</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the business case for sign-off — Phase 1 gate.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Prepare for the design phase’s co-design recruitment.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“Business Case Finalized.”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bl>
    <w:p>
      <w:pPr>
        <w:pStyle w:val="BodyText"/>
        <w:rPr/>
      </w:pPr>
      <w:bookmarkStart w:id="57" w:name="phase-1-intake-diagnosis-weeks-17"/>
      <w:r>
        <w:rPr>
          <w:i/>
          <w:iCs/>
          <w:sz w:val="22"/>
        </w:rPr>
        <w:t>Phase gate: Intake &amp; Diagnosis closes once the business case is quantified against named, traced workarounds — not a general estimate.</w:t>
      </w:r>
      <w:bookmarkEnd w:id="57"/>
    </w:p>
    <w:p>
      <w:pPr>
        <w:pStyle w:val="Heading4"/>
        <w:rPr/>
      </w:pPr>
      <w:bookmarkStart w:id="58" w:name="phase-2-clean-slate-design-weeks-58"/>
      <w:r>
        <w:rPr>
          <w:b/>
          <w:color w:val="3F827B"/>
          <w:sz w:val="25"/>
        </w:rPr>
        <w:t>Phase 2 — Clean-Slate Design (Weeks 5–8)</w:t>
      </w:r>
    </w:p>
    <w:p>
      <w:pPr>
        <w:pStyle w:val="FirstParagraph"/>
        <w:rPr/>
      </w:pPr>
      <w:r>
        <w:rPr>
          <w:sz w:val="22"/>
        </w:rPr>
        <w:t>Deliberately designs from the ideal future state, not the current process — and deliberately recruits the workaround-owning staff themselves into the design work, converting the program’s biggest resistance risk into design expertise instead of excluding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Launch clean-slate design workshops, explicitly not anchored to the current process.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Recruit the workaround-owning staff into the design workshops directly — the core mitigation for this program’s central risk.</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Workshop · Title: “Clean-Slate Design Workshops Begin, Workaround-Owners Included.”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1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design workshops; map the future-state process end to end.</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the future-state process map for review.</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2 gate: clean-slate design signed off.</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Lewin justification citing the co-designed process map.</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bl>
    <w:p>
      <w:pPr>
        <w:pStyle w:val="BodyText"/>
        <w:rPr/>
      </w:pPr>
      <w:bookmarkStart w:id="59" w:name="phase-2-clean-slate-design-weeks-58"/>
      <w:r>
        <w:rPr>
          <w:i/>
          <w:iCs/>
          <w:sz w:val="22"/>
        </w:rPr>
        <w:t>Phase gate: Clean-Slate Design closes once the future-state process is mapped end to end and signed off — with the same staff who built today’s workarounds having helped design its replacement.</w:t>
      </w:r>
      <w:bookmarkEnd w:id="59"/>
    </w:p>
    <w:p>
      <w:pPr>
        <w:pStyle w:val="Heading4"/>
        <w:rPr/>
      </w:pPr>
      <w:bookmarkStart w:id="60" w:name="phase-3-build-weeks-816"/>
      <w:r>
        <w:rPr>
          <w:b/>
          <w:color w:val="3F827B"/>
          <w:sz w:val="25"/>
        </w:rPr>
        <w:t>Phase 3 — Build (Weeks 8–16)</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build: configure the new process steps and any supporting tooling changes.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 (WBS &amp; Gantt) — task status “In Progress.”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2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build; confirm integration points with existing finance systems.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build.</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build; draft the new process’s job aids.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build.</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the draft job aids with Salwa Tazi for accuracy.</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build; internal review of the configured process against the design map.</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build; select the single process step (credit-note issuance) for the Phase 4 pilot.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Capture the pilot baseline: current resistance log at zero, current cycle time for credit-note issuance.</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baseline: 0 open entries.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resistance-entry count (0)</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3 gate: build complete.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bl>
    <w:p>
      <w:pPr>
        <w:pStyle w:val="BodyText"/>
        <w:rPr/>
      </w:pPr>
      <w:bookmarkStart w:id="61" w:name="phase-3-build-weeks-816"/>
      <w:r>
        <w:rPr>
          <w:i/>
          <w:iCs/>
          <w:sz w:val="22"/>
        </w:rPr>
        <w:t>Phase gate: Build closes once the new process is fully configured and its job aids reviewed with the Process Owner.</w:t>
      </w:r>
      <w:bookmarkEnd w:id="61"/>
    </w:p>
    <w:p>
      <w:pPr>
        <w:pStyle w:val="Heading4"/>
        <w:rPr/>
      </w:pPr>
      <w:bookmarkStart w:id="62" w:name="phase-4-pilot-weeks-1424"/>
      <w:r>
        <w:rPr>
          <w:b/>
          <w:color w:val="3F827B"/>
          <w:sz w:val="25"/>
        </w:rPr>
        <w:t>Phase 4 — Pilot (Weeks 14–24)</w:t>
      </w:r>
    </w:p>
    <w:p>
      <w:pPr>
        <w:pStyle w:val="FirstParagraph"/>
        <w:rPr/>
      </w:pPr>
      <w:r>
        <w:rPr>
          <w:sz w:val="22"/>
        </w:rPr>
        <w:t>Runs the new process on a single step — credit-note issuance — with the AR team who most directly owns today’s manual workaround for it. This is where the program’s central risk actually surfaces, on schedule.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Prepare the pilot launch with the AR credit-note team.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3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Launch the pilot: credit-note issuance runs on the new process.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 pulse check begins.</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Awareness 4, Desire 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weekly monitoring.</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 routine update.</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 routine update.</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 routine update.</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First resistance entry logged: a senior AR staff member objects to losing manual control over credit-note approval, citing accuracy concerns.</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Entry 1: “Manual-control loss objection, senior AR staff — accuracy concern cited.”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 resistance-entry count (1)</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Second resistance entry logged: a related objection from a second AR staff member, same root theme.</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Entry 2: “Same root theme — accuracy concern, second AR staff member.”</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 resistance-entry count (2)</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Escalate to Imane Berrada and the Steering Committee.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Third resistance entry lands — </w:t>
            </w:r>
            <w:r>
              <w:rPr>
                <w:rFonts w:eastAsia="Cambria" w:cs=""/>
                <w:b/>
                <w:bCs/>
                <w:kern w:val="0"/>
                <w:sz w:val="19"/>
                <w:szCs w:val="24"/>
                <w:lang w:val="en-US" w:eastAsia="en-US" w:bidi="ar-SA"/>
              </w:rPr>
              <w:t>journi’s ALT-004 (Resistance Escalation Threshold Breached) fires</w:t>
            </w:r>
            <w:r>
              <w:rPr>
                <w:rFonts w:eastAsia="Cambria" w:cs=""/>
                <w:kern w:val="0"/>
                <w:sz w:val="19"/>
                <w:szCs w:val="24"/>
                <w:lang w:val="en-US" w:eastAsia="en-US" w:bidi="ar-SA"/>
              </w:rPr>
              <w:t>, three open entries within the pilot.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Entry 3: “Same root theme, third AR staff member — threshold crossed.”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ALT-004 fires this week</w:t>
            </w:r>
            <w:r>
              <w:rPr>
                <w:rFonts w:eastAsia="Cambria" w:cs=""/>
                <w:kern w:val="0"/>
                <w:sz w:val="19"/>
                <w:szCs w:val="24"/>
                <w:lang w:val="en-US" w:eastAsia="en-US" w:bidi="ar-SA"/>
              </w:rPr>
              <w:t xml:space="preserve"> (Section 4.2)</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 resistance-entry count (3)</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Support the mitigation response logistics.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direct, individual conversations with all three staff; co-design an accuracy safeguard (a secondary review step) directly with them rather than overriding the objection.</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“Accuracy Safeguard Co-Designed With Resisting Staff.”</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ALT-004 resolution in progress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4 gate: pilot complete, resistance entries closed.</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Close all three resistance entries, each linked to the new safeguard as its mitigation action.</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all 3 entries: status “Closed,” linked mitigation: “Secondary accuracy review step added.”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ALT-004 resolved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 resistance-entry count (0)</w:t>
            </w:r>
          </w:p>
        </w:tc>
      </w:tr>
    </w:tbl>
    <w:p>
      <w:pPr>
        <w:pStyle w:val="BodyText"/>
        <w:rPr/>
      </w:pPr>
      <w:bookmarkStart w:id="63" w:name="phase-4-pilot-weeks-1424"/>
      <w:r>
        <w:rPr>
          <w:i/>
          <w:iCs/>
          <w:sz w:val="22"/>
        </w:rPr>
        <w:t>Phase gate: Pilot closes once the resistance entries are not just counted but closed, each with a real, co-designed mitigation — not simply overridden.</w:t>
      </w:r>
      <w:bookmarkEnd w:id="63"/>
    </w:p>
    <w:p>
      <w:pPr>
        <w:pStyle w:val="Heading4"/>
        <w:rPr/>
      </w:pPr>
      <w:bookmarkStart w:id="64" w:name="phase-5-rollout-weeks-2232"/>
      <w:r>
        <w:rPr>
          <w:b/>
          <w:color w:val="3F827B"/>
          <w:sz w:val="25"/>
        </w:rPr>
        <w:t>Phase 5 — Rollout (Weeks 22–32)</w:t>
      </w:r>
    </w:p>
    <w:p>
      <w:pPr>
        <w:pStyle w:val="FirstParagraph"/>
        <w:rPr/>
      </w:pPr>
      <w:r>
        <w:rPr>
          <w:sz w:val="22"/>
        </w:rPr>
        <w:t>Extends the redesigned process, including the accuracy safeguard the pilot’s resistance directly produced, to the remaining Casablanca finance population.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rollout planning, incorporating the pilot’s accuracy safeguard into the rollout design.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(ALT-004 active — see Phase 4, Week 22)</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(see Phase 4, Week 22)</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rollout planning.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(ALT-004 resolution in progress — see Phase 4, Week 23)</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(see Phase 4, Week 23)</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rollout plan, sequenced by finance sub-team.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(ALT-004 resolved — see Phase 4, Week 24)</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 (WBS &amp; Gantt) — rollout sequence logged.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(see Phase 4, Week 24)</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Prepare rollout communications for the AR function beyond the pilot team.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rollout announcement drafted.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Launch rollout to the AR function beyond the pilot team.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Monitor resistance log — none of the pilot’s three closed entries recur elsewhere in AR.</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0 open entries, AR rollout.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AR rollout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 routine update.</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rollout to the AP function.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 routine update, AP cohort.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AP rollout.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 routine update.</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rollout across remaining AP teams.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 routine update.</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all sub-teams live on the redesigned process.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5 gate: rollout complete across all 140 finance staff.</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Rollout completion (140/140)</w:t>
            </w:r>
          </w:p>
        </w:tc>
      </w:tr>
    </w:tbl>
    <w:p>
      <w:pPr>
        <w:pStyle w:val="BodyText"/>
        <w:rPr/>
      </w:pPr>
      <w:bookmarkStart w:id="65" w:name="phase-5-rollout-weeks-2232"/>
      <w:r>
        <w:rPr>
          <w:i/>
          <w:iCs/>
          <w:sz w:val="22"/>
        </w:rPr>
        <w:t>Phase gate: Rollout closes once the redesigned process — including the safeguard the pilot’s resistance produced — is live across all of Casablanca finance.</w:t>
      </w:r>
      <w:bookmarkEnd w:id="65"/>
    </w:p>
    <w:p>
      <w:pPr>
        <w:pStyle w:val="Heading4"/>
        <w:rPr/>
      </w:pPr>
      <w:bookmarkStart w:id="66" w:name="phase-6-stabilization-weeks-3042"/>
      <w:r>
        <w:rPr>
          <w:b/>
          <w:color w:val="3F827B"/>
          <w:sz w:val="25"/>
        </w:rPr>
        <w:t>Phase 6 — Stabilization (Weeks 30–42)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stabilization monitoring alongside the final rollout weeks.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5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5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 no new resistance entries logged across any sub-team.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0 open entries.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Monitor reconciliation cycle time against the pre-redesign baseline.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(Analytics) — first post-rollout reconciliation-time reading.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Reconciliation time vs. baseline</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 confirm the accuracy safeguard has not introduced a new bottleneck.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 confirm the accuracy safeguard is being used correctly, not skipped.</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 alongside Phase 7’s own start (Section 4.1, Phase 7).</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(Analytics) — second reconciliation-time reading, trending favorably.</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6 gate: reconciliation time reduced and holding, no new resistance patterns.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Set Lewin to </w:t>
            </w:r>
            <w:r>
              <w:rPr>
                <w:rFonts w:eastAsia="Cambria" w:cs=""/>
                <w:b/>
                <w:bCs/>
                <w:kern w:val="0"/>
                <w:sz w:val="19"/>
                <w:szCs w:val="24"/>
                <w:lang w:val="en-US" w:eastAsia="en-US" w:bidi="ar-SA"/>
              </w:rPr>
              <w:t>Change</w:t>
            </w: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 — Lewin: “Change.”</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Reconciliation time reduction (weeks/month)</w:t>
            </w:r>
          </w:p>
        </w:tc>
      </w:tr>
    </w:tbl>
    <w:p>
      <w:pPr>
        <w:pStyle w:val="BodyText"/>
        <w:rPr/>
      </w:pPr>
      <w:bookmarkStart w:id="67" w:name="phase-6-stabilization-weeks-3042"/>
      <w:r>
        <w:rPr>
          <w:i/>
          <w:iCs/>
          <w:sz w:val="22"/>
        </w:rPr>
        <w:t>Phase gate: Stabilization closes once the reduced reconciliation time holds for a full monthly cycle, not just a single favorable reading.</w:t>
      </w:r>
      <w:bookmarkEnd w:id="67"/>
    </w:p>
    <w:p>
      <w:pPr>
        <w:pStyle w:val="Heading4"/>
        <w:rPr/>
      </w:pPr>
      <w:bookmarkStart w:id="68" w:name="phase-7-sustainment-weeks-4050"/>
      <w:r>
        <w:rPr>
          <w:b/>
          <w:color w:val="3F827B"/>
          <w:sz w:val="25"/>
        </w:rPr>
        <w:t>Phase 7 — Sustainment (Weeks 40–50)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sustainment planning alongside the final stabilization weeks.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the first sustainment checkpoint.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first checkpoint logged.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6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sustainment planning.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6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sustainment planning.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6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the second sustainment checkpoint; reconciliation time holding steady.</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checkpoint 2 logged, no regression flagged.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quick wins from the redesigned process’s first full quarter.</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quick wins logged.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monitoring ahead of the handover package.</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the sustainment handover package.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reconciliation-time reduction holds for a second consecutive cycle.</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(Analytics) — second consecutive favorable reading.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the handover package to the Steering Committee.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program close.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Set Lewin to </w:t>
            </w:r>
            <w:r>
              <w:rPr>
                <w:rFonts w:eastAsia="Cambria" w:cs=""/>
                <w:b/>
                <w:bCs/>
                <w:kern w:val="0"/>
                <w:sz w:val="19"/>
                <w:szCs w:val="24"/>
                <w:lang w:val="en-US" w:eastAsia="en-US" w:bidi="ar-SA"/>
              </w:rPr>
              <w:t>Refreeze</w:t>
            </w:r>
            <w:r>
              <w:rPr>
                <w:rFonts w:eastAsia="Cambria" w:cs=""/>
                <w:kern w:val="0"/>
                <w:sz w:val="19"/>
                <w:szCs w:val="24"/>
                <w:lang w:val="en-US" w:eastAsia="en-US" w:bidi="ar-SA"/>
              </w:rPr>
              <w:t>; toggle the sustainment sign-off.</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M3 (Initiative Registry) — Lewin: “Refreeze.” M12 (Sustainment) — sign-off toggle: </w:t>
            </w:r>
            <w:r>
              <w:rPr>
                <w:rFonts w:eastAsia="Cambria" w:cs=""/>
                <w:b/>
                <w:bCs/>
                <w:kern w:val="0"/>
                <w:sz w:val="19"/>
                <w:szCs w:val="24"/>
                <w:lang w:val="en-US" w:eastAsia="en-US" w:bidi="ar-SA"/>
              </w:rPr>
              <w:t>set</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 (toggled)</w:t>
            </w:r>
          </w:p>
        </w:tc>
      </w:tr>
    </w:tbl>
    <w:p>
      <w:pPr>
        <w:pStyle w:val="BodyText"/>
        <w:rPr/>
      </w:pPr>
      <w:bookmarkStart w:id="69" w:name="normal-flow-phase-by-phase"/>
      <w:bookmarkStart w:id="70" w:name="phase-7-sustainment-weeks-4050"/>
      <w:r>
        <w:rPr>
          <w:i/>
          <w:iCs/>
          <w:sz w:val="22"/>
        </w:rPr>
        <w:t>Phase gate: Sustainment — and the program itself — closes once the reconciliation-time reduction holds for two consecutive cycles and the sign-off is set. Total program length: 50 weeks, one resistance-escalation alert fired and resolved.</w:t>
      </w:r>
      <w:bookmarkEnd w:id="69"/>
      <w:bookmarkEnd w:id="70"/>
    </w:p>
    <w:p>
      <w:pPr>
        <w:pStyle w:val="Heading3"/>
        <w:rPr/>
      </w:pPr>
      <w:bookmarkStart w:id="71" w:name="__RefHeading___Toc6372_3532355311"/>
      <w:bookmarkStart w:id="72" w:name="Xc6b73c5214ce25f3e31cd7181b649bb6e2db9fd"/>
      <w:bookmarkEnd w:id="71"/>
      <w:r>
        <w:rPr>
          <w:b/>
          <w:color w:val="275650"/>
          <w:sz w:val="29"/>
        </w:rPr>
        <w:t>4.2 Master WBS &amp; Gantt — Every Task and Step, PM and CM Tracks, Across the Four Frameworks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3"/>
        <w:gridCol w:w="1764"/>
        <w:gridCol w:w="1764"/>
        <w:gridCol w:w="1764"/>
        <w:gridCol w:w="1764"/>
        <w:gridCol w:w="1764"/>
        <w:gridCol w:w="1764"/>
        <w:gridCol w:w="1763"/>
      </w:tblGrid>
      <w:tr>
        <w:trPr>
          <w:tblHeader w:val="true"/>
          <w:cantSplit w:val="true"/>
        </w:trPr>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Lewin</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ADKAR</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Bridges</w:t>
            </w:r>
          </w:p>
        </w:tc>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Kübler-Ross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Interviews and workaround inventory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Business case and stakeholder map</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Co-design workshops with workaround-owners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Desire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 → Resistance/Anger</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 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Process and tooling configuration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8–13</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Job aids and build complete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14–16</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 → Knowledge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launch and weekly monitoring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14–19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 escalation (ALT-004) detected and resolved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20–24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 → 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 rollout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22–27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 → 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AP rollout and completion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28–32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 → 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Reconciliation-time monitoring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30–38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 → 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state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40–42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 → 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 → 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checkpoints and quick wins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40–48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confirmed; sustainment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50</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Refreeze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bl>
    <w:p>
      <w:pPr>
        <w:pStyle w:val="BodyText"/>
        <w:rPr/>
      </w:pPr>
      <w:bookmarkStart w:id="73" w:name="Xc6b73c5214ce25f3e31cd7181b649bb6e2db9fd"/>
      <w:r>
        <w:rPr>
          <w:i/>
          <w:iCs/>
          <w:sz w:val="22"/>
        </w:rPr>
        <w:t>Table 4.2.1 — Master WBS &amp; Gantt, framework view. All 14 Task/Step rows across the full 50-week program.</w:t>
      </w:r>
      <w:bookmarkEnd w:id="73"/>
    </w:p>
    <w:p>
      <w:pPr>
        <w:pStyle w:val="Heading3"/>
        <w:rPr/>
      </w:pPr>
      <w:bookmarkStart w:id="74" w:name="__RefHeading___Toc6374_3532355311"/>
      <w:bookmarkStart w:id="75" w:name="Xbfc2cab260ff0d2b037d8bdcc38cc8d05e3256b"/>
      <w:bookmarkEnd w:id="74"/>
      <w:r>
        <w:rPr>
          <w:b/>
          <w:color w:val="275650"/>
          <w:sz w:val="29"/>
        </w:rPr>
        <w:t>4.3 Master WBS &amp; Gantt — Every Task and Step, Techniques and Tools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3"/>
        <w:gridCol w:w="1764"/>
        <w:gridCol w:w="1764"/>
        <w:gridCol w:w="1764"/>
        <w:gridCol w:w="1764"/>
        <w:gridCol w:w="1764"/>
        <w:gridCol w:w="1764"/>
        <w:gridCol w:w="1763"/>
      </w:tblGrid>
      <w:tr>
        <w:trPr>
          <w:tblHeader w:val="true"/>
          <w:cantSplit w:val="true"/>
        </w:trPr>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Goal</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Details</w:t>
            </w:r>
          </w:p>
        </w:tc>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Recommended Tool</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Interviews and workaround inventory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Structured process interviews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Capture the current process and its workarounds directly from the staff who run it.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Step-by-step interviews across the full AR/AP cycle; each workaround logged with its specific process gap.</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Taguette</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Business case and stakeholder map</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Quantified business case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Convert traced workarounds into a business case with no ambiguity about the problem’s reality.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Time-and-motion study across the full monthly cycle; three weeks/month traced to four named workarounds, not estimated.</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Calc</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Co-design workshops with workaround-owners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Clean-slate co-design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the future state from the workaround-owners’ own expertise, not around them.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Workshops explicitly not anchored to the current process; workaround-owning staff recruited directly into the design work.</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Excalidraw</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Future-state process map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redesigned process end to end before build begins.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review of the full process map, with the co-design group’s direct input already incorporated.</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BookStack</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Process and tooling configuration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8–13</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Iterative build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Configure the new process steps and supporting tooling against the signed-off design.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Standard build cycle; status tracked against baseline dates.</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M17 — WBS &amp; Gantt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Job aids and build complete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14–16</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Staff-facing job aid development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Give staff a clear, reviewed reference for the new process before the pilot.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job aids reviewed directly with Salwa Tazi (Process Owner) for accuracy.</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BookStack</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launch and weekly monitoring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14–19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Single-step pilot with weekly pulse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Test the redesigned process on one real, bounded step before wider rollout.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Credit-note issuance run on the new process with the AR team; weekly ADKAR pulse.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LimeSurvey + Metabase</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 escalation detected and resolved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20–24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conversation + co-designed safeguard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Resolve resistance rooted in a real, rational concern rather than override it.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Direct 1:1 conversations with each resisting staff member; a secondary accuracy-review step co-designed with them as the actual mitigation.</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M10 — Resistance</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 rollout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22–27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Evidence-based rollout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Extend the redesigned process, including the pilot’s safeguard, to the rest of AR.</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Rollout communications cite the pilot’s real resolution, not a generic announcement.</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M8 — Communications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AP rollout and completion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28–32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Sequenced rollout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Complete rollout across the remaining finance sub-teams.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AP rollout follows AR, in the same sequence order set during Phase 3.</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M8 — Communications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Reconciliation-time monitoring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30–38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Baseline-to-current comparison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business case’s promised reduction is actually materializing.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Monthly reconciliation-time reading compared against the Phase 1 baseline.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M14 — Analytics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state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40–42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 state confirmation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Move the organizational reading forward once evidence, not the calendar, supports it.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reconciliation-time reduction holds for a full cycle before setting Lewin to Change.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M3 — Initiative Registry</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checkpoints and quick wins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40–48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 checkpoint cadence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reduction holds beyond the first favorable reading.</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Checkpoints logged at defined intervals; quick wins captured as evidence for the eventual sign-off.</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M12 — Sustainment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confirmed; sustainment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50</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Formally close the program once two consecutive cycles confirm the reduction holds.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Toggle the M12 sign-off; set Lewin to Refreeze with the two-cycle evidence as justification.</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M12 / M3</w:t>
            </w:r>
          </w:p>
        </w:tc>
      </w:tr>
    </w:tbl>
    <w:p>
      <w:pPr>
        <w:pStyle w:val="BodyText"/>
        <w:rPr/>
      </w:pPr>
      <w:bookmarkStart w:id="76" w:name="Xbfc2cab260ff0d2b037d8bdcc38cc8d05e3256b"/>
      <w:r>
        <w:rPr>
          <w:i/>
          <w:iCs/>
          <w:sz w:val="22"/>
        </w:rPr>
        <w:t>Table 4.3.1 — Master WBS &amp; Gantt, technique view. Same 14 rows as Table 4.2.1, with the operational detail behind each step.</w:t>
      </w:r>
      <w:bookmarkEnd w:id="76"/>
    </w:p>
    <w:p>
      <w:pPr>
        <w:pStyle w:val="Heading3"/>
        <w:rPr/>
      </w:pPr>
      <w:bookmarkStart w:id="77" w:name="__RefHeading___Toc6376_3532355311"/>
      <w:bookmarkStart w:id="78" w:name="six-exceptions-in-detail"/>
      <w:bookmarkEnd w:id="77"/>
      <w:r>
        <w:rPr>
          <w:b/>
          <w:color w:val="275650"/>
          <w:sz w:val="29"/>
        </w:rPr>
        <w:t>4.4 Six Exceptions, in Detail</w:t>
      </w:r>
    </w:p>
    <w:p>
      <w:pPr>
        <w:pStyle w:val="Heading4"/>
        <w:rPr/>
      </w:pPr>
      <w:bookmarkStart w:id="79" w:name="Xe0046b1f02171f01dbdecc2b4d6b6e0b6368c8d"/>
      <w:r>
        <w:rPr>
          <w:b/>
          <w:color w:val="3F827B"/>
          <w:sz w:val="25"/>
        </w:rPr>
        <w:t>E1 — Resistance Escalation Threshold Breached (Phase 4, Weeks 20–24)</w:t>
      </w:r>
    </w:p>
    <w:p>
      <w:pPr>
        <w:pStyle w:val="FirstParagraph"/>
        <w:rPr/>
      </w:pPr>
      <w:r>
        <w:rPr>
          <w:b/>
          <w:bCs/>
          <w:color w:val="3F827B"/>
          <w:sz w:val="22"/>
        </w:rPr>
        <w:t>Detailed description.</w:t>
      </w:r>
      <w:r>
        <w:rPr>
          <w:color w:val="3F827B"/>
          <w:sz w:val="22"/>
        </w:rPr>
        <w:t xml:space="preserve"> Three AR staff, each defending the manual-control expertise the redesigned process removes, logged individually-coded resistance entries within a three-week window during the pilot — journi’s ALT-004 condition met exactly, not approximated.</w:t>
      </w:r>
    </w:p>
    <w:p>
      <w:pPr>
        <w:pStyle w:val="BodyText"/>
        <w:rPr/>
      </w:pPr>
      <w:r>
        <w:rPr>
          <w:b/>
          <w:bCs/>
          <w:color w:val="3F827B"/>
          <w:sz w:val="22"/>
        </w:rPr>
        <w:t>Trigger.</w:t>
      </w:r>
      <w:r>
        <w:rPr>
          <w:color w:val="3F827B"/>
          <w:sz w:val="22"/>
        </w:rPr>
        <w:t xml:space="preserve"> Three or more open resistance entries accumulated within journi’s rolling window.</w:t>
      </w:r>
    </w:p>
    <w:p>
      <w:pPr>
        <w:pStyle w:val="BodyText"/>
        <w:rPr/>
      </w:pPr>
      <w:r>
        <w:rPr>
          <w:b/>
          <w:bCs/>
          <w:color w:val="3F827B"/>
          <w:sz w:val="22"/>
        </w:rPr>
        <w:t>Timeline impact.</w:t>
      </w:r>
      <w:r>
        <w:rPr>
          <w:color w:val="3F827B"/>
          <w:sz w:val="22"/>
        </w:rPr>
        <w:t xml:space="preserve"> No Phase 4 gate delay — resolution completed within the same phase, by Week 24 — but it consumed the pilot’s evaluation buffer.</w:t>
      </w:r>
    </w:p>
    <w:p>
      <w:pPr>
        <w:pStyle w:val="BodyText"/>
        <w:rPr/>
      </w:pPr>
      <w:r>
        <w:rPr>
          <w:b/>
          <w:bCs/>
          <w:color w:val="3F827B"/>
          <w:sz w:val="22"/>
        </w:rPr>
        <w:t>Recovery tasks.</w:t>
      </w:r>
      <w:r>
        <w:rPr>
          <w:color w:val="3F827B"/>
          <w:sz w:val="22"/>
        </w:rPr>
        <w:t xml:space="preserve"> Direct, individual conversations with each of the three staff (Week 23); a secondary accuracy-review safeguard co-designed with them, not imposed on them; all three entries closed with that safeguard as the linked mitigation (Week 24).</w:t>
      </w:r>
    </w:p>
    <w:p>
      <w:pPr>
        <w:pStyle w:val="BodyText"/>
        <w:rPr/>
      </w:pPr>
      <w:r>
        <w:rPr>
          <w:b/>
          <w:bCs/>
          <w:color w:val="3F827B"/>
          <w:sz w:val="22"/>
        </w:rPr>
        <w:t>Outputs.</w:t>
      </w:r>
      <w:r>
        <w:rPr>
          <w:color w:val="3F827B"/>
          <w:sz w:val="22"/>
        </w:rPr>
        <w:t xml:space="preserve"> Three closed resistance entries; a co-designed accuracy safeguard that becomes part of the standing rollout design.</w:t>
      </w:r>
    </w:p>
    <w:p>
      <w:pPr>
        <w:pStyle w:val="BodyText"/>
        <w:rPr/>
      </w:pPr>
      <w:r>
        <w:rPr>
          <w:b/>
          <w:bCs/>
          <w:color w:val="3F827B"/>
          <w:sz w:val="22"/>
        </w:rPr>
        <w:t>RACSI.</w:t>
      </w:r>
      <w:r>
        <w:rPr>
          <w:color w:val="3F827B"/>
          <w:sz w:val="22"/>
        </w:rPr>
        <w:t xml:space="preserve"> R = CM · A = CM · C = FPO, SUP · S = PM · I = ES, EU</w:t>
      </w:r>
      <w:bookmarkEnd w:id="79"/>
    </w:p>
    <w:p>
      <w:pPr>
        <w:pStyle w:val="Heading4"/>
        <w:rPr/>
      </w:pPr>
      <w:bookmarkStart w:id="80" w:name="X7c09f88cf77c83cc31348650a13822e86b38d8e"/>
      <w:r>
        <w:rPr>
          <w:b/>
          <w:color w:val="3F827B"/>
          <w:sz w:val="25"/>
        </w:rPr>
        <w:t>E2 — A Workaround Champion Undermines the New Process Informally (Phase 5, Weeks 26–28)</w:t>
      </w:r>
    </w:p>
    <w:p>
      <w:pPr>
        <w:pStyle w:val="FirstParagraph"/>
        <w:rPr/>
      </w:pPr>
      <w:r>
        <w:rPr>
          <w:b/>
          <w:bCs/>
          <w:color w:val="3F827B"/>
          <w:sz w:val="22"/>
        </w:rPr>
        <w:t>Detailed description.</w:t>
      </w:r>
      <w:r>
        <w:rPr>
          <w:color w:val="3F827B"/>
          <w:sz w:val="22"/>
        </w:rPr>
        <w:t xml:space="preserve"> A senior AR staff member who was not one of the three pilot resisters — and who never logged a formal resistance entry — quietly tells newer colleagues to keep a personal shadow spreadsheet “just in case,” undermining rollout adoption without ever surfacing as a trackable entry.</w:t>
      </w:r>
    </w:p>
    <w:p>
      <w:pPr>
        <w:pStyle w:val="BodyText"/>
        <w:rPr/>
      </w:pPr>
      <w:r>
        <w:rPr>
          <w:b/>
          <w:bCs/>
          <w:color w:val="3F827B"/>
          <w:sz w:val="22"/>
        </w:rPr>
        <w:t>Trigger.</w:t>
      </w:r>
      <w:r>
        <w:rPr>
          <w:color w:val="3F827B"/>
          <w:sz w:val="22"/>
        </w:rPr>
        <w:t xml:space="preserve"> Adoption metrics (M5 Ability scores) lag in a specific sub-team despite no open resistance entries there — a gap between the resistance log and the real adoption picture.</w:t>
      </w:r>
    </w:p>
    <w:p>
      <w:pPr>
        <w:pStyle w:val="BodyText"/>
        <w:rPr/>
      </w:pPr>
      <w:r>
        <w:rPr>
          <w:b/>
          <w:bCs/>
          <w:color w:val="3F827B"/>
          <w:sz w:val="22"/>
        </w:rPr>
        <w:t>Timeline impact.</w:t>
      </w:r>
      <w:r>
        <w:rPr>
          <w:color w:val="3F827B"/>
          <w:sz w:val="22"/>
        </w:rPr>
        <w:t xml:space="preserve"> Would add roughly one week to that sub-team’s rollout confirmation while the informal pattern is traced and addressed directly.</w:t>
      </w:r>
    </w:p>
    <w:p>
      <w:pPr>
        <w:pStyle w:val="BodyText"/>
        <w:rPr/>
      </w:pPr>
      <w:r>
        <w:rPr>
          <w:b/>
          <w:bCs/>
          <w:color w:val="3F827B"/>
          <w:sz w:val="22"/>
        </w:rPr>
        <w:t>Recovery tasks.</w:t>
      </w:r>
      <w:r>
        <w:rPr>
          <w:color w:val="3F827B"/>
          <w:sz w:val="22"/>
        </w:rPr>
        <w:t xml:space="preserve"> Investigate the adoption lag directly with the sub-team rather than assume the metric is simply slow; identify the informal influence through direct conversation; have the senior staff member’s own concerns heard and addressed the same way the three formal pilot resisters’ were, converting an informal undermining pattern into a formal, resolvable one.</w:t>
      </w:r>
    </w:p>
    <w:p>
      <w:pPr>
        <w:pStyle w:val="BodyText"/>
        <w:rPr/>
      </w:pPr>
      <w:r>
        <w:rPr>
          <w:b/>
          <w:bCs/>
          <w:color w:val="3F827B"/>
          <w:sz w:val="22"/>
        </w:rPr>
        <w:t>Outputs.</w:t>
      </w:r>
      <w:r>
        <w:rPr>
          <w:color w:val="3F827B"/>
          <w:sz w:val="22"/>
        </w:rPr>
        <w:t xml:space="preserve"> A newly logged resistance entry for the previously-informal concern; a closed loop once addressed; a standing practice of checking adoption metrics against the resistance log, not assuming they always agree.</w:t>
      </w:r>
    </w:p>
    <w:p>
      <w:pPr>
        <w:pStyle w:val="BodyText"/>
        <w:rPr/>
      </w:pPr>
      <w:r>
        <w:rPr>
          <w:b/>
          <w:bCs/>
          <w:color w:val="3F827B"/>
          <w:sz w:val="22"/>
        </w:rPr>
        <w:t>RACSI.</w:t>
      </w:r>
      <w:r>
        <w:rPr>
          <w:color w:val="3F827B"/>
          <w:sz w:val="22"/>
        </w:rPr>
        <w:t xml:space="preserve"> R = CM, SUP · A = CM · C = FPO · S = PM · I = ES, EU</w:t>
      </w:r>
      <w:bookmarkEnd w:id="80"/>
    </w:p>
    <w:p>
      <w:pPr>
        <w:pStyle w:val="Heading4"/>
        <w:rPr/>
      </w:pPr>
      <w:bookmarkStart w:id="81" w:name="Xe0a71beec599e881bf7669b1b75bc4f68064df8"/>
      <w:r>
        <w:rPr>
          <w:b/>
          <w:color w:val="3F827B"/>
          <w:sz w:val="25"/>
        </w:rPr>
        <w:t>E3 — The Co-Designed Safeguard Slows Down AP More Than Expected (Phase 5–6, Weeks 28–36)</w:t>
      </w:r>
    </w:p>
    <w:p>
      <w:pPr>
        <w:pStyle w:val="FirstParagraph"/>
        <w:rPr/>
      </w:pPr>
      <w:r>
        <w:rPr>
          <w:b/>
          <w:bCs/>
          <w:color w:val="3F827B"/>
          <w:sz w:val="22"/>
        </w:rPr>
        <w:t>Detailed description.</w:t>
      </w:r>
      <w:r>
        <w:rPr>
          <w:color w:val="3F827B"/>
          <w:sz w:val="22"/>
        </w:rPr>
        <w:t xml:space="preserve"> The accuracy safeguard co-designed with AR’s three resisting staff (E1) — a secondary review step — was tested only against AR’s volume during the pilot; rolled out to AP, whose transaction volume is significantly higher, it adds more processing time than the redesign was meant to save.</w:t>
      </w:r>
    </w:p>
    <w:p>
      <w:pPr>
        <w:pStyle w:val="BodyText"/>
        <w:rPr/>
      </w:pPr>
      <w:r>
        <w:rPr>
          <w:b/>
          <w:bCs/>
          <w:color w:val="3F827B"/>
          <w:sz w:val="22"/>
        </w:rPr>
        <w:t>Trigger.</w:t>
      </w:r>
      <w:r>
        <w:rPr>
          <w:color w:val="3F827B"/>
          <w:sz w:val="22"/>
        </w:rPr>
        <w:t xml:space="preserve"> Reconciliation-time monitoring (M14) shows AP’s readings trending against the business case’s own target, not toward it.</w:t>
      </w:r>
    </w:p>
    <w:p>
      <w:pPr>
        <w:pStyle w:val="BodyText"/>
        <w:rPr/>
      </w:pPr>
      <w:r>
        <w:rPr>
          <w:b/>
          <w:bCs/>
          <w:color w:val="3F827B"/>
          <w:sz w:val="22"/>
        </w:rPr>
        <w:t>Timeline impact.</w:t>
      </w:r>
      <w:r>
        <w:rPr>
          <w:color w:val="3F827B"/>
          <w:sz w:val="22"/>
        </w:rPr>
        <w:t xml:space="preserve"> Would extend Phase 6 (Stabilization) by two to three weeks while the safeguard is re-tuned specifically for AP’s volume.</w:t>
      </w:r>
    </w:p>
    <w:p>
      <w:pPr>
        <w:pStyle w:val="BodyText"/>
        <w:rPr/>
      </w:pPr>
      <w:r>
        <w:rPr>
          <w:b/>
          <w:bCs/>
          <w:color w:val="3F827B"/>
          <w:sz w:val="22"/>
        </w:rPr>
        <w:t>Recovery tasks.</w:t>
      </w:r>
      <w:r>
        <w:rPr>
          <w:color w:val="3F827B"/>
          <w:sz w:val="22"/>
        </w:rPr>
        <w:t xml:space="preserve"> Confirm the safeguard’s cost specifically in AP, not assume the AR-tested design generalizes; redesign the safeguard’s trigger threshold for AP’s higher volume rather than removing it outright, since the underlying accuracy concern it addresses is still real; re-test before declaring Phase 6 complete.</w:t>
      </w:r>
    </w:p>
    <w:p>
      <w:pPr>
        <w:pStyle w:val="BodyText"/>
        <w:rPr/>
      </w:pPr>
      <w:r>
        <w:rPr>
          <w:b/>
          <w:bCs/>
          <w:color w:val="3F827B"/>
          <w:sz w:val="22"/>
        </w:rPr>
        <w:t>Outputs.</w:t>
      </w:r>
      <w:r>
        <w:rPr>
          <w:color w:val="3F827B"/>
          <w:sz w:val="22"/>
        </w:rPr>
        <w:t xml:space="preserve"> An AP-specific safeguard threshold; a documented reason the AR-tested design didn’t directly generalize; a revised reconciliation-time reading confirming the fix.</w:t>
      </w:r>
    </w:p>
    <w:p>
      <w:pPr>
        <w:pStyle w:val="BodyText"/>
        <w:rPr/>
      </w:pPr>
      <w:r>
        <w:rPr>
          <w:b/>
          <w:bCs/>
          <w:color w:val="3F827B"/>
          <w:sz w:val="22"/>
        </w:rPr>
        <w:t>RACSI.</w:t>
      </w:r>
      <w:r>
        <w:rPr>
          <w:color w:val="3F827B"/>
          <w:sz w:val="22"/>
        </w:rPr>
        <w:t xml:space="preserve"> R = PM, FPO · A = CM · C = SUP · S = ITL · I = ES, EU</w:t>
      </w:r>
      <w:bookmarkEnd w:id="81"/>
    </w:p>
    <w:p>
      <w:pPr>
        <w:pStyle w:val="Heading4"/>
        <w:rPr/>
      </w:pPr>
      <w:bookmarkStart w:id="82" w:name="Xc1406a034becbd799d6cc1a987c7fb5153e66f7"/>
      <w:r>
        <w:rPr>
          <w:b/>
          <w:color w:val="3F827B"/>
          <w:sz w:val="25"/>
        </w:rPr>
        <w:t>E4 — A Legacy System Constraint Blocks a Required Data Field (Phase 3, Weeks 8–13)</w:t>
      </w:r>
    </w:p>
    <w:p>
      <w:pPr>
        <w:pStyle w:val="FirstParagraph"/>
        <w:rPr/>
      </w:pPr>
      <w:r>
        <w:rPr>
          <w:b/>
          <w:bCs/>
          <w:color w:val="3F827B"/>
          <w:sz w:val="22"/>
        </w:rPr>
        <w:t>Detailed description.</w:t>
      </w:r>
      <w:r>
        <w:rPr>
          <w:color w:val="3F827B"/>
          <w:sz w:val="22"/>
        </w:rPr>
        <w:t xml:space="preserve"> The redesigned process requires a new data field (a credit-note reason code) that the legacy finance system, still in use pending the separate ERP program’s own migration, does not natively support.</w:t>
      </w:r>
    </w:p>
    <w:p>
      <w:pPr>
        <w:pStyle w:val="BodyText"/>
        <w:rPr/>
      </w:pPr>
      <w:r>
        <w:rPr>
          <w:b/>
          <w:bCs/>
          <w:color w:val="3F827B"/>
          <w:sz w:val="22"/>
        </w:rPr>
        <w:t>Trigger.</w:t>
      </w:r>
      <w:r>
        <w:rPr>
          <w:color w:val="3F827B"/>
          <w:sz w:val="22"/>
        </w:rPr>
        <w:t xml:space="preserve"> A build-phase technical constraint discovered when the new field’s configuration is attempted.</w:t>
      </w:r>
    </w:p>
    <w:p>
      <w:pPr>
        <w:pStyle w:val="BodyText"/>
        <w:rPr/>
      </w:pPr>
      <w:r>
        <w:rPr>
          <w:b/>
          <w:bCs/>
          <w:color w:val="3F827B"/>
          <w:sz w:val="22"/>
        </w:rPr>
        <w:t>Timeline impact.</w:t>
      </w:r>
      <w:r>
        <w:rPr>
          <w:color w:val="3F827B"/>
          <w:sz w:val="22"/>
        </w:rPr>
        <w:t xml:space="preserve"> Would add one to two weeks to Build while a workaround (a parallel lightweight tracking field, not a full legacy-system change) is designed and validated.</w:t>
      </w:r>
    </w:p>
    <w:p>
      <w:pPr>
        <w:pStyle w:val="BodyText"/>
        <w:rPr/>
      </w:pPr>
      <w:r>
        <w:rPr>
          <w:b/>
          <w:bCs/>
          <w:color w:val="3F827B"/>
          <w:sz w:val="22"/>
        </w:rPr>
        <w:t>Recovery tasks.</w:t>
      </w:r>
      <w:r>
        <w:rPr>
          <w:color w:val="3F827B"/>
          <w:sz w:val="22"/>
        </w:rPr>
        <w:t xml:space="preserve"> Confirm the constraint is real and not a configuration error; design a bounded workaround that does not require touching the legacy system directly, given the separate ERP program’s own migration timeline; validate the workaround doesn’t reintroduce the kind of manual step the redesign is meant to eliminate.</w:t>
      </w:r>
    </w:p>
    <w:p>
      <w:pPr>
        <w:pStyle w:val="BodyText"/>
        <w:rPr/>
      </w:pPr>
      <w:r>
        <w:rPr>
          <w:b/>
          <w:bCs/>
          <w:color w:val="3F827B"/>
          <w:sz w:val="22"/>
        </w:rPr>
        <w:t>Outputs.</w:t>
      </w:r>
      <w:r>
        <w:rPr>
          <w:color w:val="3F827B"/>
          <w:sz w:val="22"/>
        </w:rPr>
        <w:t xml:space="preserve"> A documented technical constraint and its bounded workaround; confirmation the workaround does not compromise the redesign’s own goals.</w:t>
      </w:r>
    </w:p>
    <w:p>
      <w:pPr>
        <w:pStyle w:val="BodyText"/>
        <w:rPr/>
      </w:pPr>
      <w:r>
        <w:rPr>
          <w:b/>
          <w:bCs/>
          <w:color w:val="3F827B"/>
          <w:sz w:val="22"/>
        </w:rPr>
        <w:t>RACSI.</w:t>
      </w:r>
      <w:r>
        <w:rPr>
          <w:color w:val="3F827B"/>
          <w:sz w:val="22"/>
        </w:rPr>
        <w:t xml:space="preserve"> R = ITL, PM · A = PM · C = CM · S = FPO · I = ES, SUP, EU</w:t>
      </w:r>
      <w:bookmarkEnd w:id="82"/>
    </w:p>
    <w:p>
      <w:pPr>
        <w:pStyle w:val="Heading4"/>
        <w:rPr/>
      </w:pPr>
      <w:bookmarkStart w:id="83" w:name="Xac7dc785ac686c3ad17ab7b45d5e38ad7bde6c2"/>
      <w:r>
        <w:rPr>
          <w:b/>
          <w:color w:val="3F827B"/>
          <w:sz w:val="25"/>
        </w:rPr>
        <w:t>E5 — Reconciliation-Time Reduction Stalls Below Target (Phase 6, Weeks 34–42)</w:t>
      </w:r>
    </w:p>
    <w:p>
      <w:pPr>
        <w:pStyle w:val="FirstParagraph"/>
        <w:rPr/>
      </w:pPr>
      <w:r>
        <w:rPr>
          <w:b/>
          <w:bCs/>
          <w:color w:val="3F827B"/>
          <w:sz w:val="22"/>
        </w:rPr>
        <w:t>Detailed description.</w:t>
      </w:r>
      <w:r>
        <w:rPr>
          <w:color w:val="3F827B"/>
          <w:sz w:val="22"/>
        </w:rPr>
        <w:t xml:space="preserve"> The business case targeted a reduction from three weeks to one week of monthly reconciliation work; Stabilization’s readings hold at a reduction to two weeks, not one — real progress, but short of the original target.</w:t>
      </w:r>
    </w:p>
    <w:p>
      <w:pPr>
        <w:pStyle w:val="BodyText"/>
        <w:rPr/>
      </w:pPr>
      <w:r>
        <w:rPr>
          <w:b/>
          <w:bCs/>
          <w:color w:val="3F827B"/>
          <w:sz w:val="22"/>
        </w:rPr>
        <w:t>Trigger.</w:t>
      </w:r>
      <w:r>
        <w:rPr>
          <w:color w:val="3F827B"/>
          <w:sz w:val="22"/>
        </w:rPr>
        <w:t xml:space="preserve"> Two consecutive monthly readings below the business-case target, without further improving trend.</w:t>
      </w:r>
    </w:p>
    <w:p>
      <w:pPr>
        <w:pStyle w:val="BodyText"/>
        <w:rPr/>
      </w:pPr>
      <w:r>
        <w:rPr>
          <w:b/>
          <w:bCs/>
          <w:color w:val="3F827B"/>
          <w:sz w:val="22"/>
        </w:rPr>
        <w:t>Timeline impact.</w:t>
      </w:r>
      <w:r>
        <w:rPr>
          <w:color w:val="3F827B"/>
          <w:sz w:val="22"/>
        </w:rPr>
        <w:t xml:space="preserve"> Would extend Phase 6 by one monitoring cycle while the shortfall is root-caused, rather than close the phase gate on a partial result presented as full success.</w:t>
      </w:r>
    </w:p>
    <w:p>
      <w:pPr>
        <w:pStyle w:val="BodyText"/>
        <w:rPr/>
      </w:pPr>
      <w:r>
        <w:rPr>
          <w:b/>
          <w:bCs/>
          <w:color w:val="3F827B"/>
          <w:sz w:val="22"/>
        </w:rPr>
        <w:t>Recovery tasks.</w:t>
      </w:r>
      <w:r>
        <w:rPr>
          <w:color w:val="3F827B"/>
          <w:sz w:val="22"/>
        </w:rPr>
        <w:t xml:space="preserve"> Disaggregate the remaining two weeks of work by root cause — likely a mix of E3’s AP-specific safeguard cost and residual manual steps the redesign didn’t fully eliminate; decide explicitly whether to invest further (closing the gap to the original target) or revise the business case’s own target with a documented reason, rather than let the number quietly drift.</w:t>
      </w:r>
    </w:p>
    <w:p>
      <w:pPr>
        <w:pStyle w:val="BodyText"/>
        <w:rPr/>
      </w:pPr>
      <w:r>
        <w:rPr>
          <w:b/>
          <w:bCs/>
          <w:color w:val="3F827B"/>
          <w:sz w:val="22"/>
        </w:rPr>
        <w:t>Outputs.</w:t>
      </w:r>
      <w:r>
        <w:rPr>
          <w:color w:val="3F827B"/>
          <w:sz w:val="22"/>
        </w:rPr>
        <w:t xml:space="preserve"> A disaggregated root-cause finding; either a closed gap or an explicitly revised, documented target.</w:t>
      </w:r>
    </w:p>
    <w:p>
      <w:pPr>
        <w:pStyle w:val="BodyText"/>
        <w:rPr/>
      </w:pPr>
      <w:r>
        <w:rPr>
          <w:b/>
          <w:bCs/>
          <w:color w:val="3F827B"/>
          <w:sz w:val="22"/>
        </w:rPr>
        <w:t>RACSI.</w:t>
      </w:r>
      <w:r>
        <w:rPr>
          <w:color w:val="3F827B"/>
          <w:sz w:val="22"/>
        </w:rPr>
        <w:t xml:space="preserve"> R = CM, FPO · A = ES · C = PM · S = ITL · I = SUP, EU</w:t>
      </w:r>
      <w:bookmarkEnd w:id="83"/>
    </w:p>
    <w:p>
      <w:pPr>
        <w:pStyle w:val="Heading4"/>
        <w:rPr/>
      </w:pPr>
      <w:bookmarkStart w:id="84" w:name="Xd4c7201fccf9c7bbc5eac484100d6706a31ed5a"/>
      <w:r>
        <w:rPr>
          <w:b/>
          <w:color w:val="3F827B"/>
          <w:sz w:val="25"/>
        </w:rPr>
        <w:t>E6 — The Process Owner Departs Mid-Rollout (Phase 5, Weeks 26–30)</w:t>
      </w:r>
    </w:p>
    <w:p>
      <w:pPr>
        <w:pStyle w:val="FirstParagraph"/>
        <w:rPr/>
      </w:pPr>
      <w:r>
        <w:rPr>
          <w:b/>
          <w:bCs/>
          <w:color w:val="3F827B"/>
          <w:sz w:val="22"/>
        </w:rPr>
        <w:t>Detailed description.</w:t>
      </w:r>
      <w:r>
        <w:rPr>
          <w:color w:val="3F827B"/>
          <w:sz w:val="22"/>
        </w:rPr>
        <w:t xml:space="preserve"> Salwa Tazi, the Casablanca Finance Process Owner and the person who did the most direct co-design work with the pilot’s resisting staff, accepts a role elsewhere mid-rollout, risking a loss of the institutional knowledge behind the redesign’s own key decisions.</w:t>
      </w:r>
    </w:p>
    <w:p>
      <w:pPr>
        <w:pStyle w:val="BodyText"/>
        <w:rPr/>
      </w:pPr>
      <w:r>
        <w:rPr>
          <w:b/>
          <w:bCs/>
          <w:color w:val="3F827B"/>
          <w:sz w:val="22"/>
        </w:rPr>
        <w:t>Trigger.</w:t>
      </w:r>
      <w:r>
        <w:rPr>
          <w:color w:val="3F827B"/>
          <w:sz w:val="22"/>
        </w:rPr>
        <w:t xml:space="preserve"> A confirmed departure notice from the named Functional Process Owner during an active phase.</w:t>
      </w:r>
    </w:p>
    <w:p>
      <w:pPr>
        <w:pStyle w:val="BodyText"/>
        <w:rPr/>
      </w:pPr>
      <w:r>
        <w:rPr>
          <w:b/>
          <w:bCs/>
          <w:color w:val="3F827B"/>
          <w:sz w:val="22"/>
        </w:rPr>
        <w:t>Timeline impact.</w:t>
      </w:r>
      <w:r>
        <w:rPr>
          <w:color w:val="3F827B"/>
          <w:sz w:val="22"/>
        </w:rPr>
        <w:t xml:space="preserve"> Would add roughly two weeks to Phase 5 for a structured handover before the departure takes effect, to avoid losing the reasoning behind design decisions that aren’t fully captured in the process map alone.</w:t>
      </w:r>
    </w:p>
    <w:p>
      <w:pPr>
        <w:pStyle w:val="BodyText"/>
        <w:rPr/>
      </w:pPr>
      <w:r>
        <w:rPr>
          <w:b/>
          <w:bCs/>
          <w:color w:val="3F827B"/>
          <w:sz w:val="22"/>
        </w:rPr>
        <w:t>Recovery tasks.</w:t>
      </w:r>
      <w:r>
        <w:rPr>
          <w:color w:val="3F827B"/>
          <w:sz w:val="22"/>
        </w:rPr>
        <w:t xml:space="preserve"> A structured handover specifically capturing the </w:t>
      </w:r>
      <w:r>
        <w:rPr>
          <w:i/>
          <w:iCs/>
          <w:color w:val="3F827B"/>
          <w:sz w:val="22"/>
        </w:rPr>
        <w:t>why</w:t>
      </w:r>
      <w:r>
        <w:rPr>
          <w:color w:val="3F827B"/>
          <w:sz w:val="22"/>
        </w:rPr>
        <w:t xml:space="preserve"> behind key design decisions (particularly the accuracy safeguard’s origin story), not just the </w:t>
      </w:r>
      <w:r>
        <w:rPr>
          <w:i/>
          <w:iCs/>
          <w:color w:val="3F827B"/>
          <w:sz w:val="22"/>
        </w:rPr>
        <w:t>what</w:t>
      </w:r>
      <w:r>
        <w:rPr>
          <w:color w:val="3F827B"/>
          <w:sz w:val="22"/>
        </w:rPr>
        <w:t>; identify and onboard a successor Process Owner before the departure, not after; log the handover itself as a Field Note so the reasoning survives even if the successor later has questions the original documentation doesn’t answer.</w:t>
      </w:r>
    </w:p>
    <w:p>
      <w:pPr>
        <w:pStyle w:val="BodyText"/>
        <w:rPr/>
      </w:pPr>
      <w:r>
        <w:rPr>
          <w:b/>
          <w:bCs/>
          <w:color w:val="3F827B"/>
          <w:sz w:val="22"/>
        </w:rPr>
        <w:t>Outputs.</w:t>
      </w:r>
      <w:r>
        <w:rPr>
          <w:color w:val="3F827B"/>
          <w:sz w:val="22"/>
        </w:rPr>
        <w:t xml:space="preserve"> A documented decision-rationale handover; a successor Process Owner onboarded and RACSI-updated before the departure.</w:t>
      </w:r>
    </w:p>
    <w:p>
      <w:pPr>
        <w:sectPr>
          <w:headerReference w:type="default" r:id="rId8"/>
          <w:headerReference w:type="first" r:id="rId9"/>
          <w:footerReference w:type="default" r:id="rId10"/>
          <w:footerReference w:type="first" r:id="rId11"/>
          <w:type w:val="nextPage"/>
          <w:pgSz w:orient="landscape" w:w="15840" w:h="12240"/>
          <w:pgMar w:left="864" w:right="864" w:gutter="0" w:header="720" w:top="1008" w:footer="720" w:bottom="1008"/>
          <w:pgNumType w:fmt="decimal"/>
          <w:formProt w:val="false"/>
          <w:textDirection w:val="lrTb"/>
          <w:docGrid w:type="default" w:linePitch="100" w:charSpace="0"/>
        </w:sectPr>
        <w:pStyle w:val="BodyText"/>
        <w:rPr/>
      </w:pPr>
      <w:r>
        <w:rPr>
          <w:b/>
          <w:bCs/>
          <w:color w:val="3F827B"/>
          <w:sz w:val="22"/>
        </w:rPr>
        <w:t>RACSI.</w:t>
      </w:r>
      <w:r>
        <w:rPr>
          <w:color w:val="3F827B"/>
          <w:sz w:val="22"/>
        </w:rPr>
        <w:t xml:space="preserve"> R = CM, FPO · A = ES · C = PM · S = SUP · I = ITL, EU</w:t>
      </w:r>
      <w:bookmarkEnd w:id="53"/>
      <w:bookmarkEnd w:id="78"/>
      <w:bookmarkEnd w:id="84"/>
    </w:p>
    <w:p>
      <w:pPr>
        <w:pStyle w:val="Heading2"/>
        <w:rPr/>
      </w:pPr>
      <w:bookmarkStart w:id="85" w:name="__RefHeading___Toc6378_3532355311"/>
      <w:bookmarkStart w:id="86" w:name="X88044b7bff4ad5eade16550e78828af1bf84f9d"/>
      <w:bookmarkEnd w:id="85"/>
      <w:r>
        <w:rPr>
          <w:b/>
          <w:color w:val="1F4B45"/>
          <w:sz w:val="38"/>
        </w:rPr>
        <w:t>Part 5 — Training Program: Process Literacy Across Three Tiers</w:t>
      </w:r>
    </w:p>
    <w:p>
      <w:pPr>
        <w:pStyle w:val="Heading3"/>
        <w:rPr/>
      </w:pPr>
      <w:bookmarkStart w:id="87" w:name="__RefHeading___Toc6380_3532355311"/>
      <w:bookmarkStart w:id="88" w:name="what-this-training-covers"/>
      <w:bookmarkEnd w:id="87"/>
      <w:r>
        <w:rPr>
          <w:b/>
          <w:color w:val="275650"/>
          <w:sz w:val="29"/>
        </w:rPr>
        <w:t>5.1 What This Training Covers</w:t>
      </w:r>
    </w:p>
    <w:p>
      <w:pPr>
        <w:pStyle w:val="FirstParagraph"/>
        <w:rPr/>
      </w:pPr>
      <w:bookmarkStart w:id="89" w:name="what-this-training-covers"/>
      <w:r>
        <w:rPr>
          <w:sz w:val="22"/>
        </w:rPr>
        <w:t>Per the E2E-BPR chain, MP-05 is present and directly relevant here — unlike the Cultural archetype guide’s parallel track, this training is squarely about the new process’s mechanics, logged on M9.</w:t>
      </w:r>
      <w:bookmarkEnd w:id="89"/>
    </w:p>
    <w:p>
      <w:pPr>
        <w:pStyle w:val="Heading3"/>
        <w:rPr/>
      </w:pPr>
      <w:bookmarkStart w:id="90" w:name="__RefHeading___Toc6382_3532355311"/>
      <w:bookmarkEnd w:id="90"/>
      <w:r>
        <w:rPr>
          <w:b/>
          <w:color w:val="275650"/>
          <w:sz w:val="29"/>
        </w:rPr>
        <w:t>5.2 Tier 1 — Strategic Management (Weeks 1–4)</w:t>
      </w:r>
    </w:p>
    <w:p>
      <w:pPr>
        <w:pStyle w:val="FirstParagraph"/>
        <w:rPr/>
      </w:pPr>
      <w:r>
        <w:rPr>
          <w:b/>
          <w:bCs/>
          <w:color w:val="3F827B"/>
          <w:sz w:val="22"/>
        </w:rPr>
        <w:t>Cohort.</w:t>
      </w:r>
      <w:r>
        <w:rPr>
          <w:color w:val="3F827B"/>
          <w:sz w:val="22"/>
        </w:rPr>
        <w:t xml:space="preserve"> Karim Zniber (Sponsor).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Sponsoring a Process Redesign That Costs Staff Real Expertise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Why generic sponsorship visibility isn’t enough here — the specific credibility a Sponsor needs when the redesign genuinely obsoletes staff-built expertise.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“Sponsoring a Process Redesign” · Cohort: “Sponsor.”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5</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Reading M14 for a BPR Program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How to read the Composite Readiness Index’s expected dip during pilot without over-reacting to it.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3–4</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“Reading M14 for a BPR Program” · Cohort: “Sponsor.”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8</w:t>
            </w:r>
            <w:bookmarkStart w:id="91" w:name="tier-1-strategic-management-weeks-14"/>
            <w:bookmarkEnd w:id="91"/>
          </w:p>
        </w:tc>
      </w:tr>
    </w:tbl>
    <w:p>
      <w:pPr>
        <w:pStyle w:val="Heading3"/>
        <w:rPr/>
      </w:pPr>
      <w:bookmarkStart w:id="92" w:name="__RefHeading___Toc6384_3532355311"/>
      <w:bookmarkEnd w:id="92"/>
      <w:r>
        <w:rPr>
          <w:b/>
          <w:color w:val="275650"/>
          <w:sz w:val="29"/>
        </w:rPr>
        <w:t>5.3 Tier 2 — Operational Management (Weeks 4–14)</w:t>
      </w:r>
    </w:p>
    <w:p>
      <w:pPr>
        <w:pStyle w:val="FirstParagraph"/>
        <w:rPr/>
      </w:pPr>
      <w:r>
        <w:rPr>
          <w:b/>
          <w:bCs/>
          <w:color w:val="3F827B"/>
          <w:sz w:val="22"/>
        </w:rPr>
        <w:t>Cohort.</w:t>
      </w:r>
      <w:r>
        <w:rPr>
          <w:color w:val="3F827B"/>
          <w:sz w:val="22"/>
        </w:rPr>
        <w:t xml:space="preserve"> Salwa Tazi (FPO), Amina Sebti (SUP).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Leading Co-Design Without Groupthink</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facilitation skill for running the Phase 2 co-design workshops so the result reflects genuine expertise, not the loudest voice in the room — directly relevant to Exception E3’s root cause.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4–7</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“Leading Co-Design Without Groupthink” · Cohort: “Process Owner, Team Leads.”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8</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Managing a Team Through a Redesign That Costs Real Expertise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Supervisory skills specific to a team whose valued expertise is being redesigned away, distinct from a generic change-management course.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10–14</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“Managing a Team Through a Redesign” · Cohort: “Process Owner, Team Leads.”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16</w:t>
            </w:r>
          </w:p>
        </w:tc>
      </w:tr>
    </w:tbl>
    <w:p>
      <w:pPr>
        <w:pStyle w:val="Heading3"/>
        <w:rPr/>
      </w:pPr>
      <w:bookmarkStart w:id="93" w:name="__RefHeading___Toc6386_3532355311"/>
      <w:bookmarkEnd w:id="93"/>
      <w:r>
        <w:rPr>
          <w:b/>
          <w:color w:val="275650"/>
          <w:sz w:val="29"/>
        </w:rPr>
        <w:t>5.4 Tier 3 — Operations (Frontline) (Weeks 12–28)</w:t>
      </w:r>
    </w:p>
    <w:p>
      <w:pPr>
        <w:pStyle w:val="FirstParagraph"/>
        <w:rPr/>
      </w:pPr>
      <w:r>
        <w:rPr>
          <w:b/>
          <w:bCs/>
          <w:color w:val="3F827B"/>
          <w:sz w:val="22"/>
        </w:rPr>
        <w:t>Cohort.</w:t>
      </w:r>
      <w:r>
        <w:rPr>
          <w:color w:val="3F827B"/>
          <w:sz w:val="22"/>
        </w:rPr>
        <w:t xml:space="preserve"> All 140 Casablanca finance staff.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Using the Redesigned Order-to-Cash Process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step-by-step training on the new process, using the job aids drafted in Phase 3.</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12–24 (per sub-team rollout wave)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“Using the Redesigned Order-to-Cash Process” · Cohort: “AR” / “AP.”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within 2 weeks of each sub-team’s rollout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New Accuracy Safeguard — When and Why</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training on the co-designed safeguard from Exception E1 — not just how to use it, but why it exists, so staff understand it as a real answer to a real concern.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20–28 (per sub-team rollout wave)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“The New Accuracy Safeguard” · Cohort: “AR” / “AP.”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within 2 weeks of each sub-team’s rollout</w:t>
            </w:r>
          </w:p>
        </w:tc>
      </w:tr>
    </w:tbl>
    <w:p>
      <w:pPr>
        <w:pStyle w:val="Heading3"/>
        <w:rPr/>
      </w:pPr>
      <w:bookmarkStart w:id="94" w:name="__RefHeading___Toc6388_3532355311"/>
      <w:bookmarkEnd w:id="94"/>
      <w:r>
        <w:rPr>
          <w:b/>
          <w:color w:val="275650"/>
          <w:sz w:val="29"/>
        </w:rPr>
        <w:t>5.5 Training Completion and the Composite Readiness Index</w:t>
      </w:r>
    </w:p>
    <w:p>
      <w:pPr>
        <w:pStyle w:val="FirstParagraph"/>
        <w:spacing w:before="180" w:after="180"/>
        <w:rPr/>
      </w:pPr>
      <w:bookmarkStart w:id="95" w:name="X88044b7bff4ad5eade16550e78828af1bf84f9d"/>
      <w:r>
        <w:rPr>
          <w:sz w:val="22"/>
        </w:rPr>
        <w:t>This program’s training-completion term rises steadily through Phases 3–5, tracking each sub-team’s rollout wave — a real, gradual curve rather than the Automation guide’s near-immediate 100%, consistent with a program whose staff need genuine time to trust, not just learn, the new process.</w:t>
      </w:r>
      <w:bookmarkEnd w:id="95"/>
    </w:p>
    <w:sectPr>
      <w:headerReference w:type="default" r:id="rId12"/>
      <w:headerReference w:type="first" r:id="rId13"/>
      <w:footerReference w:type="default" r:id="rId14"/>
      <w:footerReference w:type="first" r:id="rId15"/>
      <w:type w:val="nextPage"/>
      <w:pgSz w:w="12240" w:h="15840"/>
      <w:pgMar w:left="864" w:right="864"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24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26</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Business Process Redesign Program (Order-to-Cash)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Business Process Redesign Program (Order-to-Cash)</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Business Process Redesign Program (Order-to-Cash)</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Business Process Redesign Program (Order-to-Cash)</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4"/>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z w:val="22"/>
    </w:rPr>
  </w:style>
  <w:style w:type="paragraph" w:styleId="Compact" w:customStyle="1">
    <w:name w:val="Compact"/>
    <w:basedOn w:val="BodyText"/>
    <w:qFormat/>
    <w:pPr>
      <w:spacing w:before="36" w:after="36"/>
    </w:pPr>
    <w:rPr>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z w:val="22"/>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10229" w:leader="dot"/>
      </w:tabs>
      <w:ind w:hanging="0" w:left="283"/>
    </w:pPr>
    <w:rPr/>
  </w:style>
  <w:style w:type="paragraph" w:styleId="TOC3">
    <w:name w:val="TOC 3"/>
    <w:basedOn w:val="Index"/>
    <w:pPr>
      <w:tabs>
        <w:tab w:val="clear" w:pos="720"/>
        <w:tab w:val="right" w:pos="994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26</Pages>
  <Words>6177</Words>
  <Characters>34483</Characters>
  <CharactersWithSpaces>39949</CharactersWithSpaces>
  <Paragraphs>989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2026-09-04T17:52:13Z</dcterms:created>
  <dc:creator/>
  <dc:description/>
  <dc:language>en-US</dc:language>
  <cp:lastModifiedBy/>
  <dcterms:modified xsi:type="dcterms:W3CDTF">2026-09-04T17:52:18Z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