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bCs/>
          <w:b/>
          <w:i w:val="0"/>
          <w:color w:val="1F4B45"/>
          <w:sz w:val="64"/>
        </w:rPr>
        <w:t xml:space="preserve">journi</w:t>
      </w:r>
    </w:p>
    <w:p>
      <w:pPr>
        <w:pStyle w:val="BodyText"/>
        <w:jc w:val="center"/>
      </w:pPr>
      <w:r>
        <w:rPr>
          <w:iCs/>
          <w:b w:val="0"/>
          <w:i/>
          <w:color w:val="333333"/>
          <w:sz w:val="30"/>
        </w:rPr>
        <w:t xml:space="preserve">the human side of change, mapped as a journey</w:t>
      </w:r>
    </w:p>
    <w:p>
      <w:pPr>
        <w:pStyle w:val="BodyText"/>
        <w:jc w:val="center"/>
      </w:pPr>
      <w:r>
        <w:rPr>
          <w:bCs/>
          <w:b w:val="0"/>
          <w:i w:val="0"/>
          <w:color w:val="333333"/>
          <w:sz w:val="24"/>
        </w:rPr>
        <w:t xml:space="preserve">Gap Closure Summary</w:t>
      </w:r>
    </w:p>
    <w:p>
      <w:pPr>
        <w:pStyle w:val="BodyText"/>
      </w:pPr>
      <w:r>
        <w:t xml:space="preserve">Response to Gap Analysis v2 — Build Record</w:t>
      </w:r>
    </w:p>
    <w:p>
      <w:pPr>
        <w:pStyle w:val="BodyText"/>
      </w:pPr>
      <w:r>
        <w:t xml:space="preserve">Prepared for POWERACT Consulting</w:t>
      </w:r>
    </w:p>
    <w:p>
      <w:pPr>
        <w:pStyle w:val="BodyText"/>
      </w:pPr>
      <w:r>
        <w:t xml:space="preserve">Chief Innovation Officer — Mounire</w:t>
      </w:r>
    </w:p>
    <w:p>
      <w:pPr>
        <w:pStyle w:val="BodyText"/>
      </w:pPr>
      <w:r>
        <w:t xml:space="preserve">August 2026</w:t>
      </w:r>
    </w:p>
    <w:p>
      <w:pPr>
        <w:pStyle w:val="BodyText"/>
      </w:pPr>
      <w:r>
        <w:rPr>
          <w:bCs/>
          <w:b/>
        </w:rP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c288a453ded2280e55fb33edb20e553b14b34a5">
        <w:r>
          <w:rPr>
            <w:rStyle w:val="Hyperlink"/>
          </w:rPr>
          <w:t xml:space="preserve">1. Purpose &amp; Scope</w:t>
        </w:r>
      </w:hyperlink>
    </w:p>
    <w:p>
      <w:pPr>
        <w:numPr>
          <w:ilvl w:val="0"/>
          <w:numId w:val="1001"/>
        </w:numPr>
        <w:pStyle w:val="Compact"/>
      </w:pPr>
      <w:hyperlink w:anchor="Xf516f3c65b2df994a5cfbff8fed6c266f900e64">
        <w:r>
          <w:rPr>
            <w:rStyle w:val="Hyperlink"/>
          </w:rPr>
          <w:t xml:space="preserve">2. Closure Summary Table</w:t>
        </w:r>
      </w:hyperlink>
    </w:p>
    <w:p>
      <w:pPr>
        <w:numPr>
          <w:ilvl w:val="0"/>
          <w:numId w:val="1001"/>
        </w:numPr>
        <w:pStyle w:val="Compact"/>
      </w:pPr>
      <w:hyperlink w:anchor="X3219729f285d199fdaf36d98e95e6f735ce83a6">
        <w:r>
          <w:rPr>
            <w:rStyle w:val="Hyperlink"/>
          </w:rPr>
          <w:t xml:space="preserve">3. Finding A — E2E-01–04 Compositions (Fixed)</w:t>
        </w:r>
      </w:hyperlink>
    </w:p>
    <w:p>
      <w:pPr>
        <w:numPr>
          <w:ilvl w:val="0"/>
          <w:numId w:val="1001"/>
        </w:numPr>
        <w:pStyle w:val="Compact"/>
      </w:pPr>
      <w:hyperlink w:anchor="Xf371e871203d6cc908af7b6e4bbbfb620413ebf">
        <w:r>
          <w:rPr>
            <w:rStyle w:val="Hyperlink"/>
          </w:rPr>
          <w:t xml:space="preserve">4. Finding B — 7 vs. 8 Transformation Types (Decision Recorded)</w:t>
        </w:r>
      </w:hyperlink>
    </w:p>
    <w:p>
      <w:pPr>
        <w:numPr>
          <w:ilvl w:val="0"/>
          <w:numId w:val="1001"/>
        </w:numPr>
        <w:pStyle w:val="Compact"/>
      </w:pPr>
      <w:hyperlink w:anchor="X3d586d2bbdc7fcfdaada5cb5977b4a8b9ea937b">
        <w:r>
          <w:rPr>
            <w:rStyle w:val="Hyperlink"/>
          </w:rPr>
          <w:t xml:space="preserve">5. Gaps Closed, By Deliverable</w:t>
        </w:r>
      </w:hyperlink>
    </w:p>
    <w:p>
      <w:pPr>
        <w:numPr>
          <w:ilvl w:val="0"/>
          <w:numId w:val="1001"/>
        </w:numPr>
        <w:pStyle w:val="Compact"/>
      </w:pPr>
      <w:hyperlink w:anchor="X53212879c2897db03ce45168c24193936bee669">
        <w:r>
          <w:rPr>
            <w:rStyle w:val="Hyperlink"/>
          </w:rPr>
          <w:t xml:space="preserve">6. What Remains an Architectural Boundary, By Design</w:t>
        </w:r>
      </w:hyperlink>
    </w:p>
    <w:p>
      <w:pPr>
        <w:numPr>
          <w:ilvl w:val="0"/>
          <w:numId w:val="1001"/>
        </w:numPr>
        <w:pStyle w:val="Compact"/>
      </w:pPr>
      <w:hyperlink w:anchor="X5d427357a7b59e0cbf66da6edeedbe28adc5eb5">
        <w:r>
          <w:rPr>
            <w:rStyle w:val="Hyperlink"/>
          </w:rPr>
          <w:t xml:space="preserve">7. Verification</w:t>
        </w:r>
      </w:hyperlink>
    </w:p>
    <w:p>
      <w:pPr>
        <w:numPr>
          <w:ilvl w:val="0"/>
          <w:numId w:val="1001"/>
        </w:numPr>
        <w:pStyle w:val="Compact"/>
      </w:pPr>
      <w:hyperlink w:anchor="X3b90387fceca32c007954a21d03728d92467bbb">
        <w:r>
          <w:rPr>
            <w:rStyle w:val="Hyperlink"/>
          </w:rPr>
          <w:t xml:space="preserve">8. Closing Note</w:t>
        </w:r>
      </w:hyperlink>
    </w:p>
    <w:p>
      <w:pPr>
        <w:pStyle w:val="FirstParagraph"/>
      </w:pPr>
      <w:r>
        <w:rPr>
          <w:iCs/>
          <w:i/>
        </w:rPr>
        <w:t xml:space="preserve">Updated after initial delivery: (1) module numbering across the entire</w:t>
      </w:r>
      <w:r>
        <w:rPr>
          <w:iCs/>
          <w:i/>
        </w:rPr>
        <w:t xml:space="preserve"> </w:t>
      </w:r>
      <w:r>
        <w:rPr>
          <w:iCs/>
          <w:i/>
        </w:rPr>
        <w:t xml:space="preserve">application was corrected to run 1–20 with no gap — the platform</w:t>
      </w:r>
      <w:r>
        <w:rPr>
          <w:iCs/>
          <w:i/>
        </w:rPr>
        <w:t xml:space="preserve"> </w:t>
      </w:r>
      <w:r>
        <w:rPr>
          <w:iCs/>
          <w:i/>
        </w:rPr>
        <w:t xml:space="preserve">previously jumped from Module 2 straight to Module 4, since Module 3 had</w:t>
      </w:r>
      <w:r>
        <w:rPr>
          <w:iCs/>
          <w:i/>
        </w:rPr>
        <w:t xml:space="preserve"> </w:t>
      </w:r>
      <w:r>
        <w:rPr>
          <w:iCs/>
          <w:i/>
        </w:rPr>
        <w:t xml:space="preserve">been reserved for localization but never built as its own page; every</w:t>
      </w:r>
      <w:r>
        <w:rPr>
          <w:iCs/>
          <w:i/>
        </w:rPr>
        <w:t xml:space="preserve"> </w:t>
      </w:r>
      <w:r>
        <w:rPr>
          <w:iCs/>
          <w:i/>
        </w:rPr>
        <w:t xml:space="preserve">module from the old Module 4 onward shifted down by one, and every module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 in this document, the Functional Specification, and the</w:t>
      </w:r>
      <w:r>
        <w:rPr>
          <w:iCs/>
          <w:i/>
        </w:rPr>
        <w:t xml:space="preserve"> </w:t>
      </w:r>
      <w:r>
        <w:rPr>
          <w:iCs/>
          <w:i/>
        </w:rPr>
        <w:t xml:space="preserve">application itself was updated to match. (2) ALT-011 (Communication</w:t>
      </w:r>
      <w:r>
        <w:rPr>
          <w:iCs/>
          <w:i/>
        </w:rPr>
        <w:t xml:space="preserve"> </w:t>
      </w:r>
      <w:r>
        <w:rPr>
          <w:iCs/>
          <w:i/>
        </w:rPr>
        <w:t xml:space="preserve">Overload) was closed as a ninth live-computed alert, narrowing Gap 4.9.</w:t>
      </w:r>
      <w:r>
        <w:rPr>
          <w:iCs/>
          <w:i/>
        </w:rPr>
        <w:t xml:space="preserve"> </w:t>
      </w:r>
      <w:r>
        <w:rPr>
          <w:iCs/>
          <w:i/>
        </w:rPr>
        <w:t xml:space="preserve">Both changes are reflected throughout the sections below.</w:t>
      </w:r>
    </w:p>
    <w:bookmarkStart w:id="20" w:name="purpose-scope"/>
    <w:p>
      <w:pPr>
        <w:pStyle w:val="Heading2"/>
      </w:pPr>
      <w:r>
        <w:rPr>
          <w:b/>
          <w:color w:val="275650"/>
        </w:rPr>
        <w:t xml:space="preserve">1. Purpose &amp; Scope</w:t>
      </w:r>
    </w:p>
    <w:p>
      <w:pPr>
        <w:pStyle w:val="FirstParagraph"/>
      </w:pPr>
      <w:r>
        <w:t xml:space="preserve">Gap Analysis v2 (delivered as</w:t>
      </w:r>
      <w:r>
        <w:t xml:space="preserve"> </w:t>
      </w:r>
      <w:r>
        <w:rPr>
          <w:rStyle w:val="VerbatimChar"/>
        </w:rPr>
        <w:t xml:space="preserve">journi_Gap_Analysis_v2.docx</w:t>
      </w:r>
      <w:r>
        <w:t xml:space="preserve">) identified</w:t>
      </w:r>
      <w:r>
        <w:t xml:space="preserve"> </w:t>
      </w:r>
      <w:r>
        <w:t xml:space="preserve">four findings (A–D) and ten categories of gap (4.1–4.10) against ten</w:t>
      </w:r>
      <w:r>
        <w:t xml:space="preserve"> </w:t>
      </w:r>
      <w:r>
        <w:t xml:space="preserve">source documents describing a larger hypothetical D01–D32k deliverable</w:t>
      </w:r>
      <w:r>
        <w:t xml:space="preserve"> </w:t>
      </w:r>
      <w:r>
        <w:t xml:space="preserve">framework. This document records what was subsequently built into the</w:t>
      </w:r>
      <w:r>
        <w:t xml:space="preserve"> </w:t>
      </w:r>
      <w:r>
        <w:t xml:space="preserve">journi application to close those gaps, what was deliberately left as a</w:t>
      </w:r>
      <w:r>
        <w:t xml:space="preserve"> </w:t>
      </w:r>
      <w:r>
        <w:t xml:space="preserve">documented architectural boundary, and how each closure was verified.</w:t>
      </w:r>
      <w:r>
        <w:t xml:space="preserve"> </w:t>
      </w:r>
      <w:r>
        <w:t xml:space="preserve">It is a build record, not a new analysis — read alongside Gap Analysis</w:t>
      </w:r>
      <w:r>
        <w:t xml:space="preserve"> </w:t>
      </w:r>
      <w:r>
        <w:t xml:space="preserve">v2 rather than in place of it.</w:t>
      </w:r>
    </w:p>
    <w:p>
      <w:pPr>
        <w:pStyle w:val="BodyText"/>
      </w:pPr>
      <w:r>
        <w:t xml:space="preserve">Every closure below shipped as a working feature in the application</w:t>
      </w:r>
      <w:r>
        <w:t xml:space="preserve"> </w:t>
      </w:r>
      <w:r>
        <w:t xml:space="preserve">(not documentation alone), was verified with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and a</w:t>
      </w:r>
      <w:r>
        <w:t xml:space="preserve"> </w:t>
      </w:r>
      <w:r>
        <w:t xml:space="preserve">Playwright functional pass, and is committed to the</w:t>
      </w:r>
      <w:r>
        <w:t xml:space="preserve"> </w:t>
      </w:r>
      <w:r>
        <w:rPr>
          <w:rStyle w:val="VerbatimChar"/>
        </w:rPr>
        <w:t xml:space="preserve">claude/journi-app-build-bkuhih</w:t>
      </w:r>
      <w:r>
        <w:t xml:space="preserve"> </w:t>
      </w:r>
      <w:r>
        <w:t xml:space="preserve">branch.</w:t>
      </w:r>
    </w:p>
    <w:bookmarkEnd w:id="20"/>
    <w:bookmarkStart w:id="21" w:name="closure-summary-table"/>
    <w:p>
      <w:pPr>
        <w:pStyle w:val="Heading2"/>
      </w:pPr>
      <w:r>
        <w:rPr>
          <w:b/>
          <w:color w:val="275650"/>
        </w:rPr>
        <w:t xml:space="preserve">2. Closure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Gap Analysis v2 Ref.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Disposition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E2E-01–04 superseded compositions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18,</w:t>
            </w:r>
            <w:r>
              <w:t xml:space="preserve"> </w:t>
            </w:r>
            <w:r>
              <w:rPr>
                <w:rStyle w:val="VerbatimChar"/>
              </w:rPr>
              <w:t xml:space="preserve">e2eProcesses.js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vs. 8 transformation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recorded</w:t>
            </w:r>
            <w:r>
              <w:t xml:space="preserve"> </w:t>
            </w:r>
            <w:r>
              <w:t xml:space="preserve">— kept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RACSI vs. RASCI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actioned — cosmetic, source-document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Architecture deck’s stale</w:t>
            </w:r>
            <w:r>
              <w:t xml:space="preserve"> </w:t>
            </w:r>
            <w:r>
              <w:t xml:space="preserve">“</w:t>
            </w:r>
            <w:r>
              <w:t xml:space="preserve">15 requirements</w:t>
            </w:r>
            <w:r>
              <w:t xml:space="preserve">”</w:t>
            </w:r>
            <w:r>
              <w:t xml:space="preserve"> </w:t>
            </w: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actioned — source-document currency issue, not a journi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4.1 (E2E RACSI)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Per-chain RACSI on core E2E chains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4.2 (Cross-Type Matrix)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8-type side-by-side 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4.3 (WBS refinements)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Accountability tag, P1–P7 phase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4.4 (Phase Gate/Checklist)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Selectable Accountable role, weighted checklist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4.5 (REX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Lesson-to-Rule/Control/Charter closure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4.6 (Charter Registry)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D31 charters, action mapping, mentoring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19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4.6 (Journeys/Analytics)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D27/D28/D29 journeys, touchpoints, 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20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4.6 (Context Overlay)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D24 project-context overlay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</w:t>
            </w:r>
            <w:r>
              <w:t xml:space="preserve"> </w:t>
            </w:r>
            <w:r>
              <w:t xml:space="preserve">(reference)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4.7 (Coding Workbench)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D32k codebook, tagging, frequency rollup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4.8 (NLP Theme-Mining Engine)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D32j backend NLP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Architectural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4.9 (Alerts/D07)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Sixteen alert conditions, in-app 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closed</w:t>
            </w:r>
            <w:r>
              <w:t xml:space="preserve"> </w:t>
            </w:r>
            <w:r>
              <w:t xml:space="preserve">— 9 of 16 live-computed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Center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4.10 (Reporting export/D08)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Excel/PDF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closed</w:t>
            </w:r>
            <w:r>
              <w:t xml:space="preserve"> </w:t>
            </w:r>
            <w:r>
              <w:t xml:space="preserve">— client-side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M7, M8, M9, M13, M14</w:t>
            </w:r>
          </w:p>
        </w:tc>
      </w:tr>
    </w:tbl>
    <w:bookmarkEnd w:id="21"/>
    <w:bookmarkStart w:id="22" w:name="finding-a-e2e-0104-compositions-fixed"/>
    <w:p>
      <w:pPr>
        <w:pStyle w:val="Heading2"/>
      </w:pPr>
      <w:r>
        <w:rPr>
          <w:b/>
          <w:color w:val="275650"/>
        </w:rPr>
        <w:t xml:space="preserve">3. Finding A — E2E-01–04 Compositions (Fixed)</w:t>
      </w:r>
    </w:p>
    <w:p>
      <w:pPr>
        <w:pStyle w:val="FirstParagraph"/>
      </w:pPr>
      <w:r>
        <w:t xml:space="preserve">D32h’s</w:t>
      </w:r>
      <w:r>
        <w:t xml:space="preserve"> </w:t>
      </w:r>
      <w:r>
        <w:t xml:space="preserve">“</w:t>
      </w:r>
      <w:r>
        <w:t xml:space="preserve">Corrected</w:t>
      </w:r>
      <w:r>
        <w:t xml:space="preserve">”</w:t>
      </w:r>
      <w:r>
        <w:t xml:space="preserve"> </w:t>
      </w:r>
      <w:r>
        <w:t xml:space="preserve">macro-process compositions, names, triggers,</w:t>
      </w:r>
      <w:r>
        <w:t xml:space="preserve"> </w:t>
      </w:r>
      <w:r>
        <w:t xml:space="preserve">terminal-states and RACSI for the four core End-to-End chains —</w:t>
      </w:r>
      <w:r>
        <w:t xml:space="preserve"> </w:t>
      </w:r>
      <w:r>
        <w:t xml:space="preserve">sourced verbatim from Framework Interaction Map v2.3 §11 — superseded</w:t>
      </w:r>
      <w:r>
        <w:t xml:space="preserve"> </w:t>
      </w:r>
      <w:r>
        <w:t xml:space="preserve">what journi’s</w:t>
      </w:r>
      <w:r>
        <w:t xml:space="preserve"> </w:t>
      </w:r>
      <w:r>
        <w:rPr>
          <w:rStyle w:val="VerbatimChar"/>
        </w:rPr>
        <w:t xml:space="preserve">e2eProcesses.js</w:t>
      </w:r>
      <w:r>
        <w:t xml:space="preserve"> </w:t>
      </w:r>
      <w:r>
        <w:t xml:space="preserve">carried from the original Process</w:t>
      </w:r>
      <w:r>
        <w:t xml:space="preserve"> </w:t>
      </w:r>
      <w:r>
        <w:t xml:space="preserve">Catalogue and CR1 addendum. This was an unambiguous data correction, not</w:t>
      </w:r>
      <w:r>
        <w:t xml:space="preserve"> </w:t>
      </w:r>
      <w:r>
        <w:t xml:space="preserve">a judgment call, and has been applied outright: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E2E-01</w:t>
      </w:r>
      <w:r>
        <w:t xml:space="preserve"> </w:t>
      </w:r>
      <w:r>
        <w:t xml:space="preserve">renamed</w:t>
      </w:r>
      <w:r>
        <w:t xml:space="preserve"> </w:t>
      </w:r>
      <w:r>
        <w:t xml:space="preserve">“</w:t>
      </w:r>
      <w:r>
        <w:t xml:space="preserve">Readiness &amp; Mobilization (Awareness →</w:t>
      </w:r>
      <w:r>
        <w:t xml:space="preserve"> </w:t>
      </w:r>
      <w:r>
        <w:t xml:space="preserve">Launch-Readiness)</w:t>
      </w:r>
      <w:r>
        <w:t xml:space="preserve">”</w:t>
      </w:r>
      <w:r>
        <w:t xml:space="preserve">, composition corrected to MP-01→02→03→06→07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E2E-02</w:t>
      </w:r>
      <w:r>
        <w:t xml:space="preserve"> </w:t>
      </w:r>
      <w:r>
        <w:t xml:space="preserve">renamed</w:t>
      </w:r>
      <w:r>
        <w:t xml:space="preserve"> </w:t>
      </w:r>
      <w:r>
        <w:t xml:space="preserve">“</w:t>
      </w:r>
      <w:r>
        <w:t xml:space="preserve">Capability &amp; Divergence Management (Training →</w:t>
      </w:r>
      <w:r>
        <w:t xml:space="preserve"> </w:t>
      </w:r>
      <w:r>
        <w:t xml:space="preserve">Verified Competence)</w:t>
      </w:r>
      <w:r>
        <w:t xml:space="preserve">”</w:t>
      </w:r>
      <w:r>
        <w:t xml:space="preserve">, composition corrected to MP-05→08→07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E2E-03</w:t>
      </w:r>
      <w:r>
        <w:t xml:space="preserve"> </w:t>
      </w:r>
      <w:r>
        <w:t xml:space="preserve">renamed</w:t>
      </w:r>
      <w:r>
        <w:t xml:space="preserve"> </w:t>
      </w:r>
      <w:r>
        <w:t xml:space="preserve">“</w:t>
      </w:r>
      <w:r>
        <w:t xml:space="preserve">Resistance-to-Commitment (Barrier Detection →</w:t>
      </w:r>
      <w:r>
        <w:t xml:space="preserve"> </w:t>
      </w:r>
      <w:r>
        <w:t xml:space="preserve">Buy-In)</w:t>
      </w:r>
      <w:r>
        <w:t xml:space="preserve">”</w:t>
      </w:r>
      <w:r>
        <w:t xml:space="preserve">, composition corrected to MP-04→06→07→09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E2E-04</w:t>
      </w:r>
      <w:r>
        <w:t xml:space="preserve"> </w:t>
      </w:r>
      <w:r>
        <w:t xml:space="preserve">renamed</w:t>
      </w:r>
      <w:r>
        <w:t xml:space="preserve"> </w:t>
      </w:r>
      <w:r>
        <w:t xml:space="preserve">“</w:t>
      </w:r>
      <w:r>
        <w:t xml:space="preserve">Adoption-to-Sustainment (Go-Live → Refreeze)</w:t>
      </w:r>
      <w:r>
        <w:t xml:space="preserve">”</w:t>
      </w:r>
      <w:r>
        <w:t xml:space="preserve">,</w:t>
      </w:r>
      <w:r>
        <w:t xml:space="preserve"> </w:t>
      </w:r>
      <w:r>
        <w:t xml:space="preserve">composition corrected to MP-09→10→07</w:t>
      </w:r>
    </w:p>
    <w:p>
      <w:pPr>
        <w:pStyle w:val="FirstParagraph"/>
      </w:pPr>
      <w:r>
        <w:t xml:space="preserve">Each chain now also carries its D32h-specified RACSI, rendered in</w:t>
      </w:r>
      <w:r>
        <w:t xml:space="preserve"> </w:t>
      </w:r>
      <w:r>
        <w:t xml:space="preserve">Module 18’s E2E Process Registry tab.</w:t>
      </w:r>
    </w:p>
    <w:bookmarkEnd w:id="22"/>
    <w:bookmarkStart w:id="23" w:name="X01fe776f66dc4a5d007b7749d8b5d8804b61fb8"/>
    <w:p>
      <w:pPr>
        <w:pStyle w:val="Heading2"/>
      </w:pPr>
      <w:r>
        <w:rPr>
          <w:b/>
          <w:color w:val="275650"/>
        </w:rPr>
        <w:t xml:space="preserve">4. Finding B — 7 vs. 8 Transformation Types (Decision Recorded)</w:t>
      </w:r>
    </w:p>
    <w:p>
      <w:pPr>
        <w:pStyle w:val="FirstParagraph"/>
      </w:pPr>
      <w:r>
        <w:t xml:space="preserve">Five sources (D21 Project Registry, D32b Phase Template Library, D32i</w:t>
      </w:r>
      <w:r>
        <w:t xml:space="preserve"> </w:t>
      </w:r>
      <w:r>
        <w:t xml:space="preserve">Cross-Type Matrix, the Transformation Types User Guide, and the</w:t>
      </w:r>
      <w:r>
        <w:t xml:space="preserve"> </w:t>
      </w:r>
      <w:r>
        <w:t xml:space="preserve">Solution Architecture deck) describe 7 transformation types with no</w:t>
      </w:r>
      <w:r>
        <w:t xml:space="preserve"> </w:t>
      </w:r>
      <w:r>
        <w:t xml:space="preserve">Training &amp; Skills Development archetype; CR1 and the End-to-End Process</w:t>
      </w:r>
      <w:r>
        <w:t xml:space="preserve"> </w:t>
      </w:r>
      <w:r>
        <w:t xml:space="preserve">Catalogue describe 8, including it. This is a genuine cross-document</w:t>
      </w:r>
      <w:r>
        <w:t xml:space="preserve"> </w:t>
      </w:r>
      <w:r>
        <w:t xml:space="preserve">conflict, not a data-entry error, and Gap Analysis v2 flagged it for a</w:t>
      </w:r>
      <w:r>
        <w:t xml:space="preserve"> </w:t>
      </w:r>
      <w:r>
        <w:t xml:space="preserve">decision rather than resolving it unilaterally.</w:t>
      </w:r>
    </w:p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journi keeps all 8 types, per the explicit</w:t>
      </w:r>
      <w:r>
        <w:t xml:space="preserve"> </w:t>
      </w:r>
      <w:r>
        <w:t xml:space="preserve">“</w:t>
      </w:r>
      <w:r>
        <w:t xml:space="preserve">implement CR1</w:t>
      </w:r>
      <w:r>
        <w:t xml:space="preserve"> </w:t>
      </w:r>
      <w:r>
        <w:t xml:space="preserve">fully</w:t>
      </w:r>
      <w:r>
        <w:t xml:space="preserve">”</w:t>
      </w:r>
      <w:r>
        <w:t xml:space="preserve"> </w:t>
      </w:r>
      <w:r>
        <w:t xml:space="preserve">directive given earlier in this engagement. The</w:t>
      </w:r>
      <w:r>
        <w:t xml:space="preserve"> </w:t>
      </w:r>
      <w:r>
        <w:t xml:space="preserve">Training &amp; Skills Development archetype (</w:t>
      </w:r>
      <w:r>
        <w:rPr>
          <w:rStyle w:val="VerbatimChar"/>
        </w:rPr>
        <w:t xml:space="preserve">TPL-TSD-7</w:t>
      </w:r>
      <w:r>
        <w:t xml:space="preserve">,</w:t>
      </w:r>
      <w:r>
        <w:t xml:space="preserve"> </w:t>
      </w:r>
      <w:r>
        <w:rPr>
          <w:rStyle w:val="VerbatimChar"/>
        </w:rPr>
        <w:t xml:space="preserve">E2E-TSD</w:t>
      </w:r>
      <w:r>
        <w:t xml:space="preserve">) is</w:t>
      </w:r>
      <w:r>
        <w:t xml:space="preserve"> </w:t>
      </w:r>
      <w:r>
        <w:t xml:space="preserve">retained across Module 17’s Phase Template picker, Module 18’s E2E</w:t>
      </w:r>
      <w:r>
        <w:t xml:space="preserve"> </w:t>
      </w:r>
      <w:r>
        <w:t xml:space="preserve">Registry, and the seed dataset’s fifth CR1 expansion case. Where a</w:t>
      </w:r>
      <w:r>
        <w:t xml:space="preserve"> </w:t>
      </w:r>
      <w:r>
        <w:t xml:space="preserve">newly-built feature transcribes a 7-type source table verbatim (Module 14’s Cross-Type Comparison Matrix, sourced from D32i), the 8th</w:t>
      </w:r>
      <w:r>
        <w:t xml:space="preserve"> </w:t>
      </w:r>
      <w:r>
        <w:t xml:space="preserve">Training &amp; Skills Development row is explicitly marked in the data file</w:t>
      </w:r>
      <w:r>
        <w:t xml:space="preserve"> </w:t>
      </w:r>
      <w:r>
        <w:t xml:space="preserve">as an extension beyond the source, not a transcribed source value —</w:t>
      </w:r>
      <w:r>
        <w:t xml:space="preserve"> </w:t>
      </w:r>
      <w:r>
        <w:t xml:space="preserve">so the conflict stays visible in the app’s own data rather than being</w:t>
      </w:r>
      <w:r>
        <w:t xml:space="preserve"> </w:t>
      </w:r>
      <w:r>
        <w:t xml:space="preserve">silently smoothed over in either direction.</w:t>
      </w:r>
    </w:p>
    <w:bookmarkEnd w:id="23"/>
    <w:bookmarkStart w:id="24" w:name="gaps-closed-by-deliverable"/>
    <w:p>
      <w:pPr>
        <w:pStyle w:val="Heading2"/>
      </w:pPr>
      <w:r>
        <w:rPr>
          <w:b/>
          <w:color w:val="275650"/>
        </w:rPr>
        <w:t xml:space="preserve">5. Gaps Closed, By Deliverable</w:t>
      </w:r>
    </w:p>
    <w:p>
      <w:pPr>
        <w:pStyle w:val="FirstParagraph"/>
      </w:pPr>
      <w:r>
        <w:rPr>
          <w:bCs/>
          <w:b/>
        </w:rPr>
        <w:t xml:space="preserve">Module 18 — Macro Process, SIPOC, RACSI &amp; End-to-End Registry.</w:t>
      </w:r>
      <w:r>
        <w:t xml:space="preserve"> </w:t>
      </w:r>
      <w:r>
        <w:t xml:space="preserve">Per-chain RACSI added to the four core E2E chains (Finding A/Gap 4.1).</w:t>
      </w:r>
    </w:p>
    <w:p>
      <w:pPr>
        <w:pStyle w:val="BodyText"/>
      </w:pPr>
      <w:r>
        <w:rPr>
          <w:bCs/>
          <w:b/>
        </w:rPr>
        <w:t xml:space="preserve">Module 14 — Metrics &amp; Analytics Dashboard.</w:t>
      </w:r>
      <w:r>
        <w:t xml:space="preserve"> </w:t>
      </w:r>
      <w:r>
        <w:t xml:space="preserve">New Cross-Type</w:t>
      </w:r>
      <w:r>
        <w:t xml:space="preserve"> </w:t>
      </w:r>
      <w:r>
        <w:t xml:space="preserve">Comparison Matrix tab: all eight transformation types compared on</w:t>
      </w:r>
      <w:r>
        <w:t xml:space="preserve"> </w:t>
      </w:r>
      <w:r>
        <w:t xml:space="preserve">typical duration, terminal gate, external-party involvement, dominant</w:t>
      </w:r>
      <w:r>
        <w:t xml:space="preserve"> </w:t>
      </w:r>
      <w:r>
        <w:t xml:space="preserve">framework and reversibility, each linked to a seed-project example</w:t>
      </w:r>
      <w:r>
        <w:t xml:space="preserve"> </w:t>
      </w:r>
      <w:r>
        <w:t xml:space="preserve">(Gap 4.2). CSV export added to the readiness heatmap and benchmarking</w:t>
      </w:r>
      <w:r>
        <w:t xml:space="preserve"> </w:t>
      </w:r>
      <w:r>
        <w:t xml:space="preserve">tables (Gap 4.10).</w:t>
      </w:r>
    </w:p>
    <w:p>
      <w:pPr>
        <w:pStyle w:val="BodyText"/>
      </w:pPr>
      <w:r>
        <w:rPr>
          <w:bCs/>
          <w:b/>
        </w:rPr>
        <w:t xml:space="preserve">Module 17 — Work Breakdown Structure &amp; Gantt.</w:t>
      </w:r>
      <w:r>
        <w:t xml:space="preserve"> </w:t>
      </w:r>
      <w:r>
        <w:t xml:space="preserve">A task’s delivery</w:t>
      </w:r>
      <w:r>
        <w:t xml:space="preserve"> </w:t>
      </w:r>
      <w:r>
        <w:t xml:space="preserve">track (Project/Change/Framework) and its accountability tag</w:t>
      </w:r>
      <w:r>
        <w:t xml:space="preserve"> </w:t>
      </w:r>
      <w:r>
        <w:t xml:space="preserve">(Project/Change/Joint) are now two distinct fields, matching D32a’s WBS</w:t>
      </w:r>
      <w:r>
        <w:t xml:space="preserve"> </w:t>
      </w:r>
      <w:r>
        <w:t xml:space="preserve">task schema (Gap 4.3). A generic P1–P7 lifecycle-phase filter applies</w:t>
      </w:r>
      <w:r>
        <w:t xml:space="preserve"> </w:t>
      </w:r>
      <w:r>
        <w:t xml:space="preserve">across WBS tasks, Phase Checklist items and Phase Gates, mapped from</w:t>
      </w:r>
      <w:r>
        <w:t xml:space="preserve"> </w:t>
      </w:r>
      <w:r>
        <w:t xml:space="preserve">every type-specific Phase Template’s own labels (Gap 4.3). Phase</w:t>
      </w:r>
      <w:r>
        <w:t xml:space="preserve"> </w:t>
      </w:r>
      <w:r>
        <w:t xml:space="preserve">Checklist items carry a configurable weight, and phase completion is</w:t>
      </w:r>
      <w:r>
        <w:t xml:space="preserve"> </w:t>
      </w:r>
      <w:r>
        <w:t xml:space="preserve">now a weighted average rather than an equal-weight item count (D32c,</w:t>
      </w:r>
      <w:r>
        <w:t xml:space="preserve"> </w:t>
      </w:r>
      <w:r>
        <w:t xml:space="preserve">Gap 4.4). The Phase Gate’s Joint Decision Record Accountable role is now</w:t>
      </w:r>
      <w:r>
        <w:t xml:space="preserve"> </w:t>
      </w:r>
      <w:r>
        <w:t xml:space="preserve">selectable from the RACSI role-code list rather than hardcoded to the</w:t>
      </w:r>
      <w:r>
        <w:t xml:space="preserve"> </w:t>
      </w:r>
      <w:r>
        <w:t xml:space="preserve">Project Manager, matching D32e’s</w:t>
      </w:r>
      <w:r>
        <w:t xml:space="preserve"> </w:t>
      </w:r>
      <w:r>
        <w:t xml:space="preserve">“</w:t>
      </w:r>
      <w:r>
        <w:t xml:space="preserve">may differ from either input’s</w:t>
      </w:r>
      <w:r>
        <w:t xml:space="preserve"> </w:t>
      </w:r>
      <w:r>
        <w:t xml:space="preserve">author</w:t>
      </w:r>
      <w:r>
        <w:t xml:space="preserve">”</w:t>
      </w:r>
      <w:r>
        <w:t xml:space="preserve"> </w:t>
      </w:r>
      <w:r>
        <w:t xml:space="preserve">rule (Gap 4.4).</w:t>
      </w:r>
    </w:p>
    <w:p>
      <w:pPr>
        <w:pStyle w:val="BodyText"/>
      </w:pPr>
      <w:r>
        <w:rPr>
          <w:bCs/>
          <w:b/>
        </w:rPr>
        <w:t xml:space="preserve">Module 12 — Reinforcement &amp; Sustainment.</w:t>
      </w:r>
      <w:r>
        <w:t xml:space="preserve"> </w:t>
      </w:r>
      <w:r>
        <w:t xml:space="preserve">Each lesson-learned entry</w:t>
      </w:r>
      <w:r>
        <w:t xml:space="preserve"> </w:t>
      </w:r>
      <w:r>
        <w:t xml:space="preserve">now carries a linked Rule/Control/Charter field and an Applied/Pending</w:t>
      </w:r>
      <w:r>
        <w:t xml:space="preserve"> </w:t>
      </w:r>
      <w:r>
        <w:t xml:space="preserve">status, so a lesson only</w:t>
      </w:r>
      <w:r>
        <w:t xml:space="preserve"> </w:t>
      </w:r>
      <w:r>
        <w:t xml:space="preserve">“</w:t>
      </w:r>
      <w:r>
        <w:t xml:space="preserve">closes the loop</w:t>
      </w:r>
      <w:r>
        <w:t xml:space="preserve">”</w:t>
      </w:r>
      <w:r>
        <w:t xml:space="preserve"> </w:t>
      </w:r>
      <w:r>
        <w:t xml:space="preserve">once it names what now</w:t>
      </w:r>
      <w:r>
        <w:t xml:space="preserve"> </w:t>
      </w:r>
      <w:r>
        <w:t xml:space="preserve">encodes it, per D25’s REX Institutionalization Log model (Gap 4.5).</w:t>
      </w:r>
    </w:p>
    <w:p>
      <w:pPr>
        <w:pStyle w:val="BodyText"/>
      </w:pPr>
      <w:r>
        <w:rPr>
          <w:bCs/>
          <w:b/>
        </w:rPr>
        <w:t xml:space="preserve">Module 19 — Change Management Charter Registry (new module).</w:t>
      </w:r>
      <w:r>
        <w:t xml:space="preserve"> </w:t>
      </w:r>
      <w:r>
        <w:t xml:space="preserve">All</w:t>
      </w:r>
      <w:r>
        <w:t xml:space="preserve"> </w:t>
      </w:r>
      <w:r>
        <w:t xml:space="preserve">eight D31 charters (Sponsorship/Leadership through Pulse/Interview) with</w:t>
      </w:r>
      <w:r>
        <w:t xml:space="preserve"> </w:t>
      </w:r>
      <w:r>
        <w:t xml:space="preserve">their full What/Who/When/Where/Why/How and RACSI; the full 34-row</w:t>
      </w:r>
      <w:r>
        <w:t xml:space="preserve"> </w:t>
      </w:r>
      <w:r>
        <w:t xml:space="preserve">Charter Action Mapping (D31a) linked to macro processes, tasks and</w:t>
      </w:r>
      <w:r>
        <w:t xml:space="preserve"> </w:t>
      </w:r>
      <w:r>
        <w:t xml:space="preserve">lifecycle phases; the three-stage Mentoring Progression model (D31c:</w:t>
      </w:r>
      <w:r>
        <w:t xml:space="preserve"> </w:t>
      </w:r>
      <w:r>
        <w:t xml:space="preserve">Trainee → Observer → Autonomous) with entry/exit criteria and a</w:t>
      </w:r>
      <w:r>
        <w:t xml:space="preserve"> </w:t>
      </w:r>
      <w:r>
        <w:t xml:space="preserve">regression path that returns a mentee one stage rather than restarting;</w:t>
      </w:r>
      <w:r>
        <w:t xml:space="preserve"> </w:t>
      </w:r>
      <w:r>
        <w:t xml:space="preserve">and a per-project compliance log letting a Change Manager record</w:t>
      </w:r>
      <w:r>
        <w:t xml:space="preserve"> </w:t>
      </w:r>
      <w:r>
        <w:t xml:space="preserve">completion of a specific charter action against their project (Gap</w:t>
      </w:r>
      <w:r>
        <w:t xml:space="preserve"> </w:t>
      </w:r>
      <w:r>
        <w:t xml:space="preserve">4.6).</w:t>
      </w:r>
    </w:p>
    <w:p>
      <w:pPr>
        <w:pStyle w:val="BodyText"/>
      </w:pPr>
      <w:r>
        <w:rPr>
          <w:bCs/>
          <w:b/>
        </w:rPr>
        <w:t xml:space="preserve">Module 20 — Stakeholder Journeys, Touchpoints &amp; Analytics (new</w:t>
      </w:r>
      <w:r>
        <w:rPr>
          <w:bCs/>
          <w:b/>
        </w:rPr>
        <w:t xml:space="preserve"> </w:t>
      </w:r>
      <w:r>
        <w:rPr>
          <w:bCs/>
          <w:b/>
        </w:rPr>
        <w:t xml:space="preserve">module).</w:t>
      </w:r>
      <w:r>
        <w:t xml:space="preserve"> </w:t>
      </w:r>
      <w:r>
        <w:t xml:space="preserve">All eight D27 journeys (End User Adoption, Executive</w:t>
      </w:r>
      <w:r>
        <w:t xml:space="preserve"> </w:t>
      </w:r>
      <w:r>
        <w:t xml:space="preserve">Sponsor, Frontline Supervisor, Champion, Mentee, Divergence Case, QMS</w:t>
      </w:r>
      <w:r>
        <w:t xml:space="preserve"> </w:t>
      </w:r>
      <w:r>
        <w:t xml:space="preserve">Certification, AI Suggestion Lifecycle); the 24 D28 touchpoints across</w:t>
      </w:r>
      <w:r>
        <w:t xml:space="preserve"> </w:t>
      </w:r>
      <w:r>
        <w:t xml:space="preserve">the five most fully detailed journeys with auditable success criteria</w:t>
      </w:r>
      <w:r>
        <w:t xml:space="preserve"> </w:t>
      </w:r>
      <w:r>
        <w:t xml:space="preserve">and evidence, plus a per-project touchpoint-completion log; the five</w:t>
      </w:r>
      <w:r>
        <w:t xml:space="preserve"> </w:t>
      </w:r>
      <w:r>
        <w:t xml:space="preserve">D29 Journey Analytics dashboards, two of which (End User Journey</w:t>
      </w:r>
      <w:r>
        <w:t xml:space="preserve"> </w:t>
      </w:r>
      <w:r>
        <w:t xml:space="preserve">Completion, Sponsor &amp; Charter Compliance) compute a live percentage</w:t>
      </w:r>
      <w:r>
        <w:t xml:space="preserve"> </w:t>
      </w:r>
      <w:r>
        <w:t xml:space="preserve">from the project’s own logs rather than showing only a static</w:t>
      </w:r>
      <w:r>
        <w:t xml:space="preserve"> </w:t>
      </w:r>
      <w:r>
        <w:t xml:space="preserve">description; and the D24 Project Context Overlay, shown as the source</w:t>
      </w:r>
      <w:r>
        <w:t xml:space="preserve"> </w:t>
      </w:r>
      <w:r>
        <w:t xml:space="preserve">framework’s own illustrative reference set (Gap 4.6).</w:t>
      </w:r>
    </w:p>
    <w:p>
      <w:pPr>
        <w:pStyle w:val="BodyText"/>
      </w:pPr>
      <w:r>
        <w:rPr>
          <w:bCs/>
          <w:b/>
        </w:rPr>
        <w:t xml:space="preserve">Module 10 — Resistance Management.</w:t>
      </w:r>
      <w:r>
        <w:t xml:space="preserve"> </w:t>
      </w:r>
      <w:r>
        <w:t xml:space="preserve">New Coding Workbench tab: an</w:t>
      </w:r>
      <w:r>
        <w:t xml:space="preserve"> </w:t>
      </w:r>
      <w:r>
        <w:t xml:space="preserve">Organization-scoped, Change-Manager-editable codebook (D32k QCW-01);</w:t>
      </w:r>
      <w:r>
        <w:t xml:space="preserve"> </w:t>
      </w:r>
      <w:r>
        <w:t xml:space="preserve">tagging of coaching notes and resistance-log entries against that</w:t>
      </w:r>
      <w:r>
        <w:t xml:space="preserve"> </w:t>
      </w:r>
      <w:r>
        <w:t xml:space="preserve">codebook (QCW-02), with an optional cross-reference from a tagged note</w:t>
      </w:r>
      <w:r>
        <w:t xml:space="preserve"> </w:t>
      </w:r>
      <w:r>
        <w:t xml:space="preserve">to an existing Resistance Log barrier (QCW-04); and a code-frequency</w:t>
      </w:r>
      <w:r>
        <w:t xml:space="preserve"> </w:t>
      </w:r>
      <w:r>
        <w:t xml:space="preserve">rollup surfacing recurring themes across a project’s tagged material</w:t>
      </w:r>
      <w:r>
        <w:t xml:space="preserve"> </w:t>
      </w:r>
      <w:r>
        <w:t xml:space="preserve">(QCW-03) (Gap 4.7).</w:t>
      </w:r>
    </w:p>
    <w:p>
      <w:pPr>
        <w:pStyle w:val="BodyText"/>
      </w:pPr>
      <w:r>
        <w:rPr>
          <w:bCs/>
          <w:b/>
        </w:rPr>
        <w:t xml:space="preserve">Notification Center (new, top-bar bell icon).</w:t>
      </w:r>
      <w:r>
        <w:t xml:space="preserve"> </w:t>
      </w:r>
      <w:r>
        <w:t xml:space="preserve">All sixteen D07 alert</w:t>
      </w:r>
      <w:r>
        <w:t xml:space="preserve"> </w:t>
      </w:r>
      <w:r>
        <w:t xml:space="preserve">definitions catalogued; nine — Divergence Pattern, Regression Risk</w:t>
      </w:r>
      <w:r>
        <w:t xml:space="preserve"> </w:t>
      </w:r>
      <w:r>
        <w:t xml:space="preserve">Critical, Sponsor Coverage Gap, Resistance Escalation Threshold, Change</w:t>
      </w:r>
      <w:r>
        <w:t xml:space="preserve"> </w:t>
      </w:r>
      <w:r>
        <w:t xml:space="preserve">Saturation Threshold, Communication Overload, Phase Gate No-Go/Conditional,</w:t>
      </w:r>
      <w:r>
        <w:t xml:space="preserve"> </w:t>
      </w:r>
      <w:r>
        <w:t xml:space="preserve">Guiding Coalition Gap, and Sustainment Sign-Off Blocked — fire live from</w:t>
      </w:r>
      <w:r>
        <w:t xml:space="preserve"> </w:t>
      </w:r>
      <w:r>
        <w:t xml:space="preserve">data journi already holds, with severity, SLA threshold and recipient-role</w:t>
      </w:r>
      <w:r>
        <w:t xml:space="preserve"> </w:t>
      </w:r>
      <w:r>
        <w:t xml:space="preserve">shown per alert, and per-project dismissal that persists across reloads</w:t>
      </w:r>
      <w:r>
        <w:t xml:space="preserve"> </w:t>
      </w:r>
      <w:r>
        <w:t xml:space="preserve">(Gap 4.9, see Section 6 for why the remaining seven do not fire).</w:t>
      </w:r>
    </w:p>
    <w:p>
      <w:pPr>
        <w:pStyle w:val="BodyText"/>
      </w:pPr>
      <w:r>
        <w:rPr>
          <w:bCs/>
          <w:b/>
        </w:rPr>
        <w:t xml:space="preserve">CSV Export (Modules 8, 9, 10, 14, 15).</w:t>
      </w:r>
      <w:r>
        <w:t xml:space="preserve"> </w:t>
      </w:r>
      <w:r>
        <w:t xml:space="preserve">Client-side CSV export</w:t>
      </w:r>
      <w:r>
        <w:t xml:space="preserve"> </w:t>
      </w:r>
      <w:r>
        <w:t xml:space="preserve">(UTF-8 byte-order mark, so accented French/Arabic content opens</w:t>
      </w:r>
      <w:r>
        <w:t xml:space="preserve"> </w:t>
      </w:r>
      <w:r>
        <w:t xml:space="preserve">correctly in Excel) on the Sponsor Coalition roster, Communications</w:t>
      </w:r>
      <w:r>
        <w:t xml:space="preserve"> </w:t>
      </w:r>
      <w:r>
        <w:t xml:space="preserve">log, Training &amp; Certification table, Risk Register, and the Analytics</w:t>
      </w:r>
      <w:r>
        <w:t xml:space="preserve"> </w:t>
      </w:r>
      <w:r>
        <w:t xml:space="preserve">readiness heatmap and benchmarking tables (Gap 4.10).</w:t>
      </w:r>
    </w:p>
    <w:bookmarkEnd w:id="24"/>
    <w:bookmarkStart w:id="25" w:name="Xffd7d5ddcf075f0c914afd2aec7ec6d23be0b33"/>
    <w:p>
      <w:pPr>
        <w:pStyle w:val="Heading2"/>
      </w:pPr>
      <w:r>
        <w:rPr>
          <w:b/>
          <w:color w:val="275650"/>
        </w:rPr>
        <w:t xml:space="preserve">6. What Remains an Architectural Boundary, By Design</w:t>
      </w:r>
    </w:p>
    <w:p>
      <w:pPr>
        <w:pStyle w:val="FirstParagraph"/>
      </w:pPr>
      <w:r>
        <w:t xml:space="preserve">journi has no backend; the items below require platform-level</w:t>
      </w:r>
      <w:r>
        <w:t xml:space="preserve"> </w:t>
      </w:r>
      <w:r>
        <w:t xml:space="preserve">infrastructure a production backend would provide, and cannot be</w:t>
      </w:r>
      <w:r>
        <w:t xml:space="preserve"> </w:t>
      </w:r>
      <w:r>
        <w:t xml:space="preserve">proportionately absorbed into a client-side-only reference build</w:t>
      </w:r>
      <w:r>
        <w:t xml:space="preserve"> </w:t>
      </w:r>
      <w:r>
        <w:t xml:space="preserve">without one. Each is documented at its relevant module rather than</w:t>
      </w:r>
      <w:r>
        <w:t xml:space="preserve"> </w:t>
      </w:r>
      <w:r>
        <w:t xml:space="preserve">silently omitted: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Server-side persistence, multi-device access, backups.</w:t>
      </w:r>
      <w:r>
        <w:t xml:space="preserve"> </w:t>
      </w:r>
      <w:r>
        <w:t xml:space="preserve">journi’s</w:t>
      </w:r>
      <w:r>
        <w:t xml:space="preserve"> </w:t>
      </w:r>
      <w:r>
        <w:t xml:space="preserve">data layer is browser localStorage. Documented in §2.4 of the</w:t>
      </w:r>
      <w:r>
        <w:t xml:space="preserve"> </w:t>
      </w:r>
      <w:r>
        <w:t xml:space="preserve">Functional Specification since before this build wave; unchanged by</w:t>
      </w:r>
      <w:r>
        <w:t xml:space="preserve"> </w:t>
      </w:r>
      <w:r>
        <w:t xml:space="preserve">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BPMN/DMN workflow-execution engine.</w:t>
      </w:r>
      <w:r>
        <w:t xml:space="preserve"> </w:t>
      </w:r>
      <w:r>
        <w:t xml:space="preserve">Module 18 makes the process</w:t>
      </w:r>
      <w:r>
        <w:t xml:space="preserve"> </w:t>
      </w:r>
      <w:r>
        <w:t xml:space="preserve">model (Macro Processes, End-to-End chains, business rules) browsable</w:t>
      </w:r>
      <w:r>
        <w:t xml:space="preserve"> </w:t>
      </w:r>
      <w:r>
        <w:t xml:space="preserve">as data; it does not execute it as an orchestrated process.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COSO-aligned control-testing framework.</w:t>
      </w:r>
      <w:r>
        <w:t xml:space="preserve"> </w:t>
      </w:r>
      <w:r>
        <w:t xml:space="preserve">Module 13’s risk</w:t>
      </w:r>
      <w:r>
        <w:t xml:space="preserve"> </w:t>
      </w:r>
      <w:r>
        <w:t xml:space="preserve">register and the platform-wide justification-log audit trail record</w:t>
      </w:r>
      <w:r>
        <w:t xml:space="preserve"> </w:t>
      </w:r>
      <w:r>
        <w:t xml:space="preserve">the human judgment a control-testing program would draw on; they do</w:t>
      </w:r>
      <w:r>
        <w:t xml:space="preserve"> </w:t>
      </w:r>
      <w:r>
        <w:t xml:space="preserve">not run a sampling/evidencing control-testing program.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 outbound alert delivery</w:t>
      </w:r>
      <w:r>
        <w:t xml:space="preserve"> </w:t>
      </w:r>
      <w:r>
        <w:t xml:space="preserve">(D07’s email, push notification and</w:t>
      </w:r>
      <w:r>
        <w:t xml:space="preserve"> </w:t>
      </w:r>
      <w:r>
        <w:t xml:space="preserve">Teams channels). The Notification Center is the client-side</w:t>
      </w:r>
      <w:r>
        <w:t xml:space="preserve"> </w:t>
      </w:r>
      <w:r>
        <w:t xml:space="preserve">equivalent — computed live, shown in-app — but nothing is</w:t>
      </w:r>
      <w:r>
        <w:t xml:space="preserve"> </w:t>
      </w:r>
      <w:r>
        <w:t xml:space="preserve">actually sent from journi, since there is no backend to send from.</w:t>
      </w:r>
      <w:r>
        <w:t xml:space="preserve"> </w:t>
      </w:r>
      <w:r>
        <w:t xml:space="preserve">Six of D07’s sixteen alerts additionally depend on infrastructure</w:t>
      </w:r>
      <w:r>
        <w:t xml:space="preserve"> </w:t>
      </w:r>
      <w:r>
        <w:t xml:space="preserve">this build doesn’t have at all (a real request-tracking system for</w:t>
      </w:r>
      <w:r>
        <w:t xml:space="preserve"> </w:t>
      </w:r>
      <w:r>
        <w:t xml:space="preserve">GDPR SLAs, auth lock-out state, import-pipeline integrity checks) and</w:t>
      </w:r>
      <w:r>
        <w:t xml:space="preserve"> </w:t>
      </w:r>
      <w:r>
        <w:t xml:space="preserve">never fire, by the same logic. A seventh, Champion Coverage Below</w:t>
      </w:r>
      <w:r>
        <w:t xml:space="preserve"> </w:t>
      </w:r>
      <w:r>
        <w:t xml:space="preserve">Target, is excluded for a different reason: journi has no structured</w:t>
      </w:r>
      <w:r>
        <w:t xml:space="preserve"> </w:t>
      </w:r>
      <w:r>
        <w:t xml:space="preserve">champion-tracking data model to compute a genuine signal against, so</w:t>
      </w:r>
      <w:r>
        <w:t xml:space="preserve"> </w:t>
      </w:r>
      <w:r>
        <w:t xml:space="preserve">it isn’t a backend gap so much as a data model this build doesn’t</w:t>
      </w:r>
      <w:r>
        <w:t xml:space="preserve"> </w:t>
      </w:r>
      <w:r>
        <w:t xml:space="preserve">carry.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purpose-built NLP embeddings backend</w:t>
      </w:r>
      <w:r>
        <w:t xml:space="preserve"> </w:t>
      </w:r>
      <w:r>
        <w:t xml:space="preserve">(D32j). Module 16’s AI Use</w:t>
      </w:r>
      <w:r>
        <w:t xml:space="preserve"> </w:t>
      </w:r>
      <w:r>
        <w:t xml:space="preserve">Case Library and Module 10’s Coding Workbench run against a</w:t>
      </w:r>
      <w:r>
        <w:t xml:space="preserve"> </w:t>
      </w:r>
      <w:r>
        <w:t xml:space="preserve">deterministic built-in generator or, if configured, a real third-party</w:t>
      </w:r>
      <w:r>
        <w:t xml:space="preserve"> </w:t>
      </w:r>
      <w:r>
        <w:t xml:space="preserve">LLM provider called directly from the browser — neither is a</w:t>
      </w:r>
      <w:r>
        <w:t xml:space="preserve"> </w:t>
      </w:r>
      <w:r>
        <w:t xml:space="preserve">dedicated embeddings/theme-mining service operating at the scale D32j</w:t>
      </w:r>
      <w:r>
        <w:t xml:space="preserve"> </w:t>
      </w:r>
      <w:r>
        <w:t xml:space="preserve">describes.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 enterprise SSO (SAML/OIDC).</w:t>
      </w:r>
      <w:r>
        <w:t xml:space="preserve"> </w:t>
      </w:r>
      <w:r>
        <w:t xml:space="preserve">Named as an optional capability</w:t>
      </w:r>
      <w:r>
        <w:t xml:space="preserve"> </w:t>
      </w:r>
      <w:r>
        <w:t xml:space="preserve">for larger deployments in §3.3 of the Functional Specification; not</w:t>
      </w:r>
      <w:r>
        <w:t xml:space="preserve"> </w:t>
      </w:r>
      <w:r>
        <w:t xml:space="preserve">implemented in this reference build, which uses journi’s own</w:t>
      </w:r>
      <w:r>
        <w:t xml:space="preserve"> </w:t>
      </w:r>
      <w:r>
        <w:t xml:space="preserve">role/scope login.</w:t>
      </w:r>
    </w:p>
    <w:p>
      <w:pPr>
        <w:pStyle w:val="FirstParagraph"/>
      </w:pPr>
      <w:r>
        <w:t xml:space="preserve">None of these are silently dropped: each is named in the Functional</w:t>
      </w:r>
      <w:r>
        <w:t xml:space="preserve"> </w:t>
      </w:r>
      <w:r>
        <w:t xml:space="preserve">Specification (§2.4, §2.6) and, where a feature touches it directly,</w:t>
      </w:r>
      <w:r>
        <w:t xml:space="preserve"> </w:t>
      </w:r>
      <w:r>
        <w:t xml:space="preserve">in that feature’s own section, so a reader always knows whether a given</w:t>
      </w:r>
      <w:r>
        <w:t xml:space="preserve"> </w:t>
      </w:r>
      <w:r>
        <w:t xml:space="preserve">capability is real or a documented placeholder.</w:t>
      </w:r>
    </w:p>
    <w:bookmarkEnd w:id="25"/>
    <w:bookmarkStart w:id="26" w:name="verification"/>
    <w:p>
      <w:pPr>
        <w:pStyle w:val="Heading2"/>
      </w:pPr>
      <w:r>
        <w:rPr>
          <w:b/>
          <w:color w:val="275650"/>
        </w:rPr>
        <w:t xml:space="preserve">7. Verification</w:t>
      </w:r>
    </w:p>
    <w:p>
      <w:pPr>
        <w:pStyle w:val="FirstParagraph"/>
      </w:pPr>
      <w:r>
        <w:t xml:space="preserve">Every change in this closure wave was verified the same way: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— a clean production build after every unit of work,</w:t>
      </w:r>
      <w:r>
        <w:t xml:space="preserve"> </w:t>
      </w:r>
      <w:r>
        <w:t xml:space="preserve">with no new errors (the one pre-existing</w:t>
      </w:r>
      <w:r>
        <w:t xml:space="preserve"> </w:t>
      </w:r>
      <w:r>
        <w:t xml:space="preserve">“</w:t>
      </w:r>
      <w:r>
        <w:t xml:space="preserve">chunk larger than 500kB</w:t>
      </w:r>
      <w:r>
        <w:t xml:space="preserve">”</w:t>
      </w:r>
      <w:r>
        <w:t xml:space="preserve"> </w:t>
      </w:r>
      <w:r>
        <w:t xml:space="preserve">bundling warning is unrelated to correctness and predates this wave)</w:t>
      </w:r>
    </w:p>
    <w:p>
      <w:pPr>
        <w:numPr>
          <w:ilvl w:val="0"/>
          <w:numId w:val="1004"/>
        </w:numPr>
        <w:pStyle w:val="Compact"/>
      </w:pPr>
      <w:r>
        <w:t xml:space="preserve">A Playwright functional pass exercising the new UI directly —</w:t>
      </w:r>
      <w:r>
        <w:t xml:space="preserve"> </w:t>
      </w:r>
      <w:r>
        <w:t xml:space="preserve">navigating to the affected module, exercising its write actions</w:t>
      </w:r>
      <w:r>
        <w:t xml:space="preserve"> </w:t>
      </w:r>
      <w:r>
        <w:t xml:space="preserve">(logging a charter action, tagging a note, dismissing an alert,</w:t>
      </w:r>
      <w:r>
        <w:t xml:space="preserve"> </w:t>
      </w:r>
      <w:r>
        <w:t xml:space="preserve">exporting a CSV, filtering by phase), and confirming zero browser</w:t>
      </w:r>
      <w:r>
        <w:t xml:space="preserve"> </w:t>
      </w:r>
      <w:r>
        <w:t xml:space="preserve">console errors</w:t>
      </w:r>
    </w:p>
    <w:p>
      <w:pPr>
        <w:numPr>
          <w:ilvl w:val="0"/>
          <w:numId w:val="1004"/>
        </w:numPr>
        <w:pStyle w:val="Compact"/>
      </w:pPr>
      <w:r>
        <w:t xml:space="preserve">A final full-application smoke test across all eighteen non-admin</w:t>
      </w:r>
      <w:r>
        <w:t xml:space="preserve"> </w:t>
      </w:r>
      <w:r>
        <w:t xml:space="preserve">module routes as a Change Manager, and the two admin-only routes</w:t>
      </w:r>
      <w:r>
        <w:t xml:space="preserve"> </w:t>
      </w:r>
      <w:r>
        <w:t xml:space="preserve">(Module 1, Module 2) plus the Portfolio Dashboard as a Super Admin,</w:t>
      </w:r>
      <w:r>
        <w:t xml:space="preserve"> </w:t>
      </w:r>
      <w:r>
        <w:t xml:space="preserve">confirming zero console errors platform-wide before this zip was cut</w:t>
      </w:r>
    </w:p>
    <w:bookmarkEnd w:id="26"/>
    <w:bookmarkStart w:id="27" w:name="closing-note"/>
    <w:p>
      <w:pPr>
        <w:pStyle w:val="Heading2"/>
      </w:pPr>
      <w:r>
        <w:rPr>
          <w:b/>
          <w:color w:val="275650"/>
        </w:rPr>
        <w:t xml:space="preserve">8. Closing Note</w:t>
      </w:r>
    </w:p>
    <w:p>
      <w:pPr>
        <w:pStyle w:val="FirstParagraph"/>
      </w:pPr>
      <w:r>
        <w:t xml:space="preserve">Gap Analysis v2 identified ten categories of gap against a much larger</w:t>
      </w:r>
      <w:r>
        <w:t xml:space="preserve"> </w:t>
      </w:r>
      <w:r>
        <w:t xml:space="preserve">hypothetical server-backed platform than journi’s actual client-side</w:t>
      </w:r>
      <w:r>
        <w:t xml:space="preserve"> </w:t>
      </w:r>
      <w:r>
        <w:t xml:space="preserve">application. This wave closed every gap that could be proportionately</w:t>
      </w:r>
      <w:r>
        <w:t xml:space="preserve"> </w:t>
      </w:r>
      <w:r>
        <w:t xml:space="preserve">built as a client-side feature — nine of ten categories, in whole or</w:t>
      </w:r>
      <w:r>
        <w:t xml:space="preserve"> </w:t>
      </w:r>
      <w:r>
        <w:t xml:space="preserve">substantial part — and left the remainder as a transparently</w:t>
      </w:r>
      <w:r>
        <w:t xml:space="preserve"> </w:t>
      </w:r>
      <w:r>
        <w:t xml:space="preserve">documented architectural boundary rather than an unstated omission. The</w:t>
      </w:r>
      <w:r>
        <w:t xml:space="preserve"> </w:t>
      </w:r>
      <w:r>
        <w:t xml:space="preserve">application zip accompanying this document (</w:t>
      </w:r>
      <w:r>
        <w:rPr>
          <w:rStyle w:val="VerbatimChar"/>
        </w:rPr>
        <w:t xml:space="preserve">journi_app.zip</w:t>
      </w:r>
      <w:r>
        <w:t xml:space="preserve">) contains</w:t>
      </w:r>
      <w:r>
        <w:t xml:space="preserve"> </w:t>
      </w:r>
      <w:r>
        <w:t xml:space="preserve">every change described above, and the Functional Specification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journi_Functional_Spec.docx</w:t>
      </w:r>
      <w:r>
        <w:t xml:space="preserve">/</w:t>
      </w:r>
      <w:r>
        <w:rPr>
          <w:rStyle w:val="VerbatimChar"/>
        </w:rPr>
        <w:t xml:space="preserve">.pdf</w:t>
      </w:r>
      <w:r>
        <w:t xml:space="preserve">) has been regenerated to document</w:t>
      </w:r>
      <w:r>
        <w:t xml:space="preserve"> </w:t>
      </w:r>
      <w:r>
        <w:t xml:space="preserve">all of it as part of the platform’s permanent record, not just this</w:t>
      </w:r>
      <w:r>
        <w:t xml:space="preserve"> </w:t>
      </w:r>
      <w:r>
        <w:t xml:space="preserve">summary.</w:t>
      </w:r>
    </w:p>
    <w:bookmarkEnd w:id="27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99999"/>
        <w:sz w:val="16"/>
      </w:rPr>
      <w:t>journi — Gap Closure Summary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2026-08-24T15:48:45Z</dcterms:created>
  <dcterms:modified xsi:type="dcterms:W3CDTF">2026-08-24T15:48:45Z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