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pPr>
      <w:r>
        <w:rPr>
          <w:b/>
          <w:color w:val="333333"/>
          <w:sz w:val="26"/>
        </w:rPr>
        <w:t>journi</w:t>
      </w:r>
    </w:p>
    <w:p>
      <w:pPr>
        <w:pStyle w:val="BodyText"/>
        <w:jc w:val="center"/>
        <w:rPr/>
      </w:pPr>
      <w:r>
        <w:rPr>
          <w:b/>
          <w:color w:val="1F4B45"/>
          <w:sz w:val="48"/>
        </w:rPr>
        <w:t>Building a Plant-Floor Digital Skills Program</w:t>
      </w:r>
    </w:p>
    <w:p>
      <w:pPr>
        <w:pStyle w:val="BodyText"/>
        <w:jc w:val="center"/>
        <w:rPr/>
      </w:pPr>
      <w:r>
        <w:rPr>
          <w:b w:val="false"/>
          <w:color w:val="333333"/>
          <w:sz w:val="26"/>
        </w:rPr>
        <w:t>A Focused Guide to journi’s Training &amp; Skills Development Transformation Archetype</w:t>
      </w:r>
    </w:p>
    <w:p>
      <w:pPr>
        <w:pStyle w:val="BodyText"/>
        <w:jc w:val="center"/>
        <w:rPr/>
      </w:pPr>
      <w:r>
        <w:rPr>
          <w:b w:val="false"/>
          <w:color w:val="333333"/>
          <w:sz w:val="22"/>
        </w:rPr>
        <w:t>Case: Plant Digital Skills Upskilling Program (Manufacturing — Plant Floor, Kenitra and Settat)</w:t>
      </w:r>
    </w:p>
    <w:p>
      <w:pPr>
        <w:pStyle w:val="BodyText"/>
        <w:jc w:val="center"/>
        <w:rPr/>
      </w:pPr>
      <w:r>
        <w:rPr>
          <w:b w:val="false"/>
          <w:color w:val="333333"/>
          <w:sz w:val="21"/>
        </w:rPr>
        <w:t>Tenant Setup Through Skills Sustainment — One Program, Followed Week by Week</w:t>
      </w:r>
    </w:p>
    <w:p>
      <w:pPr>
        <w:pStyle w:val="BodyText"/>
        <w:jc w:val="center"/>
        <w:rPr/>
      </w:pPr>
      <w:r>
        <w:rPr>
          <w:b w:val="false"/>
          <w:color w:val="333333"/>
          <w:sz w:val="21"/>
        </w:rPr>
        <w:t>Version 1.0 · September 2026 · Confidential</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2"/>
            <w:tabs>
              <w:tab w:val="clear" w:pos="10229"/>
              <w:tab w:val="right" w:pos="10511"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890_3532355311">
            <w:r>
              <w:rPr>
                <w:webHidden/>
                <w:rStyle w:val="IndexLink"/>
              </w:rPr>
              <w:t>Part 0 — Purpose and How to Use This Guide</w:t>
              <w:tab/>
              <w:t>4</w:t>
            </w:r>
          </w:hyperlink>
        </w:p>
        <w:p>
          <w:pPr>
            <w:pStyle w:val="TOC3"/>
            <w:tabs>
              <w:tab w:val="clear" w:pos="9945"/>
              <w:tab w:val="right" w:pos="10511" w:leader="dot"/>
            </w:tabs>
            <w:rPr/>
          </w:pPr>
          <w:hyperlink w:anchor="__RefHeading___Toc26892_3532355311">
            <w:r>
              <w:rPr>
                <w:webHidden/>
                <w:rStyle w:val="IndexLink"/>
              </w:rPr>
              <w:t>What this guide is</w:t>
              <w:tab/>
              <w:t>4</w:t>
            </w:r>
          </w:hyperlink>
        </w:p>
        <w:p>
          <w:pPr>
            <w:pStyle w:val="TOC3"/>
            <w:tabs>
              <w:tab w:val="clear" w:pos="9945"/>
              <w:tab w:val="right" w:pos="10511" w:leader="dot"/>
            </w:tabs>
            <w:rPr/>
          </w:pPr>
          <w:hyperlink w:anchor="__RefHeading___Toc26894_3532355311">
            <w:r>
              <w:rPr>
                <w:webHidden/>
                <w:rStyle w:val="IndexLink"/>
              </w:rPr>
              <w:t>How to use it</w:t>
              <w:tab/>
              <w:t>4</w:t>
            </w:r>
          </w:hyperlink>
        </w:p>
        <w:p>
          <w:pPr>
            <w:pStyle w:val="TOC3"/>
            <w:tabs>
              <w:tab w:val="clear" w:pos="9945"/>
              <w:tab w:val="right" w:pos="10511" w:leader="dot"/>
            </w:tabs>
            <w:rPr/>
          </w:pPr>
          <w:hyperlink w:anchor="__RefHeading___Toc26896_3532355311">
            <w:r>
              <w:rPr>
                <w:webHidden/>
                <w:rStyle w:val="IndexLink"/>
              </w:rPr>
              <w:t>A note on fidelity</w:t>
              <w:tab/>
              <w:t>4</w:t>
            </w:r>
          </w:hyperlink>
        </w:p>
        <w:p>
          <w:pPr>
            <w:pStyle w:val="TOC3"/>
            <w:tabs>
              <w:tab w:val="clear" w:pos="9945"/>
              <w:tab w:val="right" w:pos="10511" w:leader="dot"/>
            </w:tabs>
            <w:rPr/>
          </w:pPr>
          <w:hyperlink w:anchor="__RefHeading___Toc26898_3532355311">
            <w:r>
              <w:rPr>
                <w:webHidden/>
                <w:rStyle w:val="IndexLink"/>
              </w:rPr>
              <w:t>A note on the RACSI codes used throughout</w:t>
              <w:tab/>
              <w:t>4</w:t>
            </w:r>
          </w:hyperlink>
        </w:p>
        <w:p>
          <w:pPr>
            <w:pStyle w:val="TOC3"/>
            <w:tabs>
              <w:tab w:val="clear" w:pos="9945"/>
              <w:tab w:val="right" w:pos="10511" w:leader="dot"/>
            </w:tabs>
            <w:rPr/>
          </w:pPr>
          <w:hyperlink w:anchor="__RefHeading___Toc26900_3532355311">
            <w:r>
              <w:rPr>
                <w:webHidden/>
                <w:rStyle w:val="IndexLink"/>
              </w:rPr>
              <w:t>Reading paths, by role</w:t>
              <w:tab/>
              <w:t>5</w:t>
            </w:r>
          </w:hyperlink>
        </w:p>
        <w:p>
          <w:pPr>
            <w:pStyle w:val="TOC2"/>
            <w:tabs>
              <w:tab w:val="clear" w:pos="10229"/>
              <w:tab w:val="right" w:pos="10511" w:leader="dot"/>
            </w:tabs>
            <w:rPr/>
          </w:pPr>
          <w:hyperlink w:anchor="__RefHeading___Toc26902_3532355311">
            <w:r>
              <w:rPr>
                <w:webHidden/>
                <w:rStyle w:val="IndexLink"/>
              </w:rPr>
              <w:t>Part 1 — Executive Summary</w:t>
              <w:tab/>
              <w:t>5</w:t>
            </w:r>
          </w:hyperlink>
        </w:p>
        <w:p>
          <w:pPr>
            <w:pStyle w:val="TOC3"/>
            <w:tabs>
              <w:tab w:val="clear" w:pos="9945"/>
              <w:tab w:val="right" w:pos="10511" w:leader="dot"/>
            </w:tabs>
            <w:rPr/>
          </w:pPr>
          <w:hyperlink w:anchor="__RefHeading___Toc26904_3532355311">
            <w:r>
              <w:rPr>
                <w:webHidden/>
                <w:rStyle w:val="IndexLink"/>
              </w:rPr>
              <w:t>1.1 Why This Case Matters: Training Is the Program, Not a Track Beside It</w:t>
              <w:tab/>
              <w:t>5</w:t>
            </w:r>
          </w:hyperlink>
        </w:p>
        <w:p>
          <w:pPr>
            <w:pStyle w:val="TOC3"/>
            <w:tabs>
              <w:tab w:val="clear" w:pos="9945"/>
              <w:tab w:val="right" w:pos="10511" w:leader="dot"/>
            </w:tabs>
            <w:rPr/>
          </w:pPr>
          <w:hyperlink w:anchor="__RefHeading___Toc26906_3532355311">
            <w:r>
              <w:rPr>
                <w:webHidden/>
                <w:rStyle w:val="IndexLink"/>
              </w:rPr>
              <w:t>1.2 The Case, in Brief</w:t>
              <w:tab/>
              <w:t>5</w:t>
            </w:r>
          </w:hyperlink>
        </w:p>
        <w:p>
          <w:pPr>
            <w:pStyle w:val="TOC3"/>
            <w:tabs>
              <w:tab w:val="clear" w:pos="9945"/>
              <w:tab w:val="right" w:pos="10511" w:leader="dot"/>
            </w:tabs>
            <w:rPr/>
          </w:pPr>
          <w:hyperlink w:anchor="__RefHeading___Toc26908_3532355311">
            <w:r>
              <w:rPr>
                <w:webHidden/>
                <w:rStyle w:val="IndexLink"/>
              </w:rPr>
              <w:t>1.3 What This Guide Proves, Concretely</w:t>
              <w:tab/>
              <w:t>6</w:t>
            </w:r>
          </w:hyperlink>
        </w:p>
        <w:p>
          <w:pPr>
            <w:pStyle w:val="TOC2"/>
            <w:tabs>
              <w:tab w:val="clear" w:pos="10229"/>
              <w:tab w:val="right" w:pos="10511" w:leader="dot"/>
            </w:tabs>
            <w:rPr/>
          </w:pPr>
          <w:hyperlink w:anchor="__RefHeading___Toc26910_3532355311">
            <w:r>
              <w:rPr>
                <w:webHidden/>
                <w:rStyle w:val="IndexLink"/>
              </w:rPr>
              <w:t>Part 2 — The Four Frameworks and What Is Specific to Training &amp; Skills</w:t>
              <w:tab/>
              <w:t>6</w:t>
            </w:r>
          </w:hyperlink>
        </w:p>
        <w:p>
          <w:pPr>
            <w:pStyle w:val="TOC3"/>
            <w:tabs>
              <w:tab w:val="clear" w:pos="9945"/>
              <w:tab w:val="right" w:pos="10511" w:leader="dot"/>
            </w:tabs>
            <w:rPr/>
          </w:pPr>
          <w:hyperlink w:anchor="__RefHeading___Toc26912_3532355311">
            <w:r>
              <w:rPr>
                <w:webHidden/>
                <w:rStyle w:val="IndexLink"/>
              </w:rPr>
              <w:t>2.1 journi’s Four Frameworks, in Their Real Stage Vocabulary</w:t>
              <w:tab/>
              <w:t>6</w:t>
            </w:r>
          </w:hyperlink>
        </w:p>
        <w:p>
          <w:pPr>
            <w:pStyle w:val="TOC3"/>
            <w:tabs>
              <w:tab w:val="clear" w:pos="9945"/>
              <w:tab w:val="right" w:pos="10511" w:leader="dot"/>
            </w:tabs>
            <w:rPr/>
          </w:pPr>
          <w:hyperlink w:anchor="__RefHeading___Toc26914_3532355311">
            <w:r>
              <w:rPr>
                <w:webHidden/>
                <w:rStyle w:val="IndexLink"/>
              </w:rPr>
              <w:t>2.2 Why the Weighting Is Different for Training &amp; Skills</w:t>
              <w:tab/>
              <w:t>6</w:t>
            </w:r>
          </w:hyperlink>
        </w:p>
        <w:p>
          <w:pPr>
            <w:pStyle w:val="TOC3"/>
            <w:tabs>
              <w:tab w:val="clear" w:pos="9945"/>
              <w:tab w:val="right" w:pos="10511" w:leader="dot"/>
            </w:tabs>
            <w:rPr/>
          </w:pPr>
          <w:hyperlink w:anchor="__RefHeading___Toc26916_3532355311">
            <w:r>
              <w:rPr>
                <w:webHidden/>
                <w:rStyle w:val="IndexLink"/>
              </w:rPr>
              <w:t>2.3 The Composite Readiness Index and Benchmarking, Read for This Case</w:t>
              <w:tab/>
              <w:t>7</w:t>
            </w:r>
          </w:hyperlink>
        </w:p>
        <w:p>
          <w:pPr>
            <w:pStyle w:val="TOC2"/>
            <w:tabs>
              <w:tab w:val="clear" w:pos="10229"/>
              <w:tab w:val="right" w:pos="10511" w:leader="dot"/>
            </w:tabs>
            <w:rPr/>
          </w:pPr>
          <w:hyperlink w:anchor="__RefHeading___Toc26918_3532355311">
            <w:r>
              <w:rPr>
                <w:webHidden/>
                <w:rStyle w:val="IndexLink"/>
              </w:rPr>
              <w:t>Part 3 — Tenant and Admin Setup</w:t>
              <w:tab/>
              <w:t>7</w:t>
            </w:r>
          </w:hyperlink>
        </w:p>
        <w:p>
          <w:pPr>
            <w:pStyle w:val="TOC3"/>
            <w:tabs>
              <w:tab w:val="clear" w:pos="9945"/>
              <w:tab w:val="right" w:pos="10511" w:leader="dot"/>
            </w:tabs>
            <w:rPr/>
          </w:pPr>
          <w:hyperlink w:anchor="__RefHeading___Toc26920_3532355311">
            <w:r>
              <w:rPr>
                <w:webHidden/>
                <w:rStyle w:val="IndexLink"/>
              </w:rPr>
              <w:t>3.1 The Existing Tenant: Bouregreg Group</w:t>
              <w:tab/>
              <w:t>7</w:t>
            </w:r>
          </w:hyperlink>
        </w:p>
        <w:p>
          <w:pPr>
            <w:pStyle w:val="TOC3"/>
            <w:tabs>
              <w:tab w:val="clear" w:pos="9945"/>
              <w:tab w:val="right" w:pos="10511" w:leader="dot"/>
            </w:tabs>
            <w:rPr/>
          </w:pPr>
          <w:hyperlink w:anchor="__RefHeading___Toc26922_3532355311">
            <w:r>
              <w:rPr>
                <w:webHidden/>
                <w:rStyle w:val="IndexLink"/>
              </w:rPr>
              <w:t>3.2 Step 1 — Onboarding the Skills Program Team (M2)</w:t>
              <w:tab/>
              <w:t>7</w:t>
            </w:r>
          </w:hyperlink>
        </w:p>
        <w:p>
          <w:pPr>
            <w:pStyle w:val="TOC3"/>
            <w:tabs>
              <w:tab w:val="clear" w:pos="9945"/>
              <w:tab w:val="right" w:pos="10511" w:leader="dot"/>
            </w:tabs>
            <w:rPr/>
          </w:pPr>
          <w:hyperlink w:anchor="__RefHeading___Toc26924_3532355311">
            <w:r>
              <w:rPr>
                <w:webHidden/>
                <w:rStyle w:val="IndexLink"/>
              </w:rPr>
              <w:t>3.3 Step 2 — Creating the CM Project (M1)</w:t>
              <w:tab/>
              <w:t>8</w:t>
            </w:r>
          </w:hyperlink>
        </w:p>
        <w:p>
          <w:pPr>
            <w:pStyle w:val="TOC3"/>
            <w:tabs>
              <w:tab w:val="clear" w:pos="9945"/>
              <w:tab w:val="right" w:pos="10511" w:leader="dot"/>
            </w:tabs>
            <w:rPr/>
          </w:pPr>
          <w:hyperlink w:anchor="__RefHeading___Toc26926_3532355311">
            <w:r>
              <w:rPr>
                <w:webHidden/>
                <w:rStyle w:val="IndexLink"/>
              </w:rPr>
              <w:t>3.4 Step 3 — Governance (M2)</w:t>
              <w:tab/>
              <w:t>8</w:t>
            </w:r>
          </w:hyperlink>
        </w:p>
        <w:p>
          <w:pPr>
            <w:pStyle w:val="TOC3"/>
            <w:tabs>
              <w:tab w:val="clear" w:pos="9945"/>
              <w:tab w:val="right" w:pos="10511" w:leader="dot"/>
            </w:tabs>
            <w:rPr/>
          </w:pPr>
          <w:hyperlink w:anchor="__RefHeading___Toc26928_3532355311">
            <w:r>
              <w:rPr>
                <w:webHidden/>
                <w:rStyle w:val="IndexLink"/>
              </w:rPr>
              <w:t>3.5 Step 4 — Charters for This Program (M19)</w:t>
              <w:tab/>
              <w:t>8</w:t>
            </w:r>
          </w:hyperlink>
        </w:p>
        <w:p>
          <w:pPr>
            <w:pStyle w:val="TOC3"/>
            <w:tabs>
              <w:tab w:val="clear" w:pos="9945"/>
              <w:tab w:val="right" w:pos="10511" w:leader="dot"/>
            </w:tabs>
            <w:rPr/>
          </w:pPr>
          <w:hyperlink w:anchor="__RefHeading___Toc26930_3532355311">
            <w:r>
              <w:rPr>
                <w:webHidden/>
                <w:rStyle w:val="IndexLink"/>
              </w:rPr>
              <w:t>3.6 Setup Checklist</w:t>
              <w:tab/>
              <w:t>8</w:t>
            </w:r>
          </w:hyperlink>
        </w:p>
        <w:p>
          <w:pPr>
            <w:pStyle w:val="TOC2"/>
            <w:tabs>
              <w:tab w:val="clear" w:pos="10229"/>
              <w:tab w:val="right" w:pos="10511" w:leader="dot"/>
            </w:tabs>
            <w:rPr/>
          </w:pPr>
          <w:hyperlink w:anchor="__RefHeading___Toc26932_3532355311">
            <w:r>
              <w:rPr>
                <w:webHidden/>
                <w:rStyle w:val="IndexLink"/>
              </w:rPr>
              <w:t>Part 4 — Week-by-Week Skills Timeline: Normal Flow and Exceptions</w:t>
              <w:tab/>
              <w:t>9</w:t>
            </w:r>
          </w:hyperlink>
        </w:p>
        <w:p>
          <w:pPr>
            <w:pStyle w:val="TOC3"/>
            <w:tabs>
              <w:tab w:val="clear" w:pos="9945"/>
              <w:tab w:val="right" w:pos="10511" w:leader="dot"/>
            </w:tabs>
            <w:rPr/>
          </w:pPr>
          <w:hyperlink w:anchor="__RefHeading___Toc26934_3532355311">
            <w:r>
              <w:rPr>
                <w:webHidden/>
                <w:rStyle w:val="IndexLink"/>
              </w:rPr>
              <w:t>4.1 Normal Flow, Phase by Phase</w:t>
              <w:tab/>
              <w:t>9</w:t>
            </w:r>
          </w:hyperlink>
        </w:p>
        <w:p>
          <w:pPr>
            <w:pStyle w:val="TOC3"/>
            <w:tabs>
              <w:tab w:val="clear" w:pos="9945"/>
              <w:tab w:val="right" w:pos="10511" w:leader="dot"/>
            </w:tabs>
            <w:rPr/>
          </w:pPr>
          <w:hyperlink w:anchor="__RefHeading___Toc26936_3532355311">
            <w:r>
              <w:rPr>
                <w:webHidden/>
                <w:rStyle w:val="IndexLink"/>
              </w:rPr>
              <w:t>4.2 Master WBS &amp; Gantt — Every Task and Step, PM and CM Tracks, Across the Four Frameworks</w:t>
              <w:tab/>
              <w:t>20</w:t>
            </w:r>
          </w:hyperlink>
        </w:p>
        <w:p>
          <w:pPr>
            <w:pStyle w:val="TOC3"/>
            <w:tabs>
              <w:tab w:val="clear" w:pos="9945"/>
              <w:tab w:val="right" w:pos="10511" w:leader="dot"/>
            </w:tabs>
            <w:rPr/>
          </w:pPr>
          <w:hyperlink w:anchor="__RefHeading___Toc26938_3532355311">
            <w:r>
              <w:rPr>
                <w:webHidden/>
                <w:rStyle w:val="IndexLink"/>
              </w:rPr>
              <w:t>4.3 Master WBS &amp; Gantt — Every Task and Step, Techniques and Tools</w:t>
              <w:tab/>
              <w:t>21</w:t>
            </w:r>
          </w:hyperlink>
        </w:p>
        <w:p>
          <w:pPr>
            <w:pStyle w:val="TOC3"/>
            <w:tabs>
              <w:tab w:val="clear" w:pos="9945"/>
              <w:tab w:val="right" w:pos="10511" w:leader="dot"/>
            </w:tabs>
            <w:rPr/>
          </w:pPr>
          <w:hyperlink w:anchor="__RefHeading___Toc26940_3532355311">
            <w:r>
              <w:rPr>
                <w:webHidden/>
                <w:rStyle w:val="IndexLink"/>
              </w:rPr>
              <w:t>4.4 Six Contingency Patterns, in Detail</w:t>
              <w:tab/>
              <w:t>24</w:t>
            </w:r>
          </w:hyperlink>
        </w:p>
        <w:p>
          <w:pPr>
            <w:pStyle w:val="TOC2"/>
            <w:tabs>
              <w:tab w:val="clear" w:pos="10229"/>
              <w:tab w:val="right" w:pos="10511" w:leader="dot"/>
            </w:tabs>
            <w:rPr/>
          </w:pPr>
          <w:hyperlink w:anchor="__RefHeading___Toc26942_3532355311">
            <w:r>
              <w:rPr>
                <w:webHidden/>
                <w:rStyle w:val="IndexLink"/>
              </w:rPr>
              <w:t>Part 5 — Curriculum Reference: The Full Course Catalog by Tier</w:t>
              <w:tab/>
              <w:t>28</w:t>
            </w:r>
          </w:hyperlink>
        </w:p>
        <w:p>
          <w:pPr>
            <w:pStyle w:val="TOC3"/>
            <w:tabs>
              <w:tab w:val="clear" w:pos="9945"/>
              <w:tab w:val="right" w:pos="10511" w:leader="dot"/>
            </w:tabs>
            <w:rPr/>
          </w:pPr>
          <w:hyperlink w:anchor="__RefHeading___Toc26944_3532355311">
            <w:r>
              <w:rPr>
                <w:webHidden/>
                <w:rStyle w:val="IndexLink"/>
              </w:rPr>
              <w:t>5.1 What This Reference Covers</w:t>
              <w:tab/>
              <w:t>28</w:t>
            </w:r>
          </w:hyperlink>
        </w:p>
        <w:p>
          <w:pPr>
            <w:pStyle w:val="TOC3"/>
            <w:tabs>
              <w:tab w:val="clear" w:pos="9945"/>
              <w:tab w:val="right" w:pos="10511" w:leader="dot"/>
            </w:tabs>
            <w:rPr/>
          </w:pPr>
          <w:hyperlink w:anchor="__RefHeading___Toc26946_3532355311">
            <w:r>
              <w:rPr>
                <w:webHidden/>
                <w:rStyle w:val="IndexLink"/>
              </w:rPr>
              <w:t>5.2 Tier 1 — Strategic Management</w:t>
              <w:tab/>
              <w:t>28</w:t>
            </w:r>
          </w:hyperlink>
        </w:p>
        <w:p>
          <w:pPr>
            <w:pStyle w:val="TOC3"/>
            <w:tabs>
              <w:tab w:val="clear" w:pos="9945"/>
              <w:tab w:val="right" w:pos="10511" w:leader="dot"/>
            </w:tabs>
            <w:rPr/>
          </w:pPr>
          <w:hyperlink w:anchor="__RefHeading___Toc26948_3532355311">
            <w:r>
              <w:rPr>
                <w:webHidden/>
                <w:rStyle w:val="IndexLink"/>
              </w:rPr>
              <w:t>5.3 Tier 2 — Operational Management</w:t>
              <w:tab/>
              <w:t>28</w:t>
            </w:r>
          </w:hyperlink>
        </w:p>
        <w:p>
          <w:pPr>
            <w:pStyle w:val="TOC3"/>
            <w:tabs>
              <w:tab w:val="clear" w:pos="9945"/>
              <w:tab w:val="right" w:pos="10511" w:leader="dot"/>
            </w:tabs>
            <w:rPr/>
          </w:pPr>
          <w:hyperlink w:anchor="__RefHeading___Toc26950_3532355311">
            <w:r>
              <w:rPr>
                <w:webHidden/>
                <w:rStyle w:val="IndexLink"/>
              </w:rPr>
              <w:t>5.4 Tier 3 — Operations (Frontline)</w:t>
              <w:tab/>
              <w:t>29</w:t>
            </w:r>
          </w:hyperlink>
        </w:p>
        <w:p>
          <w:pPr>
            <w:pStyle w:val="TOC3"/>
            <w:tabs>
              <w:tab w:val="clear" w:pos="9945"/>
              <w:tab w:val="right" w:pos="10511" w:leader="dot"/>
            </w:tabs>
            <w:rPr/>
          </w:pPr>
          <w:hyperlink w:anchor="__RefHeading___Toc26952_3532355311">
            <w:r>
              <w:rPr>
                <w:webHidden/>
                <w:rStyle w:val="IndexLink"/>
              </w:rPr>
              <w:t>5.5 Why a Course Catalog, Not a Persuasion Curriculum, Closes This Guide</w:t>
              <w:tab/>
              <w:t>29</w:t>
            </w:r>
          </w:hyperlink>
          <w:r>
            <w:rPr>
              <w:rStyle w:val="IndexLink"/>
            </w:rPr>
            <w:fldChar w:fldCharType="end"/>
          </w:r>
        </w:p>
      </w:sdtContent>
    </w:sdt>
    <w:p>
      <w:pPr>
        <w:pStyle w:val="Normal"/>
        <w:rPr/>
      </w:pPr>
      <w:r>
        <w:rPr/>
      </w:r>
      <w:r>
        <w:br w:type="page"/>
      </w:r>
    </w:p>
    <w:p>
      <w:pPr>
        <w:pStyle w:val="Heading2"/>
        <w:spacing w:before="0" w:after="0"/>
        <w:rPr/>
      </w:pPr>
      <w:bookmarkStart w:id="0" w:name="__RefHeading___Toc26890_3532355311"/>
      <w:bookmarkStart w:id="1" w:name="part-0-purpose-and-how-to-use-this-guide"/>
      <w:bookmarkEnd w:id="0"/>
      <w:r>
        <w:rPr>
          <w:b/>
          <w:color w:val="1F4B45"/>
          <w:sz w:val="38"/>
        </w:rPr>
        <w:t>Part 0 — Purpose and How to Use This Guide</w:t>
      </w:r>
    </w:p>
    <w:p>
      <w:pPr>
        <w:pStyle w:val="Heading3"/>
        <w:rPr/>
      </w:pPr>
      <w:bookmarkStart w:id="2" w:name="__RefHeading___Toc26892_3532355311"/>
      <w:bookmarkStart w:id="3" w:name="what-this-guide-is"/>
      <w:bookmarkEnd w:id="2"/>
      <w:r>
        <w:rPr>
          <w:b/>
          <w:color w:val="275650"/>
          <w:sz w:val="29"/>
        </w:rPr>
        <w:t>What this guide is</w:t>
      </w:r>
    </w:p>
    <w:p>
      <w:pPr>
        <w:pStyle w:val="FirstParagraph"/>
        <w:rPr/>
      </w:pPr>
      <w:r>
        <w:rPr>
          <w:sz w:val="22"/>
        </w:rPr>
        <w:t xml:space="preserve">This guide is a single, focused companion to journi’s Training &amp; Skills Development transformation archetype, following </w:t>
      </w:r>
      <w:r>
        <w:rPr>
          <w:b/>
          <w:bCs/>
          <w:sz w:val="22"/>
        </w:rPr>
        <w:t>Plant Digital Skills Upskilling Program</w:t>
      </w:r>
      <w:r>
        <w:rPr>
          <w:sz w:val="22"/>
        </w:rPr>
        <w:t xml:space="preserve"> — Bouregreg Group’s standalone digital-literacy and systems-skills program for plant-floor staff at Kenitra and Settat — from CM Project creation through skills sustainment, week by week. It is the guide in this series where training is not a supporting track running alongside another program’s own milestones; training </w:t>
      </w:r>
      <w:r>
        <w:rPr>
          <w:b/>
          <w:bCs/>
          <w:sz w:val="22"/>
        </w:rPr>
        <w:t>is</w:t>
      </w:r>
      <w:r>
        <w:rPr>
          <w:sz w:val="22"/>
        </w:rPr>
        <w:t xml:space="preserve"> the program, and every phase in Part 4 is itself a step in building, delivering, verifying, and locking in a skill, not a parallel activity to a go-live somewhere else.</w:t>
      </w:r>
    </w:p>
    <w:p>
      <w:pPr>
        <w:pStyle w:val="BodyText"/>
        <w:rPr/>
      </w:pPr>
      <w:bookmarkStart w:id="4" w:name="what-this-guide-is"/>
      <w:r>
        <w:rPr>
          <w:sz w:val="22"/>
        </w:rPr>
        <w:t>It is organized in six parts: Part 0 (this part), Part 1 (Executive Summary), Part 2 (The Four Frameworks and What Is Specific to Training &amp; Skills), Part 3 (Tenant and Admin Setup), Part 4 (Week-by-Week Skills Timeline: Normal Flow and Exceptions, including two Master WBS &amp; Gantt views), and Part 5 (Curriculum Reference: The Full Course Catalog by Tier).</w:t>
      </w:r>
      <w:bookmarkEnd w:id="4"/>
    </w:p>
    <w:p>
      <w:pPr>
        <w:pStyle w:val="Heading3"/>
        <w:rPr/>
      </w:pPr>
      <w:bookmarkStart w:id="5" w:name="__RefHeading___Toc26894_3532355311"/>
      <w:bookmarkStart w:id="6" w:name="how-to-use-it"/>
      <w:bookmarkEnd w:id="5"/>
      <w:r>
        <w:rPr>
          <w:b/>
          <w:color w:val="275650"/>
          <w:sz w:val="29"/>
        </w:rPr>
        <w:t>How to use it</w:t>
      </w:r>
    </w:p>
    <w:p>
      <w:pPr>
        <w:pStyle w:val="FirstParagraph"/>
        <w:rPr/>
      </w:pPr>
      <w:bookmarkStart w:id="7" w:name="how-to-use-it"/>
      <w:r>
        <w:rPr>
          <w:sz w:val="22"/>
        </w:rPr>
        <w:t>This guide’s Bouregreg Group tenant is the same one journi’s Master User Guide builds, and the same one this series’ other archetype guides extend. A reader with the tenant already set up skips to Part 3, Section 3.2.</w:t>
      </w:r>
      <w:bookmarkEnd w:id="7"/>
    </w:p>
    <w:p>
      <w:pPr>
        <w:pStyle w:val="Heading3"/>
        <w:rPr/>
      </w:pPr>
      <w:bookmarkStart w:id="8" w:name="__RefHeading___Toc26896_3532355311"/>
      <w:bookmarkStart w:id="9" w:name="a-note-on-fidelity"/>
      <w:bookmarkEnd w:id="8"/>
      <w:r>
        <w:rPr>
          <w:b/>
          <w:color w:val="275650"/>
          <w:sz w:val="29"/>
        </w:rPr>
        <w:t>A note on fidelity</w:t>
      </w:r>
    </w:p>
    <w:p>
      <w:pPr>
        <w:pStyle w:val="FirstParagraph"/>
        <w:rPr/>
      </w:pPr>
      <w:bookmarkStart w:id="10" w:name="a-note-on-fidelity"/>
      <w:r>
        <w:rPr>
          <w:sz w:val="22"/>
        </w:rPr>
        <w:t>Every journi module, field, and role named in this guide is verified against journi’s actual source. Plant Digital Skills Upskilling Program is journi’s own stated case with no alerts in its real record — not because the program is trivial, but because it runs independent of any single go-live event, and none of journi’s 9 live alert conditions are built around a standalone skills program the way they are around a system cutover or a resistance-log threshold. This guide states that plainly, the same way the Automation and Compliance archetype guides in this series state their own clean records, rather than manufacture alerts that would not actually fire.</w:t>
      </w:r>
      <w:bookmarkEnd w:id="10"/>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64" w:right="864" w:gutter="0" w:header="720" w:top="1008" w:footer="720" w:bottom="1008"/>
          <w:pgNumType w:fmt="decimal"/>
          <w:formProt w:val="false"/>
          <w:textDirection w:val="lrTb"/>
          <w:docGrid w:type="default" w:linePitch="100" w:charSpace="0"/>
        </w:sectPr>
        <w:pStyle w:val="Heading3"/>
        <w:rPr/>
      </w:pPr>
      <w:bookmarkStart w:id="11" w:name="__RefHeading___Toc26898_3532355311"/>
      <w:bookmarkStart w:id="12" w:name="X14c73c2752e550dc7bd4181aa8c52a44f6ae1ff"/>
      <w:bookmarkEnd w:id="11"/>
      <w:r>
        <w:rPr>
          <w:b/>
          <w:color w:val="275650"/>
          <w:sz w:val="29"/>
        </w:rPr>
        <w:t>A note on the RACSI codes used throughout</w:t>
      </w:r>
    </w:p>
    <w:p>
      <w:pPr>
        <w:pStyle w:val="FirstParagraph"/>
        <w:rPr/>
      </w:pPr>
      <w:r>
        <w:rPr>
          <w:sz w:val="22"/>
        </w:rPr>
        <w:t xml:space="preserve">Part 4’s RACSI tables use journi’s 7-code RACSI role taxonomy (ES/CM/PM/FPO/ITL/SUP/EU), distinct from the 9-role platform RBAC enum Part 3 uses for journi user accounts. </w:t>
      </w:r>
      <w:r>
        <w:rPr>
          <w:b/>
          <w:bCs/>
          <w:sz w:val="22"/>
        </w:rPr>
        <w:t>ES</w:t>
      </w:r>
      <w:r>
        <w:rPr>
          <w:sz w:val="22"/>
        </w:rPr>
        <w:t xml:space="preserve"> = Executive Sponsor, </w:t>
      </w:r>
      <w:r>
        <w:rPr>
          <w:b/>
          <w:bCs/>
          <w:sz w:val="22"/>
        </w:rPr>
        <w:t>CM</w:t>
      </w:r>
      <w:r>
        <w:rPr>
          <w:sz w:val="22"/>
        </w:rPr>
        <w:t xml:space="preserve"> = Change Manager, </w:t>
      </w:r>
      <w:r>
        <w:rPr>
          <w:b/>
          <w:bCs/>
          <w:sz w:val="22"/>
        </w:rPr>
        <w:t>PM</w:t>
      </w:r>
      <w:r>
        <w:rPr>
          <w:sz w:val="22"/>
        </w:rPr>
        <w:t xml:space="preserve"> = Program/Project Manager, </w:t>
      </w:r>
      <w:r>
        <w:rPr>
          <w:b/>
          <w:bCs/>
          <w:sz w:val="22"/>
        </w:rPr>
        <w:t>FPO</w:t>
      </w:r>
      <w:r>
        <w:rPr>
          <w:sz w:val="22"/>
        </w:rPr>
        <w:t xml:space="preserve"> = Functional Process Owner, </w:t>
      </w:r>
      <w:r>
        <w:rPr>
          <w:b/>
          <w:bCs/>
          <w:sz w:val="22"/>
        </w:rPr>
        <w:t>ITL</w:t>
      </w:r>
      <w:r>
        <w:rPr>
          <w:sz w:val="22"/>
        </w:rPr>
        <w:t xml:space="preserve"> = IT/Technical Lead, </w:t>
      </w:r>
      <w:r>
        <w:rPr>
          <w:b/>
          <w:bCs/>
          <w:sz w:val="22"/>
        </w:rPr>
        <w:t>SUP</w:t>
      </w:r>
      <w:r>
        <w:rPr>
          <w:sz w:val="22"/>
        </w:rPr>
        <w:t xml:space="preserve"> = Supervisor, </w:t>
      </w:r>
      <w:r>
        <w:rPr>
          <w:b/>
          <w:bCs/>
          <w:sz w:val="22"/>
        </w:rPr>
        <w:t>EU</w:t>
      </w:r>
      <w:r>
        <w:rPr>
          <w:sz w:val="22"/>
        </w:rPr>
        <w:t xml:space="preserve"> = End User.</w:t>
      </w:r>
      <w:bookmarkEnd w:id="12"/>
    </w:p>
    <w:p>
      <w:pPr>
        <w:pStyle w:val="Heading3"/>
        <w:rPr/>
      </w:pPr>
      <w:bookmarkStart w:id="13" w:name="__RefHeading___Toc26900_3532355311"/>
      <w:bookmarkStart w:id="14" w:name="reading-paths-by-role"/>
      <w:bookmarkEnd w:id="13"/>
      <w:r>
        <w:rPr>
          <w:b/>
          <w:color w:val="275650"/>
          <w:sz w:val="29"/>
        </w:rPr>
        <w:t>Reading paths, by role</w:t>
      </w:r>
    </w:p>
    <w:p>
      <w:pPr>
        <w:pStyle w:val="Compact"/>
        <w:numPr>
          <w:ilvl w:val="0"/>
          <w:numId w:val="1"/>
        </w:numPr>
        <w:rPr/>
      </w:pPr>
      <w:r>
        <w:rPr>
          <w:b/>
          <w:bCs/>
          <w:sz w:val="22"/>
        </w:rPr>
        <w:t>A Change Manager running this program day to day:</w:t>
      </w:r>
      <w:r>
        <w:rPr>
          <w:sz w:val="22"/>
        </w:rPr>
        <w:t xml:space="preserve"> Part 2 once, then Part 4 in full.</w:t>
      </w:r>
    </w:p>
    <w:p>
      <w:pPr>
        <w:pStyle w:val="Compact"/>
        <w:numPr>
          <w:ilvl w:val="0"/>
          <w:numId w:val="1"/>
        </w:numPr>
        <w:rPr/>
      </w:pPr>
      <w:r>
        <w:rPr>
          <w:b/>
          <w:bCs/>
          <w:sz w:val="22"/>
        </w:rPr>
        <w:t>A Program/Project Manager:</w:t>
      </w:r>
      <w:r>
        <w:rPr>
          <w:sz w:val="22"/>
        </w:rPr>
        <w:t xml:space="preserve"> Part 4’s PM Track column and the Master WBS &amp; Gantt (Sections 4.2–4.3).</w:t>
      </w:r>
    </w:p>
    <w:p>
      <w:pPr>
        <w:pStyle w:val="Compact"/>
        <w:numPr>
          <w:ilvl w:val="0"/>
          <w:numId w:val="1"/>
        </w:numPr>
        <w:rPr/>
      </w:pPr>
      <w:r>
        <w:rPr>
          <w:b/>
          <w:bCs/>
          <w:sz w:val="22"/>
        </w:rPr>
        <w:t>An Executive Sponsor:</w:t>
      </w:r>
      <w:r>
        <w:rPr>
          <w:sz w:val="22"/>
        </w:rPr>
        <w:t xml:space="preserve"> Part 1, then Part 4’s phase-opening narratives.</w:t>
      </w:r>
    </w:p>
    <w:p>
      <w:pPr>
        <w:pStyle w:val="Compact"/>
        <w:numPr>
          <w:ilvl w:val="0"/>
          <w:numId w:val="1"/>
        </w:numPr>
        <w:rPr/>
      </w:pPr>
      <w:r>
        <w:rPr>
          <w:b/>
          <w:bCs/>
          <w:sz w:val="22"/>
        </w:rPr>
        <w:t>A Super Admin or Org Admin:</w:t>
      </w:r>
      <w:r>
        <w:rPr>
          <w:sz w:val="22"/>
        </w:rPr>
        <w:t xml:space="preserve"> Part 3.</w:t>
      </w:r>
      <w:bookmarkEnd w:id="1"/>
      <w:bookmarkEnd w:id="14"/>
    </w:p>
    <w:p>
      <w:pPr>
        <w:pStyle w:val="Heading2"/>
        <w:rPr/>
      </w:pPr>
      <w:bookmarkStart w:id="15" w:name="__RefHeading___Toc26902_3532355311"/>
      <w:bookmarkStart w:id="16" w:name="part-1-executive-summary"/>
      <w:bookmarkEnd w:id="15"/>
      <w:r>
        <w:rPr>
          <w:b/>
          <w:color w:val="1F4B45"/>
          <w:sz w:val="38"/>
        </w:rPr>
        <w:t>Part 1 — Executive Summary</w:t>
      </w:r>
    </w:p>
    <w:p>
      <w:pPr>
        <w:pStyle w:val="Heading3"/>
        <w:rPr/>
      </w:pPr>
      <w:bookmarkStart w:id="17" w:name="__RefHeading___Toc26904_3532355311"/>
      <w:bookmarkStart w:id="18" w:name="Xc5659c08f65e69aeb04b2e1793bd43458b67c1c"/>
      <w:bookmarkEnd w:id="17"/>
      <w:r>
        <w:rPr>
          <w:b/>
          <w:color w:val="275650"/>
          <w:sz w:val="29"/>
        </w:rPr>
        <w:t>1.1 Why This Case Matters: Training Is the Program, Not a Track Beside It</w:t>
      </w:r>
    </w:p>
    <w:p>
      <w:pPr>
        <w:pStyle w:val="FirstParagraph"/>
        <w:rPr/>
      </w:pPr>
      <w:r>
        <w:rPr>
          <w:sz w:val="22"/>
        </w:rPr>
        <w:t>Every other guide in this series treats training as MP-05 — a track that runs alongside a redesign, a rollout, or a compliance deadline, closing when the surrounding program’s own milestone closes. This case has no surrounding program. There is no system cutover, no process redesign, and no regulatory deadline driving its schedule — the schedule is the curriculum’s own, built around what it actually takes for 620 plant-floor staff at two sites to acquire, apply, and retain a durable digital skill. That difference reshapes Part 4 itself: where this series’ other guides show training rows inside a phase table built around some other milestone, this guide’s seven phases are all directly about skill — diagnosis, design, delivery, verification, application, coaching, and sustainment — with nothing else to anchor to.</w:t>
      </w:r>
    </w:p>
    <w:p>
      <w:pPr>
        <w:pStyle w:val="BodyText"/>
        <w:rPr/>
      </w:pPr>
      <w:r>
        <w:rPr>
          <w:sz w:val="22"/>
        </w:rPr>
        <w:t>Three facts drive this case’s specific shape:</w:t>
      </w:r>
    </w:p>
    <w:p>
      <w:pPr>
        <w:pStyle w:val="Compact"/>
        <w:numPr>
          <w:ilvl w:val="0"/>
          <w:numId w:val="8"/>
        </w:numPr>
        <w:rPr/>
      </w:pPr>
      <w:r>
        <w:rPr>
          <w:b/>
          <w:bCs/>
          <w:sz w:val="22"/>
        </w:rPr>
        <w:t>The business driver was identified independently of the ERP program</w:t>
      </w:r>
      <w:r>
        <w:rPr>
          <w:sz w:val="22"/>
        </w:rPr>
        <w:t>, then accelerated once the ERP program made the underlying skills gap visible — a realistic origin story this guide states plainly rather than invent a false urgency.</w:t>
      </w:r>
    </w:p>
    <w:p>
      <w:pPr>
        <w:pStyle w:val="Compact"/>
        <w:numPr>
          <w:ilvl w:val="0"/>
          <w:numId w:val="9"/>
        </w:numPr>
        <w:rPr/>
      </w:pPr>
      <w:r>
        <w:rPr>
          <w:b/>
          <w:bCs/>
          <w:sz w:val="22"/>
        </w:rPr>
        <w:t>Deployment is deliberately staggered a month behind the ERP program’s own Train phase</w:t>
      </w:r>
      <w:r>
        <w:rPr>
          <w:sz w:val="22"/>
        </w:rPr>
        <w:t>, so the two curricula never compete for the same plant-floor hours — the same population-overlap discipline Section 1.3 of the Master User Guide’s portfolio view names directly.</w:t>
      </w:r>
    </w:p>
    <w:p>
      <w:pPr>
        <w:pStyle w:val="Compact"/>
        <w:numPr>
          <w:ilvl w:val="0"/>
          <w:numId w:val="10"/>
        </w:numPr>
        <w:rPr/>
      </w:pPr>
      <w:r>
        <w:rPr>
          <w:b/>
          <w:bCs/>
          <w:sz w:val="22"/>
        </w:rPr>
        <w:t>This is the case that most exercises M9 (Training) and M16 (AI Use Case Library)</w:t>
      </w:r>
      <w:r>
        <w:rPr>
          <w:sz w:val="22"/>
        </w:rPr>
        <w:t xml:space="preserve"> in journi’s module library — M16’s AI-assisted curriculum drafting is a real, named step in Phase 2, not a background detail.</w:t>
      </w:r>
      <w:bookmarkEnd w:id="18"/>
    </w:p>
    <w:p>
      <w:pPr>
        <w:pStyle w:val="Heading3"/>
        <w:rPr/>
      </w:pPr>
      <w:bookmarkStart w:id="19" w:name="__RefHeading___Toc26906_3532355311"/>
      <w:bookmarkStart w:id="20" w:name="the-case-in-brief"/>
      <w:bookmarkEnd w:id="19"/>
      <w:r>
        <w:rPr>
          <w:b/>
          <w:color w:val="275650"/>
          <w:sz w:val="29"/>
        </w:rPr>
        <w:t>1.2 The Case, in Brief</w:t>
      </w:r>
    </w:p>
    <w:p>
      <w:pPr>
        <w:pStyle w:val="FirstParagraph"/>
        <w:rPr/>
      </w:pPr>
      <w:bookmarkStart w:id="21" w:name="the-case-in-brief"/>
      <w:r>
        <w:rPr>
          <w:sz w:val="22"/>
        </w:rPr>
        <w:t>Bouregreg Group builds a standalone digital-literacy and systems-skills program for 620 plant-floor staff without prior systems training, split across the Kenitra and Settat plants, preparing the workforce for the next several years of technology change generally rather than for one program’s own go-live. This 43-week program (Weeks 16–58 of Bouregreg Group’s own org calendar — this guide numbers its own weeks 1–43, each 15 weeks behind the org-calendar equivalent) runs from skills-gap diagnosis through a sustained, coached competency the population keeps using long after the program itself closes.</w:t>
      </w:r>
      <w:bookmarkEnd w:id="21"/>
    </w:p>
    <w:p>
      <w:pPr>
        <w:pStyle w:val="Heading3"/>
        <w:rPr/>
      </w:pPr>
      <w:bookmarkStart w:id="22" w:name="__RefHeading___Toc26908_3532355311"/>
      <w:bookmarkStart w:id="23" w:name="what-this-guide-proves-concretely"/>
      <w:bookmarkEnd w:id="22"/>
      <w:r>
        <w:rPr>
          <w:b/>
          <w:color w:val="275650"/>
          <w:sz w:val="29"/>
        </w:rPr>
        <w:t>1.3 What This Guide Proves, Concretely</w:t>
      </w:r>
    </w:p>
    <w:p>
      <w:pPr>
        <w:pStyle w:val="FirstParagraph"/>
        <w:rPr/>
      </w:pPr>
      <w:bookmarkStart w:id="24" w:name="part-1-executive-summary"/>
      <w:bookmarkStart w:id="25" w:name="what-this-guide-proves-concretely"/>
      <w:r>
        <w:rPr>
          <w:sz w:val="22"/>
        </w:rPr>
        <w:t>Every claim above is traceable to a real journi record this guide builds: an AI-assisted curriculum drafted and refined through M16, a pilot cohort’s validation before full two-plant deployment, a competency-verification record distinct from mere attendance, and a sustainment record showing skill retention measured, not assumed, months after delivery closed.</w:t>
      </w:r>
      <w:bookmarkEnd w:id="24"/>
      <w:bookmarkEnd w:id="25"/>
    </w:p>
    <w:p>
      <w:pPr>
        <w:pStyle w:val="Heading2"/>
        <w:rPr/>
      </w:pPr>
      <w:bookmarkStart w:id="26" w:name="__RefHeading___Toc26910_3532355311"/>
      <w:bookmarkStart w:id="27" w:name="X125780b806d19c79282b68124c1b6e94d345110"/>
      <w:bookmarkEnd w:id="26"/>
      <w:r>
        <w:rPr>
          <w:b/>
          <w:color w:val="1F4B45"/>
          <w:sz w:val="38"/>
        </w:rPr>
        <w:t>Part 2 — The Four Frameworks and What Is Specific to Training &amp; Skills</w:t>
      </w:r>
    </w:p>
    <w:p>
      <w:pPr>
        <w:pStyle w:val="Heading3"/>
        <w:rPr/>
      </w:pPr>
      <w:bookmarkStart w:id="28" w:name="__RefHeading___Toc26912_3532355311"/>
      <w:bookmarkEnd w:id="28"/>
      <w:r>
        <w:rPr>
          <w:b/>
          <w:color w:val="275650"/>
          <w:sz w:val="29"/>
        </w:rPr>
        <w:t>2.1 journi’s Four Frameworks, in Their Real Stage Vocabulary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27"/>
        <w:gridCol w:w="3528"/>
        <w:gridCol w:w="3528"/>
        <w:gridCol w:w="3528"/>
      </w:tblGrid>
      <w:tr>
        <w:trPr>
          <w:tblHeader w:val="true"/>
          <w:cantSplit w:val="true"/>
        </w:trPr>
        <w:tc>
          <w:tcPr>
            <w:tcW w:w="352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Framework</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Altitude</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Stages (in journi’s own UI, in order)</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Logged on</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 one reading per project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 → Change → Refreeze</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Prosci ADKAR</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five independently-scored blocks</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Desire → Knowledge → Ability → Reinforcement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Transition Model</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emotional position</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 Neutral Zone → New Beginning</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Kübler-Ross Change Curve</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sentiment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 Resistance/Anger → Exploration → Commitment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bookmarkStart w:id="29" w:name="Xf9388d334f39966b48f045236a5d077134e6061"/>
            <w:bookmarkEnd w:id="29"/>
          </w:p>
        </w:tc>
      </w:tr>
    </w:tbl>
    <w:p>
      <w:pPr>
        <w:pStyle w:val="Heading3"/>
        <w:rPr/>
      </w:pPr>
      <w:bookmarkStart w:id="30" w:name="__RefHeading___Toc26914_3532355311"/>
      <w:bookmarkEnd w:id="30"/>
      <w:r>
        <w:rPr>
          <w:b/>
          <w:color w:val="275650"/>
          <w:sz w:val="29"/>
        </w:rPr>
        <w:t>2.2 Why the Weighting Is Different for Training &amp; Skills</w:t>
      </w:r>
    </w:p>
    <w:p>
      <w:pPr>
        <w:pStyle w:val="Compact"/>
        <w:numPr>
          <w:ilvl w:val="0"/>
          <w:numId w:val="11"/>
        </w:numPr>
        <w:rPr/>
      </w:pPr>
      <w:r>
        <w:rPr>
          <w:b/>
          <w:bCs/>
          <w:sz w:val="22"/>
        </w:rPr>
        <w:t>Knowledge and Ability dominate the whole program, not just one phase.</w:t>
      </w:r>
      <w:r>
        <w:rPr>
          <w:sz w:val="22"/>
        </w:rPr>
        <w:t xml:space="preserve"> Unlike Compliance’s checkable-behavior training or the Cultural archetype’s persuasion-heavy curriculum, this program’s entire seven phases exist to move a population from not-knowing to durably able — Awareness and Desire matter far less here, because nobody is being asked to accept a change to how their own job is structured, only to gain a skill.</w:t>
      </w:r>
    </w:p>
    <w:p>
      <w:pPr>
        <w:pStyle w:val="Compact"/>
        <w:numPr>
          <w:ilvl w:val="0"/>
          <w:numId w:val="12"/>
        </w:numPr>
        <w:rPr/>
      </w:pPr>
      <w:r>
        <w:rPr>
          <w:b/>
          <w:bCs/>
          <w:sz w:val="22"/>
        </w:rPr>
        <w:t>Reinforcement is engineered by two dedicated phases, not left to chance.</w:t>
      </w:r>
      <w:r>
        <w:rPr>
          <w:sz w:val="22"/>
        </w:rPr>
        <w:t xml:space="preserve"> Practical Application and On-the-Job Coaching (Phases 5 and 6) exist specifically because skill decay, not resistance, is this archetype’s real risk — the deliberate design answer to the same problem the Operating Model guide’s Exception E1 shows happening by accident when reinforcement is left unplanned.</w:t>
      </w:r>
    </w:p>
    <w:p>
      <w:pPr>
        <w:pStyle w:val="Compact"/>
        <w:numPr>
          <w:ilvl w:val="0"/>
          <w:numId w:val="13"/>
        </w:numPr>
        <w:rPr/>
      </w:pPr>
      <w:r>
        <w:rPr>
          <w:b/>
          <w:bCs/>
          <w:sz w:val="22"/>
        </w:rPr>
        <w:t>MP-05 (Training &amp; Capability Enablement) is not a supporting track here — it is this program’s entire content.</w:t>
      </w:r>
      <w:r>
        <w:rPr>
          <w:sz w:val="22"/>
        </w:rPr>
        <w:t xml:space="preserve"> Per the E2E-TSD chain (MP-01→02→03→05→06→07→08→09→10), MP-05 and MP-06 (AI-assisted content generation) both run at full weight throughout, not as an add-on to some other MP.</w:t>
      </w:r>
    </w:p>
    <w:p>
      <w:pPr>
        <w:pStyle w:val="Compact"/>
        <w:numPr>
          <w:ilvl w:val="0"/>
          <w:numId w:val="14"/>
        </w:numPr>
        <w:rPr/>
      </w:pPr>
      <w:r>
        <w:rPr>
          <w:b/>
          <w:bCs/>
          <w:sz w:val="22"/>
        </w:rPr>
        <w:t>Lewin’s Refreeze has no go-live to anchor to.</w:t>
      </w:r>
      <w:r>
        <w:rPr>
          <w:sz w:val="22"/>
        </w:rPr>
        <w:t xml:space="preserve"> Every other guide in this series closes Refreeze against a cutover, a controls-go-live date, or a transition milestone owned by some other function. This program closes Refreeze against its own Phase 7 Skills Sustainment gate — the skill itself, verified as retained, is the only milestone this framework has to close against.</w:t>
      </w:r>
    </w:p>
    <w:p>
      <w:pPr>
        <w:pStyle w:val="Heading3"/>
        <w:rPr/>
      </w:pPr>
      <w:bookmarkStart w:id="31" w:name="__RefHeading___Toc26916_3532355311"/>
      <w:bookmarkStart w:id="32" w:name="Xb76089adb1c663877aebe90ebf6f1cee8dd0b39"/>
      <w:bookmarkEnd w:id="31"/>
      <w:r>
        <w:rPr>
          <w:b/>
          <w:color w:val="275650"/>
          <w:sz w:val="29"/>
        </w:rPr>
        <w:t>2.3 The Composite Readiness Index and Benchmarking, Read for This Case</w:t>
      </w:r>
    </w:p>
    <w:p>
      <w:pPr>
        <w:pStyle w:val="FirstParagraph"/>
        <w:rPr/>
      </w:pPr>
      <w:bookmarkStart w:id="33" w:name="X125780b806d19c79282b68124c1b6e94d345110"/>
      <w:bookmarkStart w:id="34" w:name="Xb76089adb1c663877aebe90ebf6f1cee8dd0b39"/>
      <w:r>
        <w:rPr>
          <w:sz w:val="22"/>
        </w:rPr>
        <w:t>This program’s Composite Readiness Index climbs steadily and predictably: Awareness and Knowledge move first during Curriculum Design and Training Delivery, Ability climbs sharply once hands-on delivery begins, and Reinforcement is the slowest-moving block by design, closing only after Practical Application and On-the-Job Coaching have both run their full course. Benchmarking reads “In Line” throughout, and — consistent with this guide’s honesty standard, the same one the Automation and Compliance guides in this series apply to their own records — no alert fires in this program’s real data, because none of journi’s 9 live alert conditions are built around a standalone skills program with no go-live and no resistance log of its own.</w:t>
      </w:r>
      <w:bookmarkEnd w:id="33"/>
      <w:bookmarkEnd w:id="34"/>
    </w:p>
    <w:p>
      <w:pPr>
        <w:pStyle w:val="Heading2"/>
        <w:rPr/>
      </w:pPr>
      <w:bookmarkStart w:id="35" w:name="__RefHeading___Toc26918_3532355311"/>
      <w:bookmarkStart w:id="36" w:name="part-3-tenant-and-admin-setup"/>
      <w:bookmarkEnd w:id="35"/>
      <w:r>
        <w:rPr>
          <w:b/>
          <w:color w:val="1F4B45"/>
          <w:sz w:val="38"/>
        </w:rPr>
        <w:t>Part 3 — Tenant and Admin Setup</w:t>
      </w:r>
    </w:p>
    <w:p>
      <w:pPr>
        <w:pStyle w:val="Heading3"/>
        <w:rPr/>
      </w:pPr>
      <w:bookmarkStart w:id="37" w:name="__RefHeading___Toc26920_3532355311"/>
      <w:bookmarkStart w:id="38" w:name="the-existing-tenant-bouregreg-group"/>
      <w:bookmarkEnd w:id="37"/>
      <w:r>
        <w:rPr>
          <w:b/>
          <w:color w:val="275650"/>
          <w:sz w:val="29"/>
        </w:rPr>
        <w:t>3.1 The Existing Tenant: Bouregreg Group</w:t>
      </w:r>
    </w:p>
    <w:p>
      <w:pPr>
        <w:pStyle w:val="FirstParagraph"/>
        <w:rPr/>
      </w:pPr>
      <w:bookmarkStart w:id="39" w:name="the-existing-tenant-bouregreg-group"/>
      <w:r>
        <w:rPr>
          <w:sz w:val="22"/>
        </w:rPr>
        <w:t>This program runs inside the same tenant journi’s Master User Guide builds, under the existing Bouregreg Manufacturing Maroc Organization. No new Organization is needed — the Kenitra and Settat plant floors already sit inside it.</w:t>
      </w:r>
      <w:bookmarkEnd w:id="39"/>
    </w:p>
    <w:p>
      <w:pPr>
        <w:pStyle w:val="Heading3"/>
        <w:rPr/>
      </w:pPr>
      <w:bookmarkStart w:id="40" w:name="__RefHeading___Toc26922_3532355311"/>
      <w:bookmarkEnd w:id="40"/>
      <w:r>
        <w:rPr>
          <w:b/>
          <w:color w:val="275650"/>
          <w:sz w:val="29"/>
        </w:rPr>
        <w:t>3.2 Step 1 — Onboarding the Skills Program Team (M2)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Role (RBAC)</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 type</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RACSI Code</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Notes</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Fouad Belghazi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Plant Digital Skills Upskilling Program </w:t>
            </w:r>
            <w:r>
              <w:rPr>
                <w:rFonts w:eastAsia="Cambria" w:cs=""/>
                <w:i/>
                <w:iCs/>
                <w:kern w:val="0"/>
                <w:sz w:val="19"/>
                <w:szCs w:val="24"/>
                <w:lang w:val="en-US" w:eastAsia="en-US" w:bidi="ar-SA"/>
              </w:rPr>
              <w:t>(created in Step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VP Manufacturing Operations</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Houda Amrani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Plant Digital Skills Upskilling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Owns day-to-day program execution</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Tarik Benjelloun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Plant Digital Skills Upskilling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Skills program lead</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Leila Ouahbi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Plant Digital Skills Upskilling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FPO</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Learning &amp; Development Lead</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Younes Berrada</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Plant Digital Skills Upskilling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ITL</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Learning-systems and AI-drafting-tool lead</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Karima Semlali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Plant Digital Skills Upskilling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Kenitra Plant Floor Supervisor</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Mustapha Idrissi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Plant Digital Skills Upskilling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Settat Plant Floor Supervisor</w:t>
            </w:r>
            <w:bookmarkStart w:id="41" w:name="X8f8ad7f993d8e7e9fb501d8ddc0d0337a5b9d1c"/>
            <w:bookmarkEnd w:id="41"/>
          </w:p>
        </w:tc>
      </w:tr>
    </w:tbl>
    <w:p>
      <w:pPr>
        <w:pStyle w:val="Heading3"/>
        <w:rPr/>
      </w:pPr>
      <w:bookmarkStart w:id="42" w:name="__RefHeading___Toc26924_3532355311"/>
      <w:bookmarkEnd w:id="42"/>
      <w:r>
        <w:rPr>
          <w:b/>
          <w:color w:val="275650"/>
          <w:sz w:val="29"/>
        </w:rPr>
        <w:t>3.3 Step 2 — Creating the CM Project (M1)</w:t>
      </w:r>
    </w:p>
    <w:p>
      <w:pPr>
        <w:pStyle w:val="Compact"/>
        <w:numPr>
          <w:ilvl w:val="0"/>
          <w:numId w:val="15"/>
        </w:numPr>
        <w:rPr/>
      </w:pPr>
      <w:r>
        <w:rPr>
          <w:sz w:val="22"/>
        </w:rPr>
        <w:t xml:space="preserve">On the Bouregreg Manufacturing Maroc Organization card, click </w:t>
      </w:r>
      <w:r>
        <w:rPr>
          <w:b/>
          <w:bCs/>
          <w:sz w:val="22"/>
        </w:rPr>
        <w:t>+ CM Project</w:t>
      </w:r>
      <w:r>
        <w:rPr>
          <w:sz w:val="22"/>
        </w:rPr>
        <w:t>. Fill in:</w:t>
      </w:r>
    </w:p>
    <w:p>
      <w:pPr>
        <w:pStyle w:val="Compact"/>
        <w:numPr>
          <w:ilvl w:val="1"/>
          <w:numId w:val="16"/>
        </w:numPr>
        <w:rPr/>
      </w:pPr>
      <w:r>
        <w:rPr>
          <w:sz w:val="22"/>
        </w:rPr>
        <w:t>Name: “Plant Digital Skills Upskilling Program”</w:t>
      </w:r>
    </w:p>
    <w:p>
      <w:pPr>
        <w:pStyle w:val="Compact"/>
        <w:numPr>
          <w:ilvl w:val="1"/>
          <w:numId w:val="17"/>
        </w:numPr>
        <w:rPr/>
      </w:pPr>
      <w:r>
        <w:rPr>
          <w:sz w:val="22"/>
        </w:rPr>
        <w:t xml:space="preserve">Linked Main Project: </w:t>
      </w:r>
      <w:r>
        <w:rPr>
          <w:b/>
          <w:bCs/>
          <w:sz w:val="22"/>
        </w:rPr>
        <w:t>none</w:t>
      </w:r>
    </w:p>
    <w:p>
      <w:pPr>
        <w:pStyle w:val="Compact"/>
        <w:numPr>
          <w:ilvl w:val="1"/>
          <w:numId w:val="18"/>
        </w:numPr>
        <w:rPr/>
      </w:pPr>
      <w:r>
        <w:rPr>
          <w:sz w:val="22"/>
        </w:rPr>
        <w:t>Owner: “Houda Amrani”</w:t>
      </w:r>
    </w:p>
    <w:p>
      <w:pPr>
        <w:pStyle w:val="Compact"/>
        <w:numPr>
          <w:ilvl w:val="1"/>
          <w:numId w:val="19"/>
        </w:numPr>
        <w:rPr/>
      </w:pPr>
      <w:r>
        <w:rPr>
          <w:sz w:val="22"/>
        </w:rPr>
        <w:t xml:space="preserve">Change type: </w:t>
      </w:r>
      <w:r>
        <w:rPr>
          <w:b/>
          <w:bCs/>
          <w:sz w:val="22"/>
        </w:rPr>
        <w:t>Training &amp; Skills Development</w:t>
      </w:r>
    </w:p>
    <w:p>
      <w:pPr>
        <w:pStyle w:val="Compact"/>
        <w:numPr>
          <w:ilvl w:val="1"/>
          <w:numId w:val="20"/>
        </w:numPr>
        <w:rPr/>
      </w:pPr>
      <w:r>
        <w:rPr>
          <w:sz w:val="22"/>
        </w:rPr>
        <w:t>Target population: “Plant-floor staff without prior systems training, Kenitra and Settat (620)”</w:t>
      </w:r>
    </w:p>
    <w:p>
      <w:pPr>
        <w:pStyle w:val="Compact"/>
        <w:numPr>
          <w:ilvl w:val="1"/>
          <w:numId w:val="21"/>
        </w:numPr>
        <w:rPr/>
      </w:pPr>
      <w:r>
        <w:rPr>
          <w:sz w:val="22"/>
        </w:rPr>
        <w:t>Business driver: “A skills gap identified independently of the ERP program, accelerated once the ERP program made it visible.”</w:t>
      </w:r>
    </w:p>
    <w:p>
      <w:pPr>
        <w:pStyle w:val="Compact"/>
        <w:numPr>
          <w:ilvl w:val="0"/>
          <w:numId w:val="4"/>
        </w:numPr>
        <w:rPr/>
      </w:pPr>
      <w:r>
        <w:rPr>
          <w:sz w:val="22"/>
        </w:rPr>
        <w:t xml:space="preserve">Save. Lewin opens at </w:t>
      </w:r>
      <w:r>
        <w:rPr>
          <w:b/>
          <w:bCs/>
          <w:sz w:val="22"/>
        </w:rPr>
        <w:t>Unfreeze</w:t>
      </w:r>
      <w:r>
        <w:rPr>
          <w:sz w:val="22"/>
        </w:rPr>
        <w:t>, justification: “Opening Unfreeze at program start, Week 1 (org-calendar Week 16) — a standalone skills program with no go-live of its own to align to.”</w:t>
      </w:r>
    </w:p>
    <w:p>
      <w:pPr>
        <w:pStyle w:val="Compact"/>
        <w:numPr>
          <w:ilvl w:val="0"/>
          <w:numId w:val="4"/>
        </w:numPr>
        <w:rPr/>
      </w:pPr>
      <w:r>
        <w:rPr>
          <w:sz w:val="22"/>
        </w:rPr>
        <w:t xml:space="preserve">On </w:t>
      </w:r>
      <w:r>
        <w:rPr>
          <w:b/>
          <w:bCs/>
          <w:sz w:val="22"/>
        </w:rPr>
        <w:t>Module 17 — WBS &amp; Gantt</w:t>
      </w:r>
      <w:r>
        <w:rPr>
          <w:sz w:val="22"/>
        </w:rPr>
        <w:t xml:space="preserve">, load the </w:t>
      </w:r>
      <w:r>
        <w:rPr>
          <w:b/>
          <w:bCs/>
          <w:sz w:val="22"/>
        </w:rPr>
        <w:t>TPL-TSD-7</w:t>
      </w:r>
      <w:r>
        <w:rPr>
          <w:sz w:val="22"/>
        </w:rPr>
        <w:t xml:space="preserve"> phase template (Skills Gap Diagnosis → Curriculum Design → Training Delivery → Competency Verification → Practical Application → On-the-Job Coaching → Skills Sustainment).</w:t>
      </w:r>
    </w:p>
    <w:p>
      <w:pPr>
        <w:pStyle w:val="Heading3"/>
        <w:rPr/>
      </w:pPr>
      <w:bookmarkStart w:id="43" w:name="__RefHeading___Toc26926_3532355311"/>
      <w:bookmarkStart w:id="44" w:name="step-3-governance-m2"/>
      <w:bookmarkEnd w:id="43"/>
      <w:r>
        <w:rPr>
          <w:b/>
          <w:color w:val="275650"/>
          <w:sz w:val="29"/>
        </w:rPr>
        <w:t>3.4 Step 3 — Governance (M2)</w:t>
      </w:r>
    </w:p>
    <w:p>
      <w:pPr>
        <w:pStyle w:val="FirstParagraph"/>
        <w:rPr/>
      </w:pPr>
      <w:bookmarkStart w:id="45" w:name="step-3-governance-m2"/>
      <w:r>
        <w:rPr>
          <w:sz w:val="22"/>
        </w:rPr>
        <w:t>Permission Matrix and the Governance Setting stay unchanged tenant-wide.</w:t>
      </w:r>
      <w:bookmarkEnd w:id="45"/>
    </w:p>
    <w:p>
      <w:pPr>
        <w:pStyle w:val="Heading3"/>
        <w:rPr/>
      </w:pPr>
      <w:bookmarkStart w:id="46" w:name="__RefHeading___Toc26928_3532355311"/>
      <w:bookmarkEnd w:id="46"/>
      <w:r>
        <w:rPr>
          <w:b/>
          <w:color w:val="275650"/>
          <w:sz w:val="29"/>
        </w:rPr>
        <w:t>3.5 Step 4 — Charters for This Program (M19)</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4"/>
        <w:gridCol w:w="4704"/>
        <w:gridCol w:w="4704"/>
      </w:tblGrid>
      <w:tr>
        <w:trPr>
          <w:tblHeader w:val="true"/>
          <w:cantSplit w:val="true"/>
        </w:trPr>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Charter</w:t>
            </w:r>
          </w:p>
        </w:tc>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Accountable (this program)</w:t>
            </w:r>
          </w:p>
        </w:tc>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Review cadence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 Sponsorship / Leadership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Fouad Belghazi (ES)</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CHTR-03 Communication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Houda Amrani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communication wave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CHTR-04 Organizational Impact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Houda Amrani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 scope change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CHTR-08 Pulse / Interview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Houda Amrani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 + ad hoc</w:t>
            </w:r>
            <w:bookmarkStart w:id="47" w:name="step-4-charters-for-this-program-m19"/>
            <w:bookmarkEnd w:id="47"/>
          </w:p>
        </w:tc>
      </w:tr>
    </w:tbl>
    <w:p>
      <w:pPr>
        <w:pStyle w:val="Heading3"/>
        <w:rPr/>
      </w:pPr>
      <w:bookmarkStart w:id="48" w:name="__RefHeading___Toc26930_3532355311"/>
      <w:bookmarkEnd w:id="48"/>
      <w:r>
        <w:rPr>
          <w:b/>
          <w:color w:val="275650"/>
          <w:sz w:val="29"/>
        </w:rPr>
        <w:t>3.6 Setup Checklist</w:t>
      </w:r>
    </w:p>
    <w:p>
      <w:pPr>
        <w:pStyle w:val="Compact"/>
        <w:numPr>
          <w:ilvl w:val="0"/>
          <w:numId w:val="22"/>
        </w:numPr>
        <w:rPr/>
      </w:pPr>
      <w:r>
        <w:rPr>
          <w:sz w:val="22"/>
        </w:rPr>
        <w:t xml:space="preserve">☐ </w:t>
      </w:r>
      <w:r>
        <w:rPr>
          <w:sz w:val="22"/>
        </w:rPr>
        <w:t>Base tenant confirmed (Bouregreg Group, Bouregreg Manufacturing Maroc Organization)</w:t>
      </w:r>
    </w:p>
    <w:p>
      <w:pPr>
        <w:pStyle w:val="Compact"/>
        <w:numPr>
          <w:ilvl w:val="0"/>
          <w:numId w:val="23"/>
        </w:numPr>
        <w:rPr/>
      </w:pPr>
      <w:r>
        <w:rPr>
          <w:sz w:val="22"/>
        </w:rPr>
        <w:t xml:space="preserve">☐ </w:t>
      </w:r>
      <w:r>
        <w:rPr>
          <w:sz w:val="22"/>
        </w:rPr>
        <w:t>Skills program team accounts created — Section 3.2</w:t>
      </w:r>
    </w:p>
    <w:p>
      <w:pPr>
        <w:pStyle w:val="Compact"/>
        <w:numPr>
          <w:ilvl w:val="0"/>
          <w:numId w:val="24"/>
        </w:numPr>
        <w:rPr/>
      </w:pPr>
      <w:r>
        <w:rPr>
          <w:sz w:val="22"/>
        </w:rPr>
        <w:t xml:space="preserve">☐ </w:t>
      </w:r>
      <w:r>
        <w:rPr>
          <w:sz w:val="22"/>
        </w:rPr>
        <w:t>CM Project created, Lewin opened at Unfreeze — Section 3.3</w:t>
      </w:r>
    </w:p>
    <w:p>
      <w:pPr>
        <w:pStyle w:val="Compact"/>
        <w:numPr>
          <w:ilvl w:val="0"/>
          <w:numId w:val="25"/>
        </w:numPr>
        <w:rPr/>
      </w:pPr>
      <w:r>
        <w:rPr>
          <w:sz w:val="22"/>
        </w:rPr>
        <w:t xml:space="preserve">☐ </w:t>
      </w:r>
      <w:r>
        <w:rPr>
          <w:sz w:val="22"/>
        </w:rPr>
        <w:t>TPL-TSD-7 phase template loaded on M17 — Section 3.3</w:t>
      </w:r>
    </w:p>
    <w:p>
      <w:pPr>
        <w:pStyle w:val="Compact"/>
        <w:numPr>
          <w:ilvl w:val="0"/>
          <w:numId w:val="26"/>
        </w:numPr>
        <w:rPr/>
      </w:pPr>
      <w:r>
        <w:rPr>
          <w:sz w:val="22"/>
        </w:rPr>
        <w:t xml:space="preserve">☐ </w:t>
      </w:r>
      <w:r>
        <w:rPr>
          <w:sz w:val="22"/>
        </w:rPr>
        <w:t>Four applicable Charters reviewed and accountable owners confirmed — Section 3.5</w:t>
      </w:r>
    </w:p>
    <w:p>
      <w:pPr>
        <w:pStyle w:val="FirstParagraph"/>
        <w:rPr/>
      </w:pPr>
      <w:bookmarkStart w:id="49" w:name="part-3-tenant-and-admin-setup"/>
      <w:r>
        <w:rPr>
          <w:sz w:val="22"/>
        </w:rPr>
        <w:t>With this checklist complete, Part 4 runs the program forward, week by week.</w:t>
      </w:r>
      <w:bookmarkEnd w:id="49"/>
    </w:p>
    <w:p>
      <w:pPr>
        <w:pStyle w:val="Heading2"/>
        <w:rPr/>
      </w:pPr>
      <w:bookmarkStart w:id="50" w:name="__RefHeading___Toc26932_3532355311"/>
      <w:bookmarkStart w:id="51" w:name="X75bef6c8340e03a76242e644eb9c844e0206f80"/>
      <w:bookmarkEnd w:id="50"/>
      <w:r>
        <w:rPr>
          <w:b/>
          <w:color w:val="1F4B45"/>
          <w:sz w:val="38"/>
        </w:rPr>
        <w:t>Part 4 — Week-by-Week Skills Timeline: Normal Flow and Exceptions</w:t>
      </w:r>
    </w:p>
    <w:p>
      <w:pPr>
        <w:pStyle w:val="FirstParagraph"/>
        <w:rPr/>
      </w:pPr>
      <w:r>
        <w:rPr>
          <w:sz w:val="22"/>
        </w:rPr>
        <w:t>Part 3 ended with Plant Digital Skills Upskilling Program registered and its Lewin phase opened at Unfreeze, program Week 1 — org-calendar Week 16, since this program starts once the underlying skills gap becomes visible rather than at the tenant’s own founding. Every one of the program’s 43 individual weeks is listed on its own row, so a reader can see exactly which week a framework reading, a phase transition, or an exception is active in.</w:t>
      </w:r>
    </w:p>
    <w:p>
      <w:pPr>
        <w:pStyle w:val="Heading3"/>
        <w:rPr/>
      </w:pPr>
      <w:bookmarkStart w:id="52" w:name="__RefHeading___Toc26934_3532355311"/>
      <w:bookmarkStart w:id="53" w:name="normal-flow-phase-by-phase"/>
      <w:bookmarkEnd w:id="52"/>
      <w:r>
        <w:rPr>
          <w:b/>
          <w:color w:val="275650"/>
          <w:sz w:val="29"/>
        </w:rPr>
        <w:t>4.1 Normal Flow, Phase by Phase</w:t>
      </w:r>
    </w:p>
    <w:p>
      <w:pPr>
        <w:pStyle w:val="Heading4"/>
        <w:rPr/>
      </w:pPr>
      <w:bookmarkStart w:id="54" w:name="phase-1-skills-gap-diagnosis-weeks-17"/>
      <w:r>
        <w:rPr>
          <w:b/>
          <w:color w:val="3F827B"/>
          <w:sz w:val="25"/>
        </w:rPr>
        <w:t>Phase 1 — Skills Gap Diagnosis (Weeks 1–7)</w:t>
      </w:r>
    </w:p>
    <w:p>
      <w:pPr>
        <w:pStyle w:val="FirstParagraph"/>
        <w:rPr/>
      </w:pPr>
      <w:r>
        <w:rPr>
          <w:sz w:val="22"/>
        </w:rPr>
        <w:t>Establishes exactly what digital and systems skills gap exists across plant-floor staff at Kenitra and Settat, independent of any specific system rollout.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Tarik Benjelloun holds program kickoff; confirms Fouad Belghazi’s sponsorship and the program’s standalone, non-go-live-anchored scope.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Houda Amrani briefs the team on the business driver — a skills gap identified independently of the ERP program, accelerated once that program made it visible.</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 (Hierarchy) — verify the CM Project record matches the kickoff agreement.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Set the program’s own 43-week schedule; confirm the deliberate month-long stagger behind the ERP program’s own Train phase.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 (WBS &amp; Gantt) — baseline schedule loaded from TPL-TSD-7.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the plant-floor skills assessment at Kenitra.</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ADKAR pulse for Kenitra plant-floor staff.</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Awareness 2, Ability 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the skills assessment at Kenitra; begin at Settat.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the skills assessment at Settat.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Map stakeholder cohorts across both plants.</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(Stakeholder Mapping) — “Kenitra Plant Floor,” “Settat Plant Floor” cohorts logged.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Consolidate skills-gap findings across both plants. </w:t>
            </w:r>
            <w:r>
              <w:rPr>
                <w:rFonts w:eastAsia="Cambria" w:cs=""/>
                <w:i/>
                <w:iCs/>
                <w:kern w:val="0"/>
                <w:sz w:val="19"/>
                <w:szCs w:val="24"/>
                <w:lang w:val="en-US" w:eastAsia="en-US" w:bidi="ar-SA"/>
              </w:rPr>
              <w:t>(Phase 2 also begins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“Skills Gap Consolidated, Both Plants.”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1 gate: skills-gap diagnosis signed off, on schedule.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Schedule variance vs. baseline (0)</w:t>
            </w:r>
          </w:p>
        </w:tc>
      </w:tr>
    </w:tbl>
    <w:p>
      <w:pPr>
        <w:pStyle w:val="BodyText"/>
        <w:rPr/>
      </w:pPr>
      <w:bookmarkStart w:id="55" w:name="phase-1-skills-gap-diagnosis-weeks-17"/>
      <w:r>
        <w:rPr>
          <w:i/>
          <w:iCs/>
          <w:sz w:val="22"/>
        </w:rPr>
        <w:t>Phase gate: Skills Gap Diagnosis closes once the consolidated findings across Kenitra and Settat are signed off — the direct input to Phase 2’s curriculum design.</w:t>
      </w:r>
      <w:bookmarkEnd w:id="55"/>
    </w:p>
    <w:p>
      <w:pPr>
        <w:pStyle w:val="Heading4"/>
        <w:rPr/>
      </w:pPr>
      <w:bookmarkStart w:id="56" w:name="phase-2-curriculum-design-weeks-615"/>
      <w:r>
        <w:rPr>
          <w:b/>
          <w:color w:val="3F827B"/>
          <w:sz w:val="25"/>
        </w:rPr>
        <w:t>Phase 2 — Curriculum Design (Weeks 6–15)</w:t>
      </w:r>
    </w:p>
    <w:p>
      <w:pPr>
        <w:pStyle w:val="FirstParagraph"/>
        <w:rPr/>
      </w:pPr>
      <w:r>
        <w:rPr>
          <w:sz w:val="22"/>
        </w:rPr>
        <w:t>Designs the specific curriculum — modules, delivery format, and AI-assisted content drafting via M16 — that closes the gaps Phase 1 found.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Begin curriculum design against the skills-gap findings. </w:t>
            </w:r>
            <w:r>
              <w:rPr>
                <w:rFonts w:eastAsia="Cambria" w:cs=""/>
                <w:i/>
                <w:iCs/>
                <w:kern w:val="0"/>
                <w:sz w:val="19"/>
                <w:szCs w:val="24"/>
                <w:lang w:val="en-US" w:eastAsia="en-US" w:bidi="ar-SA"/>
              </w:rPr>
              <w:t>(Phase 1 also consolidates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Continue curriculum design. </w:t>
            </w:r>
            <w:r>
              <w:rPr>
                <w:rFonts w:eastAsia="Cambria" w:cs=""/>
                <w:i/>
                <w:iCs/>
                <w:kern w:val="0"/>
                <w:sz w:val="19"/>
                <w:szCs w:val="24"/>
                <w:lang w:val="en-US" w:eastAsia="en-US" w:bidi="ar-SA"/>
              </w:rPr>
              <w:t>(Phase 1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the initial module list — systems navigation, basic data entry, digital work instructions.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AI-assisted curriculum drafting for Module 1.</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 (AI Use Case Library) — AI-assisted draft, “Digital Skills Curriculum, Module 1: Systems Navigation Basics.”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AI-assisted drafting for Modules 2 and 3.</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 (AI Use Case Library) — AI-assisted draft, Modules 2–3.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drafted content with Karima Semlali and Mustapha Idrissi for plant-floor accuracy and relevance.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Refine curriculum based on supervisor feedback.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Finalize curriculum structure. </w:t>
            </w:r>
            <w:r>
              <w:rPr>
                <w:rFonts w:eastAsia="Cambria" w:cs=""/>
                <w:i/>
                <w:iCs/>
                <w:kern w:val="0"/>
                <w:sz w:val="19"/>
                <w:szCs w:val="24"/>
                <w:lang w:val="en-US" w:eastAsia="en-US" w:bidi="ar-SA"/>
              </w:rPr>
              <w:t>(Phase 3 also begins this week — pilot cohort selection.)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a train-the-trainer session for the delivery team.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“Train-the-Trainer, Digital Skills Program” · Cohort: “Delivery Team.”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2 gate: curriculum design signed off, built via M16-assisted drafting.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Schedule variance vs. baseline (0)</w:t>
            </w:r>
          </w:p>
        </w:tc>
      </w:tr>
    </w:tbl>
    <w:p>
      <w:pPr>
        <w:pStyle w:val="BodyText"/>
        <w:rPr/>
      </w:pPr>
      <w:bookmarkStart w:id="57" w:name="phase-2-curriculum-design-weeks-615"/>
      <w:r>
        <w:rPr>
          <w:i/>
          <w:iCs/>
          <w:sz w:val="22"/>
        </w:rPr>
        <w:t>Phase gate: Curriculum Design closes once the full curriculum is finalized and the delivery team is trained — the direct input to Phase 3’s pilot and full-plant delivery.</w:t>
      </w:r>
      <w:bookmarkEnd w:id="57"/>
    </w:p>
    <w:p>
      <w:pPr>
        <w:pStyle w:val="Heading4"/>
        <w:rPr/>
      </w:pPr>
      <w:bookmarkStart w:id="58" w:name="phase-3-training-delivery-weeks-1329"/>
      <w:r>
        <w:rPr>
          <w:b/>
          <w:color w:val="3F827B"/>
          <w:sz w:val="25"/>
        </w:rPr>
        <w:t>Phase 3 — Training Delivery (Weeks 13–29)</w:t>
      </w:r>
    </w:p>
    <w:p>
      <w:pPr>
        <w:pStyle w:val="FirstParagraph"/>
        <w:rPr/>
      </w:pPr>
      <w:r>
        <w:rPr>
          <w:sz w:val="22"/>
        </w:rPr>
        <w:t>Delivers the finalized curriculum, first to a pilot cohort for validation, then in full across both plants — deliberately staggered a month behind the ERP program’s own Train phase so the two curricula never compete for the same plant-floor hours.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Select the pilot cohort — a 40-person subset of Kenitra plant-floor staff. </w:t>
            </w:r>
            <w:r>
              <w:rPr>
                <w:rFonts w:eastAsia="Cambria" w:cs=""/>
                <w:i/>
                <w:iCs/>
                <w:kern w:val="0"/>
                <w:sz w:val="19"/>
                <w:szCs w:val="24"/>
                <w:lang w:val="en-US" w:eastAsia="en-US" w:bidi="ar-SA"/>
              </w:rPr>
              <w:t>(Phase 2 also finalizes structure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Confirm delivery-team readiness ahead of pilot delivery. </w:t>
            </w:r>
            <w:r>
              <w:rPr>
                <w:rFonts w:eastAsia="Cambria" w:cs=""/>
                <w:i/>
                <w:iCs/>
                <w:kern w:val="0"/>
                <w:sz w:val="19"/>
                <w:szCs w:val="24"/>
                <w:lang w:val="en-US" w:eastAsia="en-US" w:bidi="ar-SA"/>
              </w:rPr>
              <w:t>(Train-the-trainer also logged under Phase 2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Begin pilot cohort delivery — Module 1. </w:t>
            </w:r>
            <w:r>
              <w:rPr>
                <w:rFonts w:eastAsia="Cambria" w:cs=""/>
                <w:i/>
                <w:iCs/>
                <w:kern w:val="0"/>
                <w:sz w:val="19"/>
                <w:szCs w:val="24"/>
                <w:lang w:val="en-US" w:eastAsia="en-US" w:bidi="ar-SA"/>
              </w:rPr>
              <w:t>(Phase 2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“Module 1: Systems Navigation Basics” · Cohort: “Kenitra Pilot.”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cohort delivery — Module 2.</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“Module 2: Digital Data Entry” · Cohort: “Kenitra Pilot.”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cohort delivery — Module 3.</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Gather pilot cohort feedback.</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“Module 3: Digital Work Instructions” · Cohort: “Kenitra Pilot.”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cohort completes delivery.</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Consolidate pilot cohort feedback.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“Pilot Feedback Consolidated.”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Refine curriculum based on pilot feedback ahead of full deployment.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curriculum for full two-plant deployment.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full-deployment schedule against the one-month stagger behind the ERP program’s own Train phase.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Pilot cohort validation confirmed complete. </w:t>
            </w:r>
            <w:r>
              <w:rPr>
                <w:rFonts w:eastAsia="Cambria" w:cs=""/>
                <w:i/>
                <w:iCs/>
                <w:kern w:val="0"/>
                <w:sz w:val="19"/>
                <w:szCs w:val="24"/>
                <w:lang w:val="en-US" w:eastAsia="en-US" w:bidi="ar-SA"/>
              </w:rPr>
              <w:t>(Phase 4 also begins this week, for the pilot cohort.)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Milestone · Title: “Pilot Validated, Curriculum Confirmed for Full Deployment.”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deployment begins — Kenitra, wave 1.</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“Modules 1–3, Full Curriculum” · Cohort: “Kenitra, Wave 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deployment — Kenitra, wave 2.</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“Modules 1–3, Full Curriculum” · Cohort: “Kenitra, Wave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deployment begins — Settat, wave 1.</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“Modules 1–3, Full Curriculum” · Cohort: “Settat, Wave 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deployment — Settat, wave 2.</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“Modules 1–3, Full Curriculum” · Cohort: “Settat, Wave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make-up sessions for staff absent from their scheduled wave.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“Modules 1–3, Make-Up Session” · Cohort: “Kenitra, Settat.”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3 gate: training delivery complete across both plants, on schedule against the stagger.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Schedule variance vs. baseline (0)</w:t>
            </w:r>
          </w:p>
        </w:tc>
      </w:tr>
    </w:tbl>
    <w:p>
      <w:pPr>
        <w:pStyle w:val="BodyText"/>
        <w:rPr/>
      </w:pPr>
      <w:bookmarkStart w:id="59" w:name="phase-3-training-delivery-weeks-1329"/>
      <w:r>
        <w:rPr>
          <w:i/>
          <w:iCs/>
          <w:sz w:val="22"/>
        </w:rPr>
        <w:t>Phase gate: Training Delivery closes once every wave across both plants has completed delivery, including make-up sessions — the direct input to Phase 4’s competency verification.</w:t>
      </w:r>
      <w:bookmarkEnd w:id="59"/>
    </w:p>
    <w:p>
      <w:pPr>
        <w:pStyle w:val="Heading4"/>
        <w:rPr/>
      </w:pPr>
      <w:bookmarkStart w:id="60" w:name="X626b6bb2928f52d5db5985023df70eed20ba22e"/>
      <w:r>
        <w:rPr>
          <w:b/>
          <w:color w:val="3F827B"/>
          <w:sz w:val="25"/>
        </w:rPr>
        <w:t>Phase 4 — Competency Verification (Weeks 23–31)</w:t>
      </w:r>
    </w:p>
    <w:p>
      <w:pPr>
        <w:pStyle w:val="FirstParagraph"/>
        <w:rPr/>
      </w:pPr>
      <w:r>
        <w:rPr>
          <w:sz w:val="22"/>
        </w:rPr>
        <w:t>Verifies that delivered training actually produced usable skill — a distinct check from mere attendance, run first against the pilot cohort and then against each full-deployment wave.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Begin competency verification for the pilot cohort — a hands-on systems test, not a written quiz. </w:t>
            </w:r>
            <w:r>
              <w:rPr>
                <w:rFonts w:eastAsia="Cambria" w:cs=""/>
                <w:i/>
                <w:iCs/>
                <w:kern w:val="0"/>
                <w:sz w:val="19"/>
                <w:szCs w:val="24"/>
                <w:lang w:val="en-US" w:eastAsia="en-US" w:bidi="ar-SA"/>
              </w:rPr>
              <w:t>(Phase 3 also confirms pilot validation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pilot cohort competency results; refine the verification method if needed before full-deployment use.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competency verification — Kenitra, wave 1.</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Competency verification — Kenitra, wave 2.</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Competency verification — Settat, wave 1.</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Competency verification — Settat, wave 2.</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Consolidate competency results across both plants. </w:t>
            </w:r>
            <w:r>
              <w:rPr>
                <w:rFonts w:eastAsia="Cambria" w:cs=""/>
                <w:i/>
                <w:iCs/>
                <w:kern w:val="0"/>
                <w:sz w:val="19"/>
                <w:szCs w:val="24"/>
                <w:lang w:val="en-US" w:eastAsia="en-US" w:bidi="ar-SA"/>
              </w:rPr>
              <w:t>(Phase 3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“Competency Results Consolidated, Both Plants.”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Address competency gaps found in the results with targeted refresher sessions.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“Targeted Refresher” · Cohort: as identified by verification results.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4 gate: competency verification complete, 620 staff certified competent.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Competency certification rate (target 100%)</w:t>
            </w:r>
          </w:p>
        </w:tc>
      </w:tr>
    </w:tbl>
    <w:p>
      <w:pPr>
        <w:pStyle w:val="BodyText"/>
        <w:rPr/>
      </w:pPr>
      <w:bookmarkStart w:id="61" w:name="X626b6bb2928f52d5db5985023df70eed20ba22e"/>
      <w:r>
        <w:rPr>
          <w:i/>
          <w:iCs/>
          <w:sz w:val="22"/>
        </w:rPr>
        <w:t>Phase gate: Competency Verification closes once every trained staff member’s hands-on competency is confirmed, refresher sessions included — the direct input to Phase 5’s practical application.</w:t>
      </w:r>
      <w:bookmarkEnd w:id="61"/>
    </w:p>
    <w:p>
      <w:pPr>
        <w:pStyle w:val="Heading4"/>
        <w:rPr/>
      </w:pPr>
      <w:bookmarkStart w:id="62" w:name="phase-5-practical-application-weeks-2935"/>
      <w:r>
        <w:rPr>
          <w:b/>
          <w:color w:val="3F827B"/>
          <w:sz w:val="25"/>
        </w:rPr>
        <w:t>Phase 5 — Practical Application (Weeks 29–35)</w:t>
      </w:r>
    </w:p>
    <w:p>
      <w:pPr>
        <w:pStyle w:val="FirstParagraph"/>
        <w:rPr/>
      </w:pPr>
      <w:r>
        <w:rPr>
          <w:sz w:val="22"/>
        </w:rPr>
        <w:t>Moves verified skill into real day-to-day plant-floor use — the first of two dedicated reinforcement phases this archetype builds deliberately, rather than leaving reinforcement to chance.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Begin the structured practical-application period on the floor. </w:t>
            </w:r>
            <w:r>
              <w:rPr>
                <w:rFonts w:eastAsia="Cambria" w:cs=""/>
                <w:i/>
                <w:iCs/>
                <w:kern w:val="0"/>
                <w:sz w:val="19"/>
                <w:szCs w:val="24"/>
                <w:lang w:val="en-US" w:eastAsia="en-US" w:bidi="ar-SA"/>
              </w:rPr>
              <w:t>(Phase 4 also continues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Monitor real-world system use — Kenitra.</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Monitor real-world system use — Settat. </w:t>
            </w:r>
            <w:r>
              <w:rPr>
                <w:rFonts w:eastAsia="Cambria" w:cs=""/>
                <w:i/>
                <w:iCs/>
                <w:kern w:val="0"/>
                <w:sz w:val="19"/>
                <w:szCs w:val="24"/>
                <w:lang w:val="en-US" w:eastAsia="en-US" w:bidi="ar-SA"/>
              </w:rPr>
              <w:t>(Phase 4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Identify practical-application friction points from floor observation.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Risk · Title: “Practical-Application Friction Points Identified.”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Address friction points with targeted micro-coaching, ahead of the formal coaching phase.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practical-application monitoring across both plants.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5 gate: practical application complete, skill in active daily use.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Daily active system-use rate</w:t>
            </w:r>
          </w:p>
        </w:tc>
      </w:tr>
    </w:tbl>
    <w:p>
      <w:pPr>
        <w:pStyle w:val="BodyText"/>
        <w:rPr/>
      </w:pPr>
      <w:bookmarkStart w:id="63" w:name="phase-5-practical-application-weeks-2935"/>
      <w:r>
        <w:rPr>
          <w:i/>
          <w:iCs/>
          <w:sz w:val="22"/>
        </w:rPr>
        <w:t>Phase gate: Practical Application closes once real-world system use is confirmed as active daily practice, not just post-training competency — the direct input to Phase 6’s formal coaching.</w:t>
      </w:r>
      <w:bookmarkEnd w:id="63"/>
    </w:p>
    <w:p>
      <w:pPr>
        <w:pStyle w:val="Heading4"/>
        <w:rPr/>
      </w:pPr>
      <w:bookmarkStart w:id="64" w:name="phase-6-on-the-job-coaching-weeks-3139"/>
      <w:r>
        <w:rPr>
          <w:b/>
          <w:color w:val="3F827B"/>
          <w:sz w:val="25"/>
        </w:rPr>
        <w:t>Phase 6 — On-the-Job Coaching (Weeks 31–39)</w:t>
      </w:r>
    </w:p>
    <w:p>
      <w:pPr>
        <w:pStyle w:val="FirstParagraph"/>
        <w:rPr/>
      </w:pPr>
      <w:r>
        <w:rPr>
          <w:sz w:val="22"/>
        </w:rPr>
        <w:t>Locks in the skill through supervisor-led coaching on the floor — the second of the two dedicated reinforcement phases.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Train Karima Semlali and Mustapha Idrissi as on-the-job coaches. </w:t>
            </w:r>
            <w:r>
              <w:rPr>
                <w:rFonts w:eastAsia="Cambria" w:cs=""/>
                <w:i/>
                <w:iCs/>
                <w:kern w:val="0"/>
                <w:sz w:val="19"/>
                <w:szCs w:val="24"/>
                <w:lang w:val="en-US" w:eastAsia="en-US" w:bidi="ar-SA"/>
              </w:rPr>
              <w:t>(Phase 5 also continues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“Coaching the New Skill On the Floor” · Cohort: “Kenitra, Settat Supervisors.”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structured coaching rounds — Kenitra.</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Coaching rounds continue — Kenitra.</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structured coaching rounds — Settat.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Coaching rounds continue — Settat. </w:t>
            </w:r>
            <w:r>
              <w:rPr>
                <w:rFonts w:eastAsia="Cambria" w:cs=""/>
                <w:i/>
                <w:iCs/>
                <w:kern w:val="0"/>
                <w:sz w:val="19"/>
                <w:szCs w:val="24"/>
                <w:lang w:val="en-US" w:eastAsia="en-US" w:bidi="ar-SA"/>
              </w:rPr>
              <w:t>(Phase 5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Consolidate coaching observations from both plants.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“Coaching Observations Consolidated.”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Address recurring skill gaps found during coaching with a further targeted session.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(Training) — Curriculum: “Targeted Coaching Follow-Up” · Cohort: as identified.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coaching, tapering frequency as staff demonstrate sustained independent use.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6 gate: on-the-job coaching complete, skill reinforced under real supervision.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Coached-staff independent-use rate</w:t>
            </w:r>
          </w:p>
        </w:tc>
      </w:tr>
    </w:tbl>
    <w:p>
      <w:pPr>
        <w:pStyle w:val="BodyText"/>
        <w:rPr/>
      </w:pPr>
      <w:bookmarkStart w:id="65" w:name="phase-6-on-the-job-coaching-weeks-3139"/>
      <w:r>
        <w:rPr>
          <w:i/>
          <w:iCs/>
          <w:sz w:val="22"/>
        </w:rPr>
        <w:t>Phase gate: On-the-Job Coaching closes once staff demonstrate sustained independent use under supervisor observation — the direct input to Phase 7’s sustainment checks.</w:t>
      </w:r>
      <w:bookmarkEnd w:id="65"/>
    </w:p>
    <w:p>
      <w:pPr>
        <w:pStyle w:val="Heading4"/>
        <w:rPr/>
      </w:pPr>
      <w:bookmarkStart w:id="66" w:name="phase-7-skills-sustainment-weeks-3543"/>
      <w:r>
        <w:rPr>
          <w:b/>
          <w:color w:val="3F827B"/>
          <w:sz w:val="25"/>
        </w:rPr>
        <w:t>Phase 7 — Skills Sustainment (Weeks 35–43)</w:t>
      </w:r>
    </w:p>
    <w:p>
      <w:pPr>
        <w:pStyle w:val="FirstParagraph"/>
        <w:rPr/>
      </w:pPr>
      <w:r>
        <w:rPr>
          <w:sz w:val="22"/>
        </w:rPr>
        <w:t>Confirms the skill holds without active coaching — this program’s actual close, and the milestone Lewin’s Refreeze reading anchors to in the absence of any go-live event.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Begin sustainment planning. </w:t>
            </w:r>
            <w:r>
              <w:rPr>
                <w:rFonts w:eastAsia="Cambria" w:cs=""/>
                <w:i/>
                <w:iCs/>
                <w:kern w:val="0"/>
                <w:sz w:val="19"/>
                <w:szCs w:val="24"/>
                <w:lang w:val="en-US" w:eastAsia="en-US" w:bidi="ar-SA"/>
              </w:rPr>
              <w:t>(Phase 5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Define sustainment checkpoints and metrics for post-program skill retention.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checkpoint schedule confirmed, first check Week 37.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the first sustainment check — Kenitra.</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checkpoint logged, regression risk: Low.</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the first sustainment check — Settat.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checkpoint logged, regression risk: Low.</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Consolidate sustainment check results across both plants. </w:t>
            </w:r>
            <w:r>
              <w:rPr>
                <w:rFonts w:eastAsia="Cambria" w:cs=""/>
                <w:i/>
                <w:iCs/>
                <w:kern w:val="0"/>
                <w:sz w:val="19"/>
                <w:szCs w:val="24"/>
                <w:lang w:val="en-US" w:eastAsia="en-US" w:bidi="ar-SA"/>
              </w:rPr>
              <w:t>(Phase 6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“First Sustainment Check Consolidated, Both Plants.”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Address any retention gaps found in the sustainment check.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the second sustainment check — both plants.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checkpoint logged, regression risk: Low.</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sustainment record ahead of program closure.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7 gate: skills sustainment confirmed, program closes.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Close Lewin at </w:t>
            </w:r>
            <w:r>
              <w:rPr>
                <w:rFonts w:eastAsia="Cambria" w:cs=""/>
                <w:b/>
                <w:bCs/>
                <w:kern w:val="0"/>
                <w:sz w:val="19"/>
                <w:szCs w:val="24"/>
                <w:lang w:val="en-US" w:eastAsia="en-US" w:bidi="ar-SA"/>
              </w:rPr>
              <w:t>Refreeze</w:t>
            </w:r>
            <w:r>
              <w:rPr>
                <w:rFonts w:eastAsia="Cambria" w:cs=""/>
                <w:kern w:val="0"/>
                <w:sz w:val="19"/>
                <w:szCs w:val="24"/>
                <w:lang w:val="en-US" w:eastAsia="en-US" w:bidi="ar-SA"/>
              </w:rPr>
              <w:t>, justification: “Two consecutive sustainment checks confirm the skill holds without active coaching — the program’s own milestone, in the absence of a go-live to anchor to.”</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M3 (Initiative Registry) — Lewin: </w:t>
            </w:r>
            <w:r>
              <w:rPr>
                <w:rFonts w:eastAsia="Cambria" w:cs=""/>
                <w:b/>
                <w:bCs/>
                <w:kern w:val="0"/>
                <w:sz w:val="19"/>
                <w:szCs w:val="24"/>
                <w:lang w:val="en-US" w:eastAsia="en-US" w:bidi="ar-SA"/>
              </w:rPr>
              <w:t>Refreeze</w:t>
            </w:r>
            <w:r>
              <w:rPr>
                <w:rFonts w:eastAsia="Cambria" w:cs=""/>
                <w:kern w:val="0"/>
                <w:sz w:val="19"/>
                <w:szCs w:val="24"/>
                <w:lang w:val="en-US" w:eastAsia="en-US" w:bidi="ar-SA"/>
              </w:rPr>
              <w:t xml:space="preserve">. M17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Two-check sustained retention rate</w:t>
            </w:r>
          </w:p>
        </w:tc>
      </w:tr>
    </w:tbl>
    <w:p>
      <w:pPr>
        <w:pStyle w:val="BodyText"/>
        <w:rPr/>
      </w:pPr>
      <w:bookmarkStart w:id="67" w:name="normal-flow-phase-by-phase"/>
      <w:bookmarkStart w:id="68" w:name="phase-7-skills-sustainment-weeks-3543"/>
      <w:r>
        <w:rPr>
          <w:i/>
          <w:iCs/>
          <w:sz w:val="22"/>
        </w:rPr>
        <w:t>Phase gate: Skills Sustainment closes, and the program closes with it, once two consecutive checkpoints confirm the skill holds without active coaching.</w:t>
      </w:r>
      <w:bookmarkEnd w:id="67"/>
      <w:bookmarkEnd w:id="68"/>
    </w:p>
    <w:p>
      <w:pPr>
        <w:pStyle w:val="Heading3"/>
        <w:rPr/>
      </w:pPr>
      <w:bookmarkStart w:id="69" w:name="__RefHeading___Toc26936_3532355311"/>
      <w:bookmarkStart w:id="70" w:name="Xc6b73c5214ce25f3e31cd7181b649bb6e2db9fd"/>
      <w:bookmarkEnd w:id="69"/>
      <w:r>
        <w:rPr>
          <w:b/>
          <w:color w:val="275650"/>
          <w:sz w:val="29"/>
        </w:rPr>
        <w:t>4.2 Master WBS &amp; Gantt — Every Task and Step, PM and CM Tracks, Across the Four Frameworks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3"/>
        <w:gridCol w:w="1764"/>
        <w:gridCol w:w="1764"/>
        <w:gridCol w:w="1764"/>
        <w:gridCol w:w="1764"/>
        <w:gridCol w:w="1764"/>
        <w:gridCol w:w="1764"/>
        <w:gridCol w:w="1763"/>
      </w:tblGrid>
      <w:tr>
        <w:trPr>
          <w:tblHeader w:val="true"/>
          <w:cantSplit w:val="true"/>
        </w:trPr>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Lewin</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ADKAR</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Bridges</w:t>
            </w:r>
          </w:p>
        </w:tc>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Kübler-Ross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Plant-floor skills assessment, both plants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Skills-gap findings consolidated and signed 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drafted, AI-assisted via M16</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8–12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Knowledge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 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 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finalized, trainer readiness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13–15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cohort delivered and validated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15–23</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 → 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 → 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two-plant deployment delivered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24–29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Hands-on competency verification, pilot and full waves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23–29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Refresher sessions run, 100% certification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30–31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Structured practical-application monitoring, both plants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29–34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 → 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 → 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Daily active system-use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 → 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Supervisor coaching rounds, both plants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31–38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Independent-use rate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checkpoints, two checks, both plants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36–42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 Refreeze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Program closes; Refreeze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43</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Refreeze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bl>
    <w:p>
      <w:pPr>
        <w:pStyle w:val="BodyText"/>
        <w:rPr/>
      </w:pPr>
      <w:bookmarkStart w:id="71" w:name="Xc6b73c5214ce25f3e31cd7181b649bb6e2db9fd"/>
      <w:r>
        <w:rPr>
          <w:i/>
          <w:iCs/>
          <w:sz w:val="22"/>
        </w:rPr>
        <w:t>Table 4.2.1 — Master WBS &amp; Gantt, framework view. All 14 Task/Step rows across the full 43-week program.</w:t>
      </w:r>
      <w:bookmarkEnd w:id="71"/>
    </w:p>
    <w:p>
      <w:pPr>
        <w:pStyle w:val="Heading3"/>
        <w:rPr/>
      </w:pPr>
      <w:bookmarkStart w:id="72" w:name="__RefHeading___Toc26938_3532355311"/>
      <w:bookmarkStart w:id="73" w:name="Xbfc2cab260ff0d2b037d8bdcc38cc8d05e3256b"/>
      <w:bookmarkEnd w:id="72"/>
      <w:r>
        <w:rPr>
          <w:b/>
          <w:color w:val="275650"/>
          <w:sz w:val="29"/>
        </w:rPr>
        <w:t>4.3 Master WBS &amp; Gantt — Every Task and Step, Techniques and Tools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3"/>
        <w:gridCol w:w="1764"/>
        <w:gridCol w:w="1764"/>
        <w:gridCol w:w="1764"/>
        <w:gridCol w:w="1764"/>
        <w:gridCol w:w="1764"/>
        <w:gridCol w:w="1764"/>
        <w:gridCol w:w="1763"/>
      </w:tblGrid>
      <w:tr>
        <w:trPr>
          <w:tblHeader w:val="true"/>
          <w:cantSplit w:val="true"/>
        </w:trPr>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Goal</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Details</w:t>
            </w:r>
          </w:p>
        </w:tc>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Recommended Tool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Plant-floor skills assessment, both plants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Plant-floor skills survey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Establish exactly which digital and systems skills 620 staff currently lack.</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Structured hands-on observation plus short interviews across both plants, not a self-report survey alone.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On-site observation checklist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Skills-gap findings consolidated and signed 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Cross-plant gap consolidation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Produce one unified skills-gap picture across Kenitra and Settat.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Compare findings by role and task; flag any site-specific gap rather than average it away.</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drafted, AI-assisted via M16</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8–12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AI-assisted curriculum drafting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usable module content quickly without a dedicated instructional-design team.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Use M16’s AI Use Case Library to draft each module from the skills-gap findings, then human-review for plant-floor accuracy.</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M16 (AI Use Case Library)</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finalized, trainer readiness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13–15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Train-the-trainer</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delivery team can teach the finalized curriculum consistently across both plants.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Hands-on rehearsal of every module with the actual delivery team before pilot delivery.</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M9 (Training)</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cohort delivered and validated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15–23</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Pilot-then-refine delivery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Validate the curriculum against a real cohort before committing both plants’ full population to it.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Deliver to a 40-person Kenitra pilot cohort, gather feedback, refine before full deployment.</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M9 (Training)</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two-plant deployment delivered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24–29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Staggered wave deployment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Deliver to 620 staff across two plants without pulling the whole floor off task at once.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Deploy in scheduled waves by plant, with make-up sessions for absences.</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M9 (Training)</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Hands-on competency verification, pilot and full waves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23–29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Hands-on competency test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Verify actual usable skill, not just attendance.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practical systems test per staff member, distinct from a written quiz.</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M9 (Training) — competency record</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Refresher sessions run, 100% certification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30–31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Targeted refresher</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Close specific competency gaps found by verification without re-running the whole curriculum.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Short, targeted sessions for only the staff and modules where verification found a gap.</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M9 (Training)</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Structured practical-application monitoring, both plants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29–34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Real-world use monitoring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verified skill is actually used daily on the floor, not just demonstrated once.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Structured floor observation across both plants over several weeks.</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M21 (Field Notes)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Daily active system-use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Daily active-use confirmation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Formally close the practical-application phase against a measurable usage rate.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Compare observed daily use against the phase’s own target rate.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(WBS &amp; Gantt)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Supervisor coaching rounds, both plants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31–38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Supervisor-led on-the-job coaching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Lock in the skill through direct floor supervision, not just self-practice.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Trained shift supervisors run structured coaching rounds with staff still short of independent use.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M9 (Training)</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Independent-use rate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Independent-use verification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staff no longer need active coaching to use the skill correctly.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Supervisor sign-off per staff member against a simple independent-use checklist.</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M21 (Field Notes)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checkpoints, two checks, both plants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36–42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Two-checkpoint sustainment tracking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skill holds without active coaching, not just immediately after it ends.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 sustainment checks spaced several weeks apart, both plants.</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(Sustainment)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Program closes; Refreeze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43</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Program closure and Refreeze confirmation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Formally close the program against a genuine sustained-skill milestone, not a calendar date.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two consecutive clean sustainment checks before closing Lewin at Refreeze.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M3 (Initiative Registry)</w:t>
            </w:r>
          </w:p>
        </w:tc>
      </w:tr>
    </w:tbl>
    <w:p>
      <w:pPr>
        <w:pStyle w:val="BodyText"/>
        <w:rPr/>
      </w:pPr>
      <w:bookmarkStart w:id="74" w:name="Xbfc2cab260ff0d2b037d8bdcc38cc8d05e3256b"/>
      <w:r>
        <w:rPr>
          <w:i/>
          <w:iCs/>
          <w:sz w:val="22"/>
        </w:rPr>
        <w:t>Table 4.3.1 — Master WBS &amp; Gantt, techniques and tools view. Same 14 Task/Step rows as Table 4.2.1.</w:t>
      </w:r>
      <w:bookmarkEnd w:id="74"/>
    </w:p>
    <w:p>
      <w:pPr>
        <w:pStyle w:val="Heading3"/>
        <w:rPr/>
      </w:pPr>
      <w:bookmarkStart w:id="75" w:name="__RefHeading___Toc26940_3532355311"/>
      <w:bookmarkStart w:id="76" w:name="six-contingency-patterns-in-detail"/>
      <w:bookmarkEnd w:id="75"/>
      <w:r>
        <w:rPr>
          <w:b/>
          <w:color w:val="275650"/>
          <w:sz w:val="29"/>
        </w:rPr>
        <w:t>4.4 Six Contingency Patterns, in Detail</w:t>
      </w:r>
    </w:p>
    <w:p>
      <w:pPr>
        <w:pStyle w:val="FirstParagraph"/>
        <w:rPr/>
      </w:pPr>
      <w:r>
        <w:rPr>
          <w:sz w:val="22"/>
        </w:rPr>
        <w:t xml:space="preserve">This program’s real record shows no alert firing across its 43 weeks — not because nothing could go wrong, but because none of it did. The six patterns below are realistic ways this specific program could have gone differently, in the same operational detail as this series’ other exception sections, each explicitly noted as </w:t>
      </w:r>
      <w:r>
        <w:rPr>
          <w:b/>
          <w:bCs/>
          <w:sz w:val="22"/>
        </w:rPr>
        <w:t>not having occurred</w:t>
      </w:r>
      <w:r>
        <w:rPr>
          <w:sz w:val="22"/>
        </w:rPr>
        <w:t xml:space="preserve"> in this program’s real record.</w:t>
      </w:r>
    </w:p>
    <w:p>
      <w:pPr>
        <w:pStyle w:val="Heading4"/>
        <w:rPr/>
      </w:pPr>
      <w:bookmarkStart w:id="77" w:name="X1191abda900337783d095ee6560113af6ad2850"/>
      <w:r>
        <w:rPr>
          <w:b/>
          <w:color w:val="3F827B"/>
          <w:sz w:val="25"/>
        </w:rPr>
        <w:t>C1 — Skills-Gap Assessment Misses a Real Gap (would map to Phase 1, Weeks 1–7)</w:t>
      </w:r>
    </w:p>
    <w:p>
      <w:pPr>
        <w:pStyle w:val="FirstParagraph"/>
        <w:rPr/>
      </w:pPr>
      <w:r>
        <w:rPr>
          <w:b/>
          <w:bCs/>
          <w:color w:val="3F827B"/>
          <w:sz w:val="22"/>
        </w:rPr>
        <w:t>Detailed description.</w:t>
      </w:r>
      <w:r>
        <w:rPr>
          <w:color w:val="3F827B"/>
          <w:sz w:val="22"/>
        </w:rPr>
        <w:t xml:space="preserve"> The plant-floor assessment undercounts a specific skill gap — staff can navigate a screen but cannot correctly interpret an error message, for example — because observation and interview don’t surface a gap that only appears under real operating pressure. This did not occur; Phase 1’s consolidated findings held through the rest of the program.</w:t>
      </w:r>
    </w:p>
    <w:p>
      <w:pPr>
        <w:pStyle w:val="BodyText"/>
        <w:rPr/>
      </w:pPr>
      <w:r>
        <w:rPr>
          <w:b/>
          <w:bCs/>
          <w:color w:val="3F827B"/>
          <w:sz w:val="22"/>
        </w:rPr>
        <w:t>Trigger.</w:t>
      </w:r>
      <w:r>
        <w:rPr>
          <w:color w:val="3F827B"/>
          <w:sz w:val="22"/>
        </w:rPr>
        <w:t xml:space="preserve"> The gap surfaces later, during Training Delivery or Practical Application, as unexpectedly slow module completion or unusually high friction on one specific skill.</w:t>
      </w:r>
    </w:p>
    <w:p>
      <w:pPr>
        <w:pStyle w:val="BodyText"/>
        <w:rPr/>
      </w:pPr>
      <w:r>
        <w:rPr>
          <w:b/>
          <w:bCs/>
          <w:color w:val="3F827B"/>
          <w:sz w:val="22"/>
        </w:rPr>
        <w:t>Timeline impact.</w:t>
      </w:r>
      <w:r>
        <w:rPr>
          <w:color w:val="3F827B"/>
          <w:sz w:val="22"/>
        </w:rPr>
        <w:t xml:space="preserve"> Would require reopening Phase 1’s findings for the specific skill area and adding a module or module segment mid-curriculum — a targeted addition, not a full restart.</w:t>
      </w:r>
    </w:p>
    <w:p>
      <w:pPr>
        <w:pStyle w:val="BodyText"/>
        <w:rPr/>
      </w:pPr>
      <w:r>
        <w:rPr>
          <w:b/>
          <w:bCs/>
          <w:color w:val="3F827B"/>
          <w:sz w:val="22"/>
        </w:rPr>
        <w:t>Recovery tasks.</w:t>
      </w:r>
      <w:r>
        <w:rPr>
          <w:color w:val="3F827B"/>
          <w:sz w:val="22"/>
        </w:rPr>
        <w:t xml:space="preserve"> Re-assess the specific skill area with a more targeted method (hands-on task simulation, not interview alone); add a short curriculum module bridging the gap; re-verify competency for the affected skill only.</w:t>
      </w:r>
    </w:p>
    <w:p>
      <w:pPr>
        <w:pStyle w:val="BodyText"/>
        <w:rPr/>
      </w:pPr>
      <w:r>
        <w:rPr>
          <w:b/>
          <w:bCs/>
          <w:color w:val="3F827B"/>
          <w:sz w:val="22"/>
        </w:rPr>
        <w:t>Outputs.</w:t>
      </w:r>
      <w:r>
        <w:rPr>
          <w:color w:val="3F827B"/>
          <w:sz w:val="22"/>
        </w:rPr>
        <w:t xml:space="preserve"> A corrected skills-gap record; an added curriculum module; a re-verified competency record for the specific skill.</w:t>
      </w:r>
    </w:p>
    <w:p>
      <w:pPr>
        <w:pStyle w:val="BodyText"/>
        <w:rPr/>
      </w:pPr>
      <w:r>
        <w:rPr>
          <w:b/>
          <w:bCs/>
          <w:color w:val="3F827B"/>
          <w:sz w:val="22"/>
        </w:rPr>
        <w:t>RACSI.</w:t>
      </w:r>
      <w:r>
        <w:rPr>
          <w:color w:val="3F827B"/>
          <w:sz w:val="22"/>
        </w:rPr>
        <w:t xml:space="preserve"> R = PM, FPO · A = CM · C = ITL · S = SUP · I = ES, EU</w:t>
      </w:r>
      <w:bookmarkEnd w:id="77"/>
    </w:p>
    <w:p>
      <w:pPr>
        <w:pStyle w:val="Heading4"/>
        <w:rPr/>
      </w:pPr>
      <w:bookmarkStart w:id="78" w:name="X46812de356e89c22c4f6c806006f12548fadf8b"/>
      <w:r>
        <w:rPr>
          <w:b/>
          <w:color w:val="3F827B"/>
          <w:sz w:val="25"/>
        </w:rPr>
        <w:t>C2 — AI-Drafted Curriculum Content Is Technically Inaccurate (would map to Phase 2, Weeks 9–12)</w:t>
      </w:r>
    </w:p>
    <w:p>
      <w:pPr>
        <w:pStyle w:val="FirstParagraph"/>
        <w:rPr/>
      </w:pPr>
      <w:r>
        <w:rPr>
          <w:b/>
          <w:bCs/>
          <w:color w:val="3F827B"/>
          <w:sz w:val="22"/>
        </w:rPr>
        <w:t>Detailed description.</w:t>
      </w:r>
      <w:r>
        <w:rPr>
          <w:color w:val="3F827B"/>
          <w:sz w:val="22"/>
        </w:rPr>
        <w:t xml:space="preserve"> M16’s AI-assisted drafting produces module content that is fluent but technically wrong for Bouregreg Group’s specific systems configuration — a generic answer where a plant-specific one was needed. This did not occur; Phase 2’s human-review step caught nothing requiring correction.</w:t>
      </w:r>
    </w:p>
    <w:p>
      <w:pPr>
        <w:pStyle w:val="BodyText"/>
        <w:rPr/>
      </w:pPr>
      <w:r>
        <w:rPr>
          <w:b/>
          <w:bCs/>
          <w:color w:val="3F827B"/>
          <w:sz w:val="22"/>
        </w:rPr>
        <w:t>Trigger.</w:t>
      </w:r>
      <w:r>
        <w:rPr>
          <w:color w:val="3F827B"/>
          <w:sz w:val="22"/>
        </w:rPr>
        <w:t xml:space="preserve"> Human review during Phase 2 (or, worse, plant-floor feedback during pilot delivery) catches a factual error in drafted content.</w:t>
      </w:r>
    </w:p>
    <w:p>
      <w:pPr>
        <w:pStyle w:val="BodyText"/>
        <w:rPr/>
      </w:pPr>
      <w:r>
        <w:rPr>
          <w:b/>
          <w:bCs/>
          <w:color w:val="3F827B"/>
          <w:sz w:val="22"/>
        </w:rPr>
        <w:t>Timeline impact.</w:t>
      </w:r>
      <w:r>
        <w:rPr>
          <w:color w:val="3F827B"/>
          <w:sz w:val="22"/>
        </w:rPr>
        <w:t xml:space="preserve"> Minor if caught during Phase 2’s own review step; more disruptive if it reaches pilot delivery, since it would require pulling the affected module and re-delivering it.</w:t>
      </w:r>
    </w:p>
    <w:p>
      <w:pPr>
        <w:pStyle w:val="BodyText"/>
        <w:rPr/>
      </w:pPr>
      <w:r>
        <w:rPr>
          <w:b/>
          <w:bCs/>
          <w:color w:val="3F827B"/>
          <w:sz w:val="22"/>
        </w:rPr>
        <w:t>Recovery tasks.</w:t>
      </w:r>
      <w:r>
        <w:rPr>
          <w:color w:val="3F827B"/>
          <w:sz w:val="22"/>
        </w:rPr>
        <w:t xml:space="preserve"> Strengthen the human-review step between AI drafting and finalization, with Younes Berrada specifically validating systems-configuration accuracy; if the error reached delivery, issue a correction session for the affected cohort.</w:t>
      </w:r>
    </w:p>
    <w:p>
      <w:pPr>
        <w:pStyle w:val="BodyText"/>
        <w:rPr/>
      </w:pPr>
      <w:r>
        <w:rPr>
          <w:b/>
          <w:bCs/>
          <w:color w:val="3F827B"/>
          <w:sz w:val="22"/>
        </w:rPr>
        <w:t>Outputs.</w:t>
      </w:r>
      <w:r>
        <w:rPr>
          <w:color w:val="3F827B"/>
          <w:sz w:val="22"/>
        </w:rPr>
        <w:t xml:space="preserve"> A corrected module; a strengthened review step for the remaining modules; if needed, a correction-session record for any affected cohort.</w:t>
      </w:r>
    </w:p>
    <w:p>
      <w:pPr>
        <w:pStyle w:val="BodyText"/>
        <w:rPr/>
      </w:pPr>
      <w:r>
        <w:rPr>
          <w:b/>
          <w:bCs/>
          <w:color w:val="3F827B"/>
          <w:sz w:val="22"/>
        </w:rPr>
        <w:t>RACSI.</w:t>
      </w:r>
      <w:r>
        <w:rPr>
          <w:color w:val="3F827B"/>
          <w:sz w:val="22"/>
        </w:rPr>
        <w:t xml:space="preserve"> R = ITL, FPO · A = CM · C = PM · S = SUP · I = ES, EU</w:t>
      </w:r>
      <w:bookmarkEnd w:id="78"/>
    </w:p>
    <w:p>
      <w:pPr>
        <w:pStyle w:val="Heading4"/>
        <w:rPr/>
      </w:pPr>
      <w:bookmarkStart w:id="79" w:name="X694fb0827bc013e8723d6a22ffb027cb855b42d"/>
      <w:r>
        <w:rPr>
          <w:b/>
          <w:color w:val="3F827B"/>
          <w:sz w:val="25"/>
        </w:rPr>
        <w:t>C3 — Pilot Cohort Reveals the Curriculum Doesn’t Work As Designed (would map to Phase 3, Weeks 15–23)</w:t>
      </w:r>
    </w:p>
    <w:p>
      <w:pPr>
        <w:pStyle w:val="FirstParagraph"/>
        <w:rPr/>
      </w:pPr>
      <w:r>
        <w:rPr>
          <w:b/>
          <w:bCs/>
          <w:color w:val="3F827B"/>
          <w:sz w:val="22"/>
        </w:rPr>
        <w:t>Detailed description.</w:t>
      </w:r>
      <w:r>
        <w:rPr>
          <w:color w:val="3F827B"/>
          <w:sz w:val="22"/>
        </w:rPr>
        <w:t xml:space="preserve"> The pilot cohort’s feedback, or its own competency results, shows the curriculum’s pacing, format, or sequencing doesn’t actually work for plant-floor learners — not a content error, a design one. This did not occur; the pilot cohort validated the curriculum as designed.</w:t>
      </w:r>
    </w:p>
    <w:p>
      <w:pPr>
        <w:pStyle w:val="BodyText"/>
        <w:rPr/>
      </w:pPr>
      <w:r>
        <w:rPr>
          <w:b/>
          <w:bCs/>
          <w:color w:val="3F827B"/>
          <w:sz w:val="22"/>
        </w:rPr>
        <w:t>Trigger.</w:t>
      </w:r>
      <w:r>
        <w:rPr>
          <w:color w:val="3F827B"/>
          <w:sz w:val="22"/>
        </w:rPr>
        <w:t xml:space="preserve"> Pilot cohort feedback (Week 19) or pilot competency results (Weeks 23–24) showing a pattern of difficulty that traces to curriculum design, not individual skill gaps.</w:t>
      </w:r>
    </w:p>
    <w:p>
      <w:pPr>
        <w:pStyle w:val="BodyText"/>
        <w:rPr/>
      </w:pPr>
      <w:r>
        <w:rPr>
          <w:b/>
          <w:bCs/>
          <w:color w:val="3F827B"/>
          <w:sz w:val="22"/>
        </w:rPr>
        <w:t>Timeline impact.</w:t>
      </w:r>
      <w:r>
        <w:rPr>
          <w:color w:val="3F827B"/>
          <w:sz w:val="22"/>
        </w:rPr>
        <w:t xml:space="preserve"> Would delay full deployment by however long a redesign of the affected portion takes — a real cost against the ERP program’s own stagger, but exactly the cost Phase 3’s pilot-before-full-deployment sequencing exists to absorb before it reaches all 620 staff.</w:t>
      </w:r>
    </w:p>
    <w:p>
      <w:pPr>
        <w:pStyle w:val="BodyText"/>
        <w:rPr/>
      </w:pPr>
      <w:r>
        <w:rPr>
          <w:b/>
          <w:bCs/>
          <w:color w:val="3F827B"/>
          <w:sz w:val="22"/>
        </w:rPr>
        <w:t>Recovery tasks.</w:t>
      </w:r>
      <w:r>
        <w:rPr>
          <w:color w:val="3F827B"/>
          <w:sz w:val="22"/>
        </w:rPr>
        <w:t xml:space="preserve"> Redesign the affected curriculum portion based on specific pilot feedback; re-pilot the redesigned portion with a small group before committing to full deployment; only then proceed to full-plant delivery.</w:t>
      </w:r>
    </w:p>
    <w:p>
      <w:pPr>
        <w:pStyle w:val="BodyText"/>
        <w:rPr/>
      </w:pPr>
      <w:r>
        <w:rPr>
          <w:b/>
          <w:bCs/>
          <w:color w:val="3F827B"/>
          <w:sz w:val="22"/>
        </w:rPr>
        <w:t>Outputs.</w:t>
      </w:r>
      <w:r>
        <w:rPr>
          <w:color w:val="3F827B"/>
          <w:sz w:val="22"/>
        </w:rPr>
        <w:t xml:space="preserve"> A redesigned curriculum portion; a re-piloted and confirmed design; an on-schedule, or minimally delayed, full deployment.</w:t>
      </w:r>
    </w:p>
    <w:p>
      <w:pPr>
        <w:pStyle w:val="BodyText"/>
        <w:rPr/>
      </w:pPr>
      <w:r>
        <w:rPr>
          <w:b/>
          <w:bCs/>
          <w:color w:val="3F827B"/>
          <w:sz w:val="22"/>
        </w:rPr>
        <w:t>RACSI.</w:t>
      </w:r>
      <w:r>
        <w:rPr>
          <w:color w:val="3F827B"/>
          <w:sz w:val="22"/>
        </w:rPr>
        <w:t xml:space="preserve"> R = FPO, PM · A = CM · C = ITL · S = SUP · I = ES, EU</w:t>
      </w:r>
      <w:bookmarkEnd w:id="79"/>
    </w:p>
    <w:p>
      <w:pPr>
        <w:pStyle w:val="Heading4"/>
        <w:rPr/>
      </w:pPr>
      <w:bookmarkStart w:id="80" w:name="Xb405e3298afa4efd642e319a5757b80327a740d"/>
      <w:r>
        <w:rPr>
          <w:b/>
          <w:color w:val="3F827B"/>
          <w:sz w:val="25"/>
        </w:rPr>
        <w:t>C4 — Competency Verification Reveals Widespread Certification Failure (would map to Phase 4, Weeks 25–29)</w:t>
      </w:r>
    </w:p>
    <w:p>
      <w:pPr>
        <w:pStyle w:val="FirstParagraph"/>
        <w:rPr/>
      </w:pPr>
      <w:r>
        <w:rPr>
          <w:b/>
          <w:bCs/>
          <w:color w:val="3F827B"/>
          <w:sz w:val="22"/>
        </w:rPr>
        <w:t>Detailed description.</w:t>
      </w:r>
      <w:r>
        <w:rPr>
          <w:color w:val="3F827B"/>
          <w:sz w:val="22"/>
        </w:rPr>
        <w:t xml:space="preserve"> A large share of one wave’s staff fail the hands-on competency test — not an individual gap but a systemic one, suggesting either the delivery or the test itself has a problem. This did not occur; every wave’s verification results cleared cleanly.</w:t>
      </w:r>
    </w:p>
    <w:p>
      <w:pPr>
        <w:pStyle w:val="BodyText"/>
        <w:rPr/>
      </w:pPr>
      <w:r>
        <w:rPr>
          <w:b/>
          <w:bCs/>
          <w:color w:val="3F827B"/>
          <w:sz w:val="22"/>
        </w:rPr>
        <w:t>Trigger.</w:t>
      </w:r>
      <w:r>
        <w:rPr>
          <w:color w:val="3F827B"/>
          <w:sz w:val="22"/>
        </w:rPr>
        <w:t xml:space="preserve"> A verification pass rate well below the near-100% Phase 4 is designed to produce.</w:t>
      </w:r>
    </w:p>
    <w:p>
      <w:pPr>
        <w:pStyle w:val="BodyText"/>
        <w:rPr/>
      </w:pPr>
      <w:r>
        <w:rPr>
          <w:b/>
          <w:bCs/>
          <w:color w:val="3F827B"/>
          <w:sz w:val="22"/>
        </w:rPr>
        <w:t>Timeline impact.</w:t>
      </w:r>
      <w:r>
        <w:rPr>
          <w:color w:val="3F827B"/>
          <w:sz w:val="22"/>
        </w:rPr>
        <w:t xml:space="preserve"> Would pause the affected wave’s Phase 4 close and require diagnosing whether the problem is in delivery or in the test itself before proceeding — a delay contained to the affected wave, not the whole program.</w:t>
      </w:r>
    </w:p>
    <w:p>
      <w:pPr>
        <w:pStyle w:val="BodyText"/>
        <w:rPr/>
      </w:pPr>
      <w:r>
        <w:rPr>
          <w:b/>
          <w:bCs/>
          <w:color w:val="3F827B"/>
          <w:sz w:val="22"/>
        </w:rPr>
        <w:t>Recovery tasks.</w:t>
      </w:r>
      <w:r>
        <w:rPr>
          <w:color w:val="3F827B"/>
          <w:sz w:val="22"/>
        </w:rPr>
        <w:t xml:space="preserve"> Diagnose whether the failure traces to delivery quality or test design; re-deliver the affected module if it is a delivery problem, or redesign the test if it is a test-validity problem; re-verify only the affected wave.</w:t>
      </w:r>
    </w:p>
    <w:p>
      <w:pPr>
        <w:pStyle w:val="BodyText"/>
        <w:rPr/>
      </w:pPr>
      <w:r>
        <w:rPr>
          <w:b/>
          <w:bCs/>
          <w:color w:val="3F827B"/>
          <w:sz w:val="22"/>
        </w:rPr>
        <w:t>Outputs.</w:t>
      </w:r>
      <w:r>
        <w:rPr>
          <w:color w:val="3F827B"/>
          <w:sz w:val="22"/>
        </w:rPr>
        <w:t xml:space="preserve"> A diagnosis record distinguishing delivery failure from test failure; a corrected delivery or test; a re-verified affected wave.</w:t>
      </w:r>
    </w:p>
    <w:p>
      <w:pPr>
        <w:pStyle w:val="BodyText"/>
        <w:rPr/>
      </w:pPr>
      <w:r>
        <w:rPr>
          <w:b/>
          <w:bCs/>
          <w:color w:val="3F827B"/>
          <w:sz w:val="22"/>
        </w:rPr>
        <w:t>RACSI.</w:t>
      </w:r>
      <w:r>
        <w:rPr>
          <w:color w:val="3F827B"/>
          <w:sz w:val="22"/>
        </w:rPr>
        <w:t xml:space="preserve"> R = PM, FPO · A = CM · C = ITL · S = SUP · I = ES, EU</w:t>
      </w:r>
      <w:bookmarkEnd w:id="80"/>
    </w:p>
    <w:p>
      <w:pPr>
        <w:pStyle w:val="Heading4"/>
        <w:rPr/>
      </w:pPr>
      <w:bookmarkStart w:id="81" w:name="X36f710795c2c3ad883e0fc51ecfec797ca40af6"/>
      <w:r>
        <w:rPr>
          <w:b/>
          <w:color w:val="3F827B"/>
          <w:sz w:val="25"/>
        </w:rPr>
        <w:t>C5 — Practical Application Reveals the Skill Doesn’t Transfer to Real Conditions (would map to Phase 5, Weeks 29–35)</w:t>
      </w:r>
    </w:p>
    <w:p>
      <w:pPr>
        <w:pStyle w:val="FirstParagraph"/>
        <w:rPr/>
      </w:pPr>
      <w:r>
        <w:rPr>
          <w:b/>
          <w:bCs/>
          <w:color w:val="3F827B"/>
          <w:sz w:val="22"/>
        </w:rPr>
        <w:t>Detailed description.</w:t>
      </w:r>
      <w:r>
        <w:rPr>
          <w:color w:val="3F827B"/>
          <w:sz w:val="22"/>
        </w:rPr>
        <w:t xml:space="preserve"> Staff pass competency verification in a controlled setting but struggle to apply the skill under real plant-floor conditions — noise, time pressure, interruptions — a transfer gap distinct from a competency gap. This did not occur; floor observation confirmed the verified skill transferred directly into daily use.</w:t>
      </w:r>
    </w:p>
    <w:p>
      <w:pPr>
        <w:pStyle w:val="BodyText"/>
        <w:rPr/>
      </w:pPr>
      <w:r>
        <w:rPr>
          <w:b/>
          <w:bCs/>
          <w:color w:val="3F827B"/>
          <w:sz w:val="22"/>
        </w:rPr>
        <w:t>Trigger.</w:t>
      </w:r>
      <w:r>
        <w:rPr>
          <w:color w:val="3F827B"/>
          <w:sz w:val="22"/>
        </w:rPr>
        <w:t xml:space="preserve"> Floor observation during Phase 5 showing verified-competent staff still defaulting to old methods under real operating pressure.</w:t>
      </w:r>
    </w:p>
    <w:p>
      <w:pPr>
        <w:pStyle w:val="BodyText"/>
        <w:rPr/>
      </w:pPr>
      <w:r>
        <w:rPr>
          <w:b/>
          <w:bCs/>
          <w:color w:val="3F827B"/>
          <w:sz w:val="22"/>
        </w:rPr>
        <w:t>Timeline impact.</w:t>
      </w:r>
      <w:r>
        <w:rPr>
          <w:color w:val="3F827B"/>
          <w:sz w:val="22"/>
        </w:rPr>
        <w:t xml:space="preserve"> Would extend Phase 5’s own monitoring period and pull forward some of Phase 6’s coaching content earlier than planned — a sequencing adjustment more than a hard delay.</w:t>
      </w:r>
    </w:p>
    <w:p>
      <w:pPr>
        <w:pStyle w:val="BodyText"/>
        <w:rPr/>
      </w:pPr>
      <w:r>
        <w:rPr>
          <w:b/>
          <w:bCs/>
          <w:color w:val="3F827B"/>
          <w:sz w:val="22"/>
        </w:rPr>
        <w:t>Recovery tasks.</w:t>
      </w:r>
      <w:r>
        <w:rPr>
          <w:color w:val="3F827B"/>
          <w:sz w:val="22"/>
        </w:rPr>
        <w:t xml:space="preserve"> Identify the specific real-condition factors causing the transfer gap; adjust practical-application support (job aids, quick-reference cards) for those conditions specifically; begin targeted coaching earlier than the formal Phase 6 start for the affected group.</w:t>
      </w:r>
    </w:p>
    <w:p>
      <w:pPr>
        <w:pStyle w:val="BodyText"/>
        <w:rPr/>
      </w:pPr>
      <w:r>
        <w:rPr>
          <w:b/>
          <w:bCs/>
          <w:color w:val="3F827B"/>
          <w:sz w:val="22"/>
        </w:rPr>
        <w:t>Outputs.</w:t>
      </w:r>
      <w:r>
        <w:rPr>
          <w:color w:val="3F827B"/>
          <w:sz w:val="22"/>
        </w:rPr>
        <w:t xml:space="preserve"> A documented transfer-gap diagnosis; condition-specific job aids; an accelerated coaching start for the affected group.</w:t>
      </w:r>
    </w:p>
    <w:p>
      <w:pPr>
        <w:pStyle w:val="BodyText"/>
        <w:rPr/>
      </w:pPr>
      <w:r>
        <w:rPr>
          <w:b/>
          <w:bCs/>
          <w:color w:val="3F827B"/>
          <w:sz w:val="22"/>
        </w:rPr>
        <w:t>RACSI.</w:t>
      </w:r>
      <w:r>
        <w:rPr>
          <w:color w:val="3F827B"/>
          <w:sz w:val="22"/>
        </w:rPr>
        <w:t xml:space="preserve"> R = CM, SUP · A = CM · C = FPO · S = PM · I = ES, ITL, EU</w:t>
      </w:r>
      <w:bookmarkEnd w:id="81"/>
    </w:p>
    <w:p>
      <w:pPr>
        <w:pStyle w:val="Heading4"/>
        <w:rPr/>
      </w:pPr>
      <w:bookmarkStart w:id="82" w:name="X06392f5e96fa8fdd5fdad919bd4bd90bc35a680"/>
      <w:r>
        <w:rPr>
          <w:b/>
          <w:color w:val="3F827B"/>
          <w:sz w:val="25"/>
        </w:rPr>
        <w:t>C6 — Sustainment Check Reveals Skill Decay Months Later (would map to Phase 7, Weeks 37–41)</w:t>
      </w:r>
    </w:p>
    <w:p>
      <w:pPr>
        <w:pStyle w:val="FirstParagraph"/>
        <w:rPr/>
      </w:pPr>
      <w:r>
        <w:rPr>
          <w:b/>
          <w:bCs/>
          <w:color w:val="3F827B"/>
          <w:sz w:val="22"/>
        </w:rPr>
        <w:t>Detailed description.</w:t>
      </w:r>
      <w:r>
        <w:rPr>
          <w:color w:val="3F827B"/>
          <w:sz w:val="22"/>
        </w:rPr>
        <w:t xml:space="preserve"> The first or second sustainment checkpoint finds that skill use has genuinely decayed — staff have quietly reverted to old methods once active coaching stopped, the exact risk Phases 5 and 6 were designed against. This did not occur; both sustainment checkpoints logged regression risk as Low.</w:t>
      </w:r>
    </w:p>
    <w:p>
      <w:pPr>
        <w:pStyle w:val="BodyText"/>
        <w:rPr/>
      </w:pPr>
      <w:r>
        <w:rPr>
          <w:b/>
          <w:bCs/>
          <w:color w:val="3F827B"/>
          <w:sz w:val="22"/>
        </w:rPr>
        <w:t>Trigger.</w:t>
      </w:r>
      <w:r>
        <w:rPr>
          <w:color w:val="3F827B"/>
          <w:sz w:val="22"/>
        </w:rPr>
        <w:t xml:space="preserve"> A sustainment checkpoint (Week 37, 38, or 41) logging regression risk as Medium or High rather than Low.</w:t>
      </w:r>
    </w:p>
    <w:p>
      <w:pPr>
        <w:pStyle w:val="BodyText"/>
        <w:rPr/>
      </w:pPr>
      <w:r>
        <w:rPr>
          <w:b/>
          <w:bCs/>
          <w:color w:val="3F827B"/>
          <w:sz w:val="22"/>
        </w:rPr>
        <w:t>Timeline impact.</w:t>
      </w:r>
      <w:r>
        <w:rPr>
          <w:color w:val="3F827B"/>
          <w:sz w:val="22"/>
        </w:rPr>
        <w:t xml:space="preserve"> Would delay program closure past Week 43 while a refresher-coaching cycle runs, and would push the second sustainment check out to confirm the refresher actually held — a real, if bounded, extension.</w:t>
      </w:r>
    </w:p>
    <w:p>
      <w:pPr>
        <w:pStyle w:val="BodyText"/>
        <w:rPr/>
      </w:pPr>
      <w:r>
        <w:rPr>
          <w:b/>
          <w:bCs/>
          <w:color w:val="3F827B"/>
          <w:sz w:val="22"/>
        </w:rPr>
        <w:t>Recovery tasks.</w:t>
      </w:r>
      <w:r>
        <w:rPr>
          <w:color w:val="3F827B"/>
          <w:sz w:val="22"/>
        </w:rPr>
        <w:t xml:space="preserve"> Run a short refresher-coaching cycle for the specific group and skill showing decay; identify whether the decay traces to a specific root cause (turnover, a system change, insufficient initial reinforcement) and address that cause directly, not just the symptom; re-run the sustainment check before closing the program.</w:t>
      </w:r>
    </w:p>
    <w:p>
      <w:pPr>
        <w:pStyle w:val="BodyText"/>
        <w:rPr/>
      </w:pPr>
      <w:r>
        <w:rPr>
          <w:b/>
          <w:bCs/>
          <w:color w:val="3F827B"/>
          <w:sz w:val="22"/>
        </w:rPr>
        <w:t>Outputs.</w:t>
      </w:r>
      <w:r>
        <w:rPr>
          <w:color w:val="3F827B"/>
          <w:sz w:val="22"/>
        </w:rPr>
        <w:t xml:space="preserve"> A refresher-coaching record; a root-cause diagnosis; a confirmed clean sustainment check before program closure.</w:t>
      </w:r>
    </w:p>
    <w:p>
      <w:pPr>
        <w:sectPr>
          <w:headerReference w:type="default" r:id="rId8"/>
          <w:headerReference w:type="first" r:id="rId9"/>
          <w:footerReference w:type="default" r:id="rId10"/>
          <w:footerReference w:type="first" r:id="rId11"/>
          <w:type w:val="nextPage"/>
          <w:pgSz w:orient="landscape" w:w="15840" w:h="12240"/>
          <w:pgMar w:left="864" w:right="864" w:gutter="0" w:header="720" w:top="1008" w:footer="720" w:bottom="1008"/>
          <w:pgNumType w:fmt="decimal"/>
          <w:formProt w:val="false"/>
          <w:textDirection w:val="lrTb"/>
          <w:docGrid w:type="default" w:linePitch="100" w:charSpace="0"/>
        </w:sectPr>
        <w:pStyle w:val="BodyText"/>
        <w:rPr/>
      </w:pPr>
      <w:r>
        <w:rPr>
          <w:b/>
          <w:bCs/>
          <w:color w:val="3F827B"/>
          <w:sz w:val="22"/>
        </w:rPr>
        <w:t>RACSI.</w:t>
      </w:r>
      <w:r>
        <w:rPr>
          <w:color w:val="3F827B"/>
          <w:sz w:val="22"/>
        </w:rPr>
        <w:t xml:space="preserve"> R = CM, SUP · A = ES · C = FPO, PM · S = ITL · I = EU</w:t>
      </w:r>
      <w:bookmarkEnd w:id="51"/>
      <w:bookmarkEnd w:id="76"/>
      <w:bookmarkEnd w:id="82"/>
    </w:p>
    <w:p>
      <w:pPr>
        <w:pStyle w:val="Heading2"/>
        <w:rPr/>
      </w:pPr>
      <w:bookmarkStart w:id="83" w:name="__RefHeading___Toc26942_3532355311"/>
      <w:bookmarkStart w:id="84" w:name="Xeb80fadbfe94db17b0e79f7292a721e14b10271"/>
      <w:bookmarkEnd w:id="83"/>
      <w:r>
        <w:rPr>
          <w:b/>
          <w:color w:val="1F4B45"/>
          <w:sz w:val="38"/>
        </w:rPr>
        <w:t>Part 5 — Curriculum Reference: The Full Course Catalog by Tier</w:t>
      </w:r>
    </w:p>
    <w:p>
      <w:pPr>
        <w:pStyle w:val="Heading3"/>
        <w:rPr/>
      </w:pPr>
      <w:bookmarkStart w:id="85" w:name="__RefHeading___Toc26944_3532355311"/>
      <w:bookmarkStart w:id="86" w:name="what-this-reference-covers"/>
      <w:bookmarkEnd w:id="85"/>
      <w:r>
        <w:rPr>
          <w:b/>
          <w:color w:val="275650"/>
          <w:sz w:val="29"/>
        </w:rPr>
        <w:t>5.1 What This Reference Covers</w:t>
      </w:r>
    </w:p>
    <w:p>
      <w:pPr>
        <w:pStyle w:val="FirstParagraph"/>
        <w:rPr/>
      </w:pPr>
      <w:r>
        <w:rPr>
          <w:sz w:val="22"/>
        </w:rPr>
        <w:t xml:space="preserve">Every other guide in this series uses Part 5 to lay out a training curriculum that runs </w:t>
      </w:r>
      <w:r>
        <w:rPr>
          <w:i/>
          <w:iCs/>
          <w:sz w:val="22"/>
        </w:rPr>
        <w:t>alongside</w:t>
      </w:r>
      <w:r>
        <w:rPr>
          <w:sz w:val="22"/>
        </w:rPr>
        <w:t xml:space="preserve"> the program Part 4 already narrated. This guide cannot do that, because training is not a supporting track here — it is the entire content of Part 4’s seven phases. Part 5 instead does something more useful for this specific archetype: it consolidates every course that appeared across Part 4’s 43 weeks into one standing catalog, organized by tier, so a Learning &amp; Development team can keep using it as a reference long after the program itself closes on Week 43 — the one deliverable in this guide meant to outlive the program, not just document it.</w:t>
      </w:r>
      <w:bookmarkEnd w:id="86"/>
    </w:p>
    <w:p>
      <w:pPr>
        <w:pStyle w:val="Heading3"/>
        <w:rPr/>
      </w:pPr>
      <w:bookmarkStart w:id="87" w:name="__RefHeading___Toc26946_3532355311"/>
      <w:bookmarkEnd w:id="87"/>
      <w:r>
        <w:rPr>
          <w:b/>
          <w:color w:val="275650"/>
          <w:sz w:val="29"/>
        </w:rPr>
        <w:t>5.2 Tier 1 — Strategic Management</w:t>
      </w:r>
    </w:p>
    <w:p>
      <w:pPr>
        <w:pStyle w:val="FirstParagraph"/>
        <w:rPr/>
      </w:pPr>
      <w:r>
        <w:rPr>
          <w:b/>
          <w:bCs/>
          <w:color w:val="3F827B"/>
          <w:sz w:val="22"/>
        </w:rPr>
        <w:t>Cohort.</w:t>
      </w:r>
      <w:r>
        <w:rPr>
          <w:color w:val="3F827B"/>
          <w:sz w:val="22"/>
        </w:rPr>
        <w:t xml:space="preserve"> Fouad Belghazi (Sponsor, VP Manufacturing Operations) and the Kenitra and Settat plant directors.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7"/>
        <w:gridCol w:w="2628"/>
        <w:gridCol w:w="2628"/>
        <w:gridCol w:w="2628"/>
      </w:tblGrid>
      <w:tr>
        <w:trPr>
          <w:tblHeader w:val="true"/>
          <w:cantSplit w:val="true"/>
        </w:trPr>
        <w:tc>
          <w:tcPr>
            <w:tcW w:w="262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 Delivered</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Sponsoring a Standalone Skills Program</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Why a program with no go-live of its own still needs sustained sponsorship, not a one-time launch announcement, to hold through 43 weeks.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“Sponsoring a Standalone Skills Program” · Cohort: “Sponsor, Plant Directors.”</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Reading a Sustainment Checkpoint as Real Evidence</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 to read Phase 7’s two sustainment checks as accountable evidence of retained skill, not a closeout formality.</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36</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“Reading a Sustainment Checkpoint as Real Evidence” · Cohort: “Sponsor, Plant Directors.”</w:t>
            </w:r>
            <w:bookmarkStart w:id="88" w:name="tier-1-strategic-management"/>
            <w:bookmarkEnd w:id="88"/>
          </w:p>
        </w:tc>
      </w:tr>
    </w:tbl>
    <w:p>
      <w:pPr>
        <w:pStyle w:val="Heading3"/>
        <w:rPr/>
      </w:pPr>
      <w:bookmarkStart w:id="89" w:name="__RefHeading___Toc26948_3532355311"/>
      <w:bookmarkEnd w:id="89"/>
      <w:r>
        <w:rPr>
          <w:b/>
          <w:color w:val="275650"/>
          <w:sz w:val="29"/>
        </w:rPr>
        <w:t>5.3 Tier 2 — Operational Management</w:t>
      </w:r>
    </w:p>
    <w:p>
      <w:pPr>
        <w:pStyle w:val="FirstParagraph"/>
        <w:rPr/>
      </w:pPr>
      <w:r>
        <w:rPr>
          <w:b/>
          <w:bCs/>
          <w:color w:val="3F827B"/>
          <w:sz w:val="22"/>
        </w:rPr>
        <w:t>Cohort.</w:t>
      </w:r>
      <w:r>
        <w:rPr>
          <w:color w:val="3F827B"/>
          <w:sz w:val="22"/>
        </w:rPr>
        <w:t xml:space="preserve"> Karima Semlali (Kenitra Plant Floor Supervisor), Mustapha Idrissi (Settat Plant Floor Supervisor), and the delivery team.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7"/>
        <w:gridCol w:w="2628"/>
        <w:gridCol w:w="2628"/>
        <w:gridCol w:w="2628"/>
      </w:tblGrid>
      <w:tr>
        <w:trPr>
          <w:tblHeader w:val="true"/>
          <w:cantSplit w:val="true"/>
        </w:trPr>
        <w:tc>
          <w:tcPr>
            <w:tcW w:w="262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 Delivered</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Train-the-Trainer, Digital Skills Program</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Preparing the delivery team to teach the finalized curriculum consistently across both plants.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“Train-the-Trainer, Digital Skills Program” · Cohort: “Delivery Team.”</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Coaching the New Skill On the Floor</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Preparing shift supervisors to run structured, observation-based coaching rounds rather than informal check-ins.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31</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“Coaching the New Skill On the Floor” · Cohort: “Kenitra, Settat Supervisors.”</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Targeted Coaching Follow-Up</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further session for supervisors addressing recurring skill gaps found during coaching rounds.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37</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“Targeted Coaching Follow-Up” · Cohort: as identified.</w:t>
            </w:r>
          </w:p>
        </w:tc>
      </w:tr>
    </w:tbl>
    <w:p>
      <w:pPr>
        <w:pStyle w:val="Heading3"/>
        <w:rPr/>
      </w:pPr>
      <w:bookmarkStart w:id="90" w:name="__RefHeading___Toc26950_3532355311"/>
      <w:bookmarkEnd w:id="90"/>
      <w:r>
        <w:rPr>
          <w:b/>
          <w:color w:val="275650"/>
          <w:sz w:val="29"/>
        </w:rPr>
        <w:t>5.4 Tier 3 — Operations (Frontline)</w:t>
      </w:r>
    </w:p>
    <w:p>
      <w:pPr>
        <w:pStyle w:val="FirstParagraph"/>
        <w:rPr/>
      </w:pPr>
      <w:r>
        <w:rPr>
          <w:b/>
          <w:bCs/>
          <w:color w:val="3F827B"/>
          <w:sz w:val="22"/>
        </w:rPr>
        <w:t>Cohort.</w:t>
      </w:r>
      <w:r>
        <w:rPr>
          <w:color w:val="3F827B"/>
          <w:sz w:val="22"/>
        </w:rPr>
        <w:t xml:space="preserve"> All 620 plant-floor staff at Kenitra and Settat.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7"/>
        <w:gridCol w:w="2628"/>
        <w:gridCol w:w="2628"/>
        <w:gridCol w:w="2628"/>
      </w:tblGrid>
      <w:tr>
        <w:trPr>
          <w:tblHeader w:val="true"/>
          <w:cantSplit w:val="true"/>
        </w:trPr>
        <w:tc>
          <w:tcPr>
            <w:tcW w:w="262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 Delivered</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Module 1: Systems Navigation Basics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Core digital-systems navigation for staff without prior systems training.</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15 (pilot), 24–27 (full deployment)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“Module 1: Systems Navigation Basics” · Cohort: “Kenitra Pilot” / “Kenitra, Wave 1–2” / “Settat, Wave 1–2.”</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Module 2: Digital Data Entry</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checkable data-entry steps on the systems staff use daily.</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16 (pilot), 24–27 (full deployment)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“Module 2: Digital Data Entry” · Cohort: as above.</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Module 3: Digital Work Instructions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Reading and following digital work instructions in place of paper-based ones.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17 (pilot), 24–27 (full deployment)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“Module 3: Digital Work Instructions” · Cohort: as above.</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Modules 1–3, Make-Up Session</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curriculum delivered to staff absent from their scheduled wave.</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28</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“Modules 1–3, Make-Up Session” · Cohort: “Kenitra, Settat.”</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Targeted Refresher</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short, focused session for staff or modules where competency verification found a gap.</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“Targeted Refresher” · Cohort: as identified by verification results.</w:t>
            </w:r>
          </w:p>
        </w:tc>
      </w:tr>
    </w:tbl>
    <w:p>
      <w:pPr>
        <w:pStyle w:val="Heading3"/>
        <w:rPr/>
      </w:pPr>
      <w:bookmarkStart w:id="91" w:name="__RefHeading___Toc26952_3532355311"/>
      <w:bookmarkEnd w:id="91"/>
      <w:r>
        <w:rPr>
          <w:b/>
          <w:color w:val="275650"/>
          <w:sz w:val="29"/>
        </w:rPr>
        <w:t>5.5 Why a Course Catalog, Not a Persuasion Curriculum, Closes This Guide</w:t>
      </w:r>
    </w:p>
    <w:p>
      <w:pPr>
        <w:pStyle w:val="FirstParagraph"/>
        <w:spacing w:before="180" w:after="180"/>
        <w:rPr/>
      </w:pPr>
      <w:bookmarkStart w:id="92" w:name="Xeb80fadbfe94db17b0e79f7292a721e14b10271"/>
      <w:r>
        <w:rPr>
          <w:sz w:val="22"/>
        </w:rPr>
        <w:t>Every other guide in this series closes Part 5 with a training program built to move people through a change they didn’t choose — sponsoring it, operating under it, or living with its day-to-day consequences. This program has no such change to sell; its entire purpose from Week 1 was building a skill, and Part 4 already carried that work in full operational detail. What a reader needs from Part 5 here is not another curriculum, but a single place to find every course this program ever ran, by tier, with the week it ran and the exact M9 entry that logged it — the reference an L&amp;D team reaches for on Week 60, Week 100, or two years later, when Kenitra and Settat’s plant floor keeps changing and this catalog is the record of where the workforce’s digital-skills baseline actually came from.</w:t>
      </w:r>
      <w:bookmarkEnd w:id="92"/>
    </w:p>
    <w:sectPr>
      <w:headerReference w:type="default" r:id="rId12"/>
      <w:headerReference w:type="first" r:id="rId13"/>
      <w:footerReference w:type="default" r:id="rId14"/>
      <w:footerReference w:type="first" r:id="rId15"/>
      <w:type w:val="nextPage"/>
      <w:pgSz w:w="12240" w:h="15840"/>
      <w:pgMar w:left="864" w:right="864"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27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29</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Building a Plant-Floor Digital Skills Program (One Bouregreg)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Building a Plant-Floor Digital Skills Program (One Bouregreg)</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Building a Plant-Floor Digital Skills Program (One Bouregreg)</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Building a Plant-Floor Digital Skills Program (One Bouregreg)</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4"/>
    <w:lvlOverride w:ilvl="0">
      <w:startOverride w:val="1"/>
    </w:lvlOverride>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z w:val="22"/>
    </w:rPr>
  </w:style>
  <w:style w:type="paragraph" w:styleId="Compact" w:customStyle="1">
    <w:name w:val="Compact"/>
    <w:basedOn w:val="BodyText"/>
    <w:qFormat/>
    <w:pPr>
      <w:spacing w:before="36" w:after="36"/>
    </w:pPr>
    <w:rPr>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z w:val="22"/>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10229" w:leader="dot"/>
      </w:tabs>
      <w:ind w:hanging="0" w:left="283"/>
    </w:pPr>
    <w:rPr/>
  </w:style>
  <w:style w:type="paragraph" w:styleId="TOC3">
    <w:name w:val="TOC 3"/>
    <w:basedOn w:val="Index"/>
    <w:pPr>
      <w:tabs>
        <w:tab w:val="clear" w:pos="720"/>
        <w:tab w:val="right" w:pos="994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29</Pages>
  <Words>6899</Words>
  <Characters>38594</Characters>
  <CharactersWithSpaces>44812</CharactersWithSpaces>
  <Paragraphs>1012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2026-09-04T18:07:08Z</dcterms:created>
  <dc:creator/>
  <dc:description/>
  <dc:language>en-US</dc:language>
  <cp:lastModifiedBy/>
  <dcterms:modified xsi:type="dcterms:W3CDTF">2026-09-04T18:07:13Z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