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20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 August 2026 · Confidential</w:t>
      </w:r>
    </w:p>
    <w:p>
      <w:r>
        <w:rPr>
          <w:sz w:val="25"/>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rPr>
          <w:sz w:val="25"/>
        </w:rPr>
        <w:br w:type="page"/>
      </w:r>
    </w:p>
    <w:p>
      <w:r>
        <w:rPr>
          <w:sz w:val="25"/>
        </w:rPr>
        <w:pict>
          <v:rect style="width:0;height:1.5pt" o:hralign="center" o:hrstd="t" o:hr="t"/>
        </w:pict>
      </w:r>
    </w:p>
    <w:p>
      <w:pPr>
        <w:pStyle w:val="FirstParagraph"/>
      </w:pPr>
    </w:p>
    <w:bookmarkStart w:id="24" w:name="part-0-purpose-and-how-to-use-this-guide"/>
    <w:p>
      <w:pPr>
        <w:pStyle w:val="Heading2"/>
      </w:pPr>
      <w:r>
        <w:rPr>
          <w:b/>
          <w:color w:val="275650"/>
          <w:sz w:val="34"/>
        </w:rPr>
        <w:t xml:space="preserve">Part 0 — Purpose and How to Use This Guide</w:t>
      </w:r>
    </w:p>
    <w:bookmarkStart w:id="20" w:name="what-this-guide-is"/>
    <w:p>
      <w:pPr>
        <w:pStyle w:val="Heading3"/>
      </w:pPr>
      <w:r>
        <w:rPr>
          <w:b/>
          <w:color w:val="3F827B"/>
          <w:sz w:val="29"/>
        </w:rPr>
        <w:t xml:space="preserve">What this guide is</w:t>
      </w:r>
    </w:p>
    <w:p>
      <w:pPr>
        <w:pStyle w:val="FirstParagraph"/>
      </w:pPr>
      <w:r>
        <w:rPr>
          <w:sz w:val="25"/>
        </w:rPr>
        <w:t xml:space="preserve">This is journi’s single comprehensive reference: one guide that starts at a genuinely empty tenant, walks through every one of journi’s 20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rPr>
          <w:sz w:val="25"/>
        </w:rPr>
        <w:t xml:space="preserve">It is organized in five parts:</w:t>
      </w:r>
    </w:p>
    <w:p>
      <w:pPr>
        <w:numPr>
          <w:ilvl w:val="0"/>
          <w:numId w:val="1001"/>
        </w:numPr>
        <w:pStyle w:val="Compact"/>
      </w:pPr>
      <w:r>
        <w:rPr>
          <w:bCs/>
          <w:b/>
          <w:sz w:val="25"/>
        </w:rPr>
        <w:t xml:space="preserve">Part 1 — Tenant and Admin Setup.</w:t>
      </w:r>
      <w:r>
        <w:rPr>
          <w:sz w:val="25"/>
        </w:rPr>
        <w:t xml:space="preserve"> </w:t>
      </w:r>
      <w:r>
        <w:rPr>
          <w:sz w:val="25"/>
        </w:rPr>
        <w:t xml:space="preserve">How a brand-new journi tenant is actually built, from the License record through the first Change Management Project, using a new scenario organization created for this guide:</w:t>
      </w:r>
      <w:r>
        <w:rPr>
          <w:sz w:val="25"/>
        </w:rPr>
        <w:t xml:space="preserve"> </w:t>
      </w:r>
      <w:r>
        <w:rPr>
          <w:bCs/>
          <w:b/>
          <w:sz w:val="25"/>
        </w:rPr>
        <w:t xml:space="preserve">Bouregreg Group</w:t>
      </w:r>
      <w:r>
        <w:rPr>
          <w:sz w:val="25"/>
        </w:rPr>
        <w:t xml:space="preserve">, a Moroccan manufacturing group.</w:t>
      </w:r>
    </w:p>
    <w:p>
      <w:pPr>
        <w:numPr>
          <w:ilvl w:val="0"/>
          <w:numId w:val="1001"/>
        </w:numPr>
        <w:pStyle w:val="Compact"/>
      </w:pPr>
      <w:r>
        <w:rPr>
          <w:bCs/>
          <w:b/>
          <w:sz w:val="25"/>
        </w:rPr>
        <w:t xml:space="preserve">Part 1B — Week-by-Week ERP Implementation Timeline.</w:t>
      </w:r>
      <w:r>
        <w:rPr>
          <w:sz w:val="25"/>
        </w:rPr>
        <w:t xml:space="preserve"> </w:t>
      </w:r>
      <w:r>
        <w:rPr>
          <w:sz w:val="25"/>
        </w:rPr>
        <w:t xml:space="preserve">The Bouregreg ERP Adoption Program run forward week by week for its full 64-week duration, across all four frameworks’ real stage vocabulary, in journi’s own 8-phase ERP structure — normal flow first, then six realistic exception scenarios in the same level of detail.</w:t>
      </w:r>
    </w:p>
    <w:p>
      <w:pPr>
        <w:numPr>
          <w:ilvl w:val="0"/>
          <w:numId w:val="1001"/>
        </w:numPr>
        <w:pStyle w:val="Compact"/>
      </w:pPr>
      <w:r>
        <w:rPr>
          <w:bCs/>
          <w:b/>
          <w:sz w:val="25"/>
        </w:rPr>
        <w:t xml:space="preserve">Part 2 — Module-by-Module Feature Tour.</w:t>
      </w:r>
      <w:r>
        <w:rPr>
          <w:sz w:val="25"/>
        </w:rPr>
        <w:t xml:space="preserve"> </w:t>
      </w:r>
      <w:r>
        <w:rPr>
          <w:sz w:val="25"/>
        </w:rPr>
        <w:t xml:space="preserve">All 20 modules, each demonstrated against Bouregreg Group’s real, growing data set, with CRUD and RBAC behavior called out per role.</w:t>
      </w:r>
    </w:p>
    <w:p>
      <w:pPr>
        <w:numPr>
          <w:ilvl w:val="0"/>
          <w:numId w:val="1001"/>
        </w:numPr>
        <w:pStyle w:val="Compact"/>
      </w:pPr>
      <w:r>
        <w:rPr>
          <w:bCs/>
          <w:b/>
          <w:sz w:val="25"/>
        </w:rPr>
        <w:t xml:space="preserve">Part 3 — All 16 End-to-End Process Walkthroughs.</w:t>
      </w:r>
      <w:r>
        <w:rPr>
          <w:sz w:val="25"/>
        </w:rPr>
        <w:t xml:space="preserve"> </w:t>
      </w:r>
      <w:r>
        <w:rPr>
          <w:sz w:val="25"/>
        </w:rPr>
        <w:t xml:space="preserve">Every process in the End-to-End Process Catalogue — the 4 core Change Management chains, the 4 cross-cutting loops, and the 8 transformation-type lifecycles — each walked through step by step against Bouregreg Group’s data.</w:t>
      </w:r>
    </w:p>
    <w:p>
      <w:pPr>
        <w:numPr>
          <w:ilvl w:val="0"/>
          <w:numId w:val="1001"/>
        </w:numPr>
        <w:pStyle w:val="Compact"/>
      </w:pPr>
      <w:r>
        <w:rPr>
          <w:bCs/>
          <w:b/>
          <w:sz w:val="25"/>
        </w:rPr>
        <w:t xml:space="preserve">Part 4 — Change Management Scenario Library.</w:t>
      </w:r>
      <w:r>
        <w:rPr>
          <w:sz w:val="25"/>
        </w:rPr>
        <w:t xml:space="preserve"> </w:t>
      </w:r>
      <w:r>
        <w:rPr>
          <w:sz w:val="25"/>
        </w:rP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1"/>
        </w:numPr>
        <w:pStyle w:val="Compact"/>
      </w:pPr>
      <w:r>
        <w:rPr>
          <w:bCs/>
          <w:b/>
          <w:sz w:val="25"/>
        </w:rPr>
        <w:t xml:space="preserve">Part 5 — Alerts and Analytics Reference.</w:t>
      </w:r>
      <w:r>
        <w:rPr>
          <w:sz w:val="25"/>
        </w:rPr>
        <w:t xml:space="preserve"> </w:t>
      </w:r>
      <w:r>
        <w:rPr>
          <w:sz w:val="25"/>
        </w:rPr>
        <w:t xml:space="preserve">All of journi’s live-computed alerts and dashboards, what triggers each, and where to find them.</w:t>
      </w:r>
    </w:p>
    <w:bookmarkEnd w:id="20"/>
    <w:bookmarkStart w:id="21" w:name="how-to-use-it"/>
    <w:p>
      <w:pPr>
        <w:pStyle w:val="Heading3"/>
      </w:pPr>
      <w:r>
        <w:rPr>
          <w:b/>
          <w:color w:val="3F827B"/>
          <w:sz w:val="29"/>
        </w:rPr>
        <w:t xml:space="preserve">How to use it</w:t>
      </w:r>
    </w:p>
    <w:p>
      <w:pPr>
        <w:pStyle w:val="FirstParagraph"/>
      </w:pPr>
      <w:r>
        <w:rPr>
          <w:sz w:val="25"/>
        </w:rP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1"/>
    <w:bookmarkStart w:id="22" w:name="a-note-on-fidelity"/>
    <w:p>
      <w:pPr>
        <w:pStyle w:val="Heading3"/>
      </w:pPr>
      <w:r>
        <w:rPr>
          <w:b/>
          <w:color w:val="3F827B"/>
          <w:sz w:val="29"/>
        </w:rPr>
        <w:t xml:space="preserve">A note on fidelity</w:t>
      </w:r>
    </w:p>
    <w:p>
      <w:pPr>
        <w:pStyle w:val="FirstParagraph"/>
      </w:pPr>
      <w:r>
        <w:rPr>
          <w:sz w:val="25"/>
        </w:rP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bookmarkEnd w:id="22"/>
    <w:bookmarkStart w:id="23" w:name="reading-paths-by-role"/>
    <w:p>
      <w:pPr>
        <w:pStyle w:val="Heading3"/>
      </w:pPr>
      <w:r>
        <w:rPr>
          <w:b/>
          <w:color w:val="3F827B"/>
          <w:sz w:val="29"/>
        </w:rPr>
        <w:t xml:space="preserve">Reading paths, by role</w:t>
      </w:r>
    </w:p>
    <w:p>
      <w:pPr>
        <w:pStyle w:val="FirstParagraph"/>
      </w:pPr>
      <w:r>
        <w:rPr>
          <w:sz w:val="25"/>
        </w:rPr>
        <w:t xml:space="preserve">This guide is long by design, and no single reader needs all of it at once. A few starting points:</w:t>
      </w:r>
    </w:p>
    <w:p>
      <w:pPr>
        <w:numPr>
          <w:ilvl w:val="0"/>
          <w:numId w:val="1002"/>
        </w:numPr>
        <w:pStyle w:val="Compact"/>
      </w:pPr>
      <w:r>
        <w:rPr>
          <w:bCs/>
          <w:b/>
          <w:sz w:val="25"/>
        </w:rPr>
        <w:t xml:space="preserve">A Super Admin setting up a new tenant:</w:t>
      </w:r>
      <w:r>
        <w:rPr>
          <w:sz w:val="25"/>
        </w:rPr>
        <w:t xml:space="preserve"> </w:t>
      </w:r>
      <w:r>
        <w:rPr>
          <w:sz w:val="25"/>
        </w:rPr>
        <w:t xml:space="preserve">Part 1 in full, then Part 2 as a standing reference once modules are in use.</w:t>
      </w:r>
    </w:p>
    <w:p>
      <w:pPr>
        <w:numPr>
          <w:ilvl w:val="0"/>
          <w:numId w:val="1002"/>
        </w:numPr>
        <w:pStyle w:val="Compact"/>
      </w:pPr>
      <w:r>
        <w:rPr>
          <w:bCs/>
          <w:b/>
          <w:sz w:val="25"/>
        </w:rPr>
        <w:t xml:space="preserve">A Change Manager running a program day to day:</w:t>
      </w:r>
      <w:r>
        <w:rPr>
          <w:sz w:val="25"/>
        </w:rPr>
        <w:t xml:space="preserve"> </w:t>
      </w:r>
      <w:r>
        <w:rPr>
          <w:sz w:val="25"/>
        </w:rPr>
        <w:t xml:space="preserve">Part 1B in full — it is written as the operating manual for exactly this role — then Part 2 for any module whose fields aren’t yet familiar, and Part 5 kept open alongside the Notification Center.</w:t>
      </w:r>
    </w:p>
    <w:p>
      <w:pPr>
        <w:numPr>
          <w:ilvl w:val="0"/>
          <w:numId w:val="1002"/>
        </w:numPr>
        <w:pStyle w:val="Compact"/>
      </w:pPr>
      <w:r>
        <w:rPr>
          <w:bCs/>
          <w:b/>
          <w:sz w:val="25"/>
        </w:rPr>
        <w:t xml:space="preserve">A Program/Project Manager focused on the PM ↔ CM boundary:</w:t>
      </w:r>
      <w:r>
        <w:rPr>
          <w:sz w:val="25"/>
        </w:rPr>
        <w:t xml:space="preserve"> </w:t>
      </w:r>
      <w:r>
        <w:rPr>
          <w:sz w:val="25"/>
        </w:rPr>
        <w:t xml:space="preserve">Part 3’s E2E-06 (Governance Bridge), Part 1B.3’s eight Phase Gates, and Section 5.6’s alert cross-reference, which is PM-facing by design for ALT-008 and ALT-009.</w:t>
      </w:r>
    </w:p>
    <w:p>
      <w:pPr>
        <w:numPr>
          <w:ilvl w:val="0"/>
          <w:numId w:val="1002"/>
        </w:numPr>
        <w:pStyle w:val="Compact"/>
      </w:pPr>
      <w:r>
        <w:rPr>
          <w:bCs/>
          <w:b/>
          <w:sz w:val="25"/>
        </w:rPr>
        <w:t xml:space="preserve">An Executive Sponsor or Steering Committee member:</w:t>
      </w:r>
      <w:r>
        <w:rPr>
          <w:sz w:val="25"/>
        </w:rPr>
        <w:t xml:space="preserve"> </w:t>
      </w:r>
      <w:r>
        <w:rPr>
          <w:sz w:val="25"/>
        </w:rPr>
        <w:t xml:space="preserve">Part 0 for orientation, Part 1B.2’s calendar and 1B.6’s month-by-month account for the shape of the program, and Section 5.5 for which alerts name that role directly.</w:t>
      </w:r>
    </w:p>
    <w:p>
      <w:pPr>
        <w:numPr>
          <w:ilvl w:val="0"/>
          <w:numId w:val="1002"/>
        </w:numPr>
        <w:pStyle w:val="Compact"/>
      </w:pPr>
      <w:r>
        <w:rPr>
          <w:bCs/>
          <w:b/>
          <w:sz w:val="25"/>
        </w:rPr>
        <w:t xml:space="preserve">Someone evaluating journi for a new organization, not yet a Change Manager:</w:t>
      </w:r>
      <w:r>
        <w:rPr>
          <w:sz w:val="25"/>
        </w:rPr>
        <w:t xml:space="preserve"> </w:t>
      </w:r>
      <w:r>
        <w:rPr>
          <w:sz w:val="25"/>
        </w:rPr>
        <w:t xml:space="preserve">Part 0, then Part 4 in full — the fastest way to see the breadth of what one journi tenant can actually hold.</w:t>
      </w:r>
    </w:p>
    <w:p>
      <w:pPr>
        <w:numPr>
          <w:ilvl w:val="0"/>
          <w:numId w:val="1002"/>
        </w:numPr>
        <w:pStyle w:val="Compact"/>
      </w:pPr>
      <w:r>
        <w:rPr>
          <w:bCs/>
          <w:b/>
          <w:sz w:val="25"/>
        </w:rPr>
        <w:t xml:space="preserve">Someone who just needs one fact fast:</w:t>
      </w:r>
      <w:r>
        <w:rPr>
          <w:sz w:val="25"/>
        </w:rPr>
        <w:t xml:space="preserve"> </w:t>
      </w:r>
      <w:r>
        <w:rPr>
          <w:sz w:val="25"/>
        </w:rPr>
        <w:t xml:space="preserve">the Appendix, A.1 through A.6, is built as a standalone quick-reference and does not require having read the rest of the guide first.</w:t>
      </w:r>
    </w:p>
    <w:p>
      <w:r>
        <w:rPr>
          <w:sz w:val="25"/>
        </w:rPr>
        <w:pict>
          <v:rect style="width:0;height:1.5pt" o:hralign="center" o:hrstd="t" o:hr="t"/>
        </w:pict>
      </w:r>
    </w:p>
    <w:p>
      <w:pPr>
        <w:pStyle w:val="FirstParagraph"/>
      </w:pPr>
    </w:p>
    <w:bookmarkEnd w:id="23"/>
    <w:bookmarkEnd w:id="24"/>
    <w:bookmarkStart w:id="34" w:name="part-1-tenant-and-admin-setup"/>
    <w:p>
      <w:pPr>
        <w:pStyle w:val="Heading2"/>
      </w:pPr>
      <w:r>
        <w:rPr>
          <w:b/>
          <w:color w:val="275650"/>
          <w:sz w:val="34"/>
        </w:rPr>
        <w:t xml:space="preserve">Part 1 — Tenant and Admin Setup</w:t>
      </w:r>
    </w:p>
    <w:p>
      <w:pPr>
        <w:pStyle w:val="FirstParagraph"/>
      </w:pPr>
    </w:p>
    <w:bookmarkStart w:id="25" w:name="journis-tenant-model"/>
    <w:p>
      <w:pPr>
        <w:pStyle w:val="Heading3"/>
      </w:pPr>
      <w:r>
        <w:rPr>
          <w:b/>
          <w:color w:val="3F827B"/>
          <w:sz w:val="29"/>
        </w:rPr>
        <w:t xml:space="preserve">1.1 journi’s Tenant Model</w:t>
      </w:r>
    </w:p>
    <w:p>
      <w:pPr>
        <w:pStyle w:val="FirstParagraph"/>
      </w:pPr>
      <w:r>
        <w:rPr>
          <w:sz w:val="25"/>
        </w:rP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5"/>
        </w:rPr>
        <w:t xml:space="preserve">journi.state.v1</w:t>
      </w:r>
      <w:r>
        <w:rPr>
          <w:sz w:val="25"/>
        </w:rPr>
        <w:t xml:space="preserve">) and, in a real deployment, in that tenant’s own database. There is no in-app</w:t>
      </w:r>
      <w:r>
        <w:rPr>
          <w:sz w:val="25"/>
        </w:rPr>
        <w:t xml:space="preserve"> </w:t>
      </w:r>
      <w:r>
        <w:rPr>
          <w:sz w:val="25"/>
        </w:rPr>
        <w:t xml:space="preserve">“</w:t>
      </w:r>
      <w:r>
        <w:rPr>
          <w:sz w:val="25"/>
        </w:rPr>
        <w:t xml:space="preserve">switch tenant</w:t>
      </w:r>
      <w:r>
        <w:rPr>
          <w:sz w:val="25"/>
        </w:rPr>
        <w:t xml:space="preserve">”</w:t>
      </w:r>
      <w:r>
        <w:rPr>
          <w:sz w:val="25"/>
        </w:rPr>
        <w:t xml:space="preserve"> </w:t>
      </w:r>
      <w:r>
        <w:rPr>
          <w:sz w:val="25"/>
        </w:rPr>
        <w:t xml:space="preserve">control, because there is nothing to switch between: one journi deployment is one tenant, in the same way one browser profile is one tenant in this demo build.</w:t>
      </w:r>
    </w:p>
    <w:p>
      <w:pPr>
        <w:pStyle w:val="BodyText"/>
      </w:pPr>
      <w:r>
        <w:rPr>
          <w:sz w:val="25"/>
        </w:rPr>
        <w:t xml:space="preserve">Two consequences follow directly from this model, and this guide states them plainly rather than gloss over them:</w:t>
      </w:r>
    </w:p>
    <w:p>
      <w:pPr>
        <w:numPr>
          <w:ilvl w:val="0"/>
          <w:numId w:val="1003"/>
        </w:numPr>
        <w:pStyle w:val="Compact"/>
      </w:pPr>
      <w:r>
        <w:rPr>
          <w:bCs/>
          <w:b/>
          <w:sz w:val="25"/>
        </w:rPr>
        <w:t xml:space="preserve">Creating a new tenant means starting from a blank deployment</w:t>
      </w:r>
      <w:r>
        <w:rPr>
          <w:sz w:val="25"/>
        </w:rPr>
        <w:t xml:space="preserve">, not filling out a</w:t>
      </w:r>
      <w:r>
        <w:rPr>
          <w:sz w:val="25"/>
        </w:rPr>
        <w:t xml:space="preserve"> </w:t>
      </w:r>
      <w:r>
        <w:rPr>
          <w:sz w:val="25"/>
        </w:rPr>
        <w:t xml:space="preserve">“</w:t>
      </w:r>
      <w:r>
        <w:rPr>
          <w:sz w:val="25"/>
        </w:rPr>
        <w:t xml:space="preserve">New Tenant</w:t>
      </w:r>
      <w:r>
        <w:rPr>
          <w:sz w:val="25"/>
        </w:rPr>
        <w:t xml:space="preserve">”</w:t>
      </w:r>
      <w:r>
        <w:rPr>
          <w:sz w:val="25"/>
        </w:rPr>
        <w:t xml:space="preserve"> </w:t>
      </w:r>
      <w:r>
        <w:rPr>
          <w:sz w:val="25"/>
        </w:rP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rPr>
          <w:sz w:val="25"/>
        </w:rPr>
        <w:t xml:space="preserve"> </w:t>
      </w:r>
      <w:r>
        <w:rPr>
          <w:iCs/>
          <w:i/>
          <w:sz w:val="25"/>
        </w:rPr>
        <w:t xml:space="preserve">steps</w:t>
      </w:r>
      <w:r>
        <w:rPr>
          <w:sz w:val="25"/>
        </w:rPr>
        <w:t xml:space="preserve"> </w:t>
      </w:r>
      <w:r>
        <w:rPr>
          <w:sz w:val="25"/>
        </w:rPr>
        <w:t xml:space="preserve">a Super Admin then takes are identical, and those steps are what this Part walks through.</w:t>
      </w:r>
    </w:p>
    <w:p>
      <w:pPr>
        <w:numPr>
          <w:ilvl w:val="0"/>
          <w:numId w:val="1003"/>
        </w:numPr>
        <w:pStyle w:val="Compact"/>
      </w:pPr>
      <w:r>
        <w:rPr>
          <w:bCs/>
          <w:b/>
          <w:sz w:val="25"/>
        </w:rPr>
        <w:t xml:space="preserve">A tenant can hold more than one Organization.</w:t>
      </w:r>
      <w:r>
        <w:rPr>
          <w:sz w:val="25"/>
        </w:rPr>
        <w:t xml:space="preserve"> </w:t>
      </w:r>
      <w:r>
        <w:rPr>
          <w:sz w:val="25"/>
        </w:rP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5"/>
    <w:bookmarkStart w:id="26" w:name="X8d889634a4f66c9633f93ca38d304cdaa6089fc"/>
    <w:p>
      <w:pPr>
        <w:pStyle w:val="Heading3"/>
      </w:pPr>
      <w:r>
        <w:rPr>
          <w:b/>
          <w:color w:val="3F827B"/>
          <w:sz w:val="29"/>
        </w:rPr>
        <w:t xml:space="preserve">1.2 The Scenario Organization: Bouregreg Group</w:t>
      </w:r>
    </w:p>
    <w:p>
      <w:pPr>
        <w:pStyle w:val="FirstParagraph"/>
      </w:pPr>
      <w:r>
        <w:rPr>
          <w:sz w:val="25"/>
        </w:rP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Element</w:t>
            </w:r>
          </w:p>
        </w:tc>
        <w:tc>
          <w:tcPr>
            <w:shd w:val="clear" w:fill="1F4B45"/>
          </w:tcPr>
          <w:p>
            <w:pPr>
              <w:pStyle w:val="Compact"/>
              <w:jc w:val="left"/>
            </w:pPr>
            <w:r>
              <w:rPr>
                <w:b/>
                <w:color w:val="FFFFFF"/>
                <w:sz w:val="22"/>
              </w:rPr>
              <w:t xml:space="preserve">Value</w:t>
            </w:r>
          </w:p>
        </w:tc>
      </w:tr>
      <w:tr>
        <w:trPr>
          <w:cantSplit/>
        </w:trPr>
        <w:tc>
          <w:tcPr/>
          <w:p>
            <w:pPr>
              <w:pStyle w:val="Compact"/>
              <w:jc w:val="left"/>
            </w:pPr>
            <w:r>
              <w:rPr>
                <w:sz w:val="22"/>
              </w:rPr>
              <w:t xml:space="preserve">Group</w:t>
            </w:r>
          </w:p>
        </w:tc>
        <w:tc>
          <w:tcPr/>
          <w:p>
            <w:pPr>
              <w:pStyle w:val="Compact"/>
              <w:jc w:val="left"/>
            </w:pPr>
            <w:r>
              <w:rPr>
                <w:sz w:val="22"/>
              </w:rPr>
              <w:t xml:space="preserve">Bouregreg Group</w:t>
            </w:r>
          </w:p>
        </w:tc>
      </w:tr>
      <w:tr>
        <w:trPr>
          <w:cantSplit/>
        </w:trPr>
        <w:tc>
          <w:tcPr/>
          <w:p>
            <w:pPr>
              <w:pStyle w:val="Compact"/>
              <w:jc w:val="left"/>
            </w:pPr>
            <w:r>
              <w:rPr>
                <w:sz w:val="22"/>
              </w:rPr>
              <w:t xml:space="preserve">Organization</w:t>
            </w:r>
          </w:p>
        </w:tc>
        <w:tc>
          <w:tcPr/>
          <w:p>
            <w:pPr>
              <w:pStyle w:val="Compact"/>
              <w:jc w:val="left"/>
            </w:pPr>
            <w:r>
              <w:rPr>
                <w:sz w:val="22"/>
              </w:rPr>
              <w:t xml:space="preserve">Bouregreg Manufacturing Maroc</w:t>
            </w:r>
          </w:p>
        </w:tc>
      </w:tr>
      <w:tr>
        <w:trPr>
          <w:cantSplit/>
        </w:trPr>
        <w:tc>
          <w:tcPr/>
          <w:p>
            <w:pPr>
              <w:pStyle w:val="Compact"/>
              <w:jc w:val="left"/>
            </w:pPr>
            <w:r>
              <w:rPr>
                <w:sz w:val="22"/>
              </w:rPr>
              <w:t xml:space="preserve">Sector</w:t>
            </w:r>
          </w:p>
        </w:tc>
        <w:tc>
          <w:tcPr/>
          <w:p>
            <w:pPr>
              <w:pStyle w:val="Compact"/>
              <w:jc w:val="left"/>
            </w:pPr>
            <w:r>
              <w:rPr>
                <w:sz w:val="22"/>
              </w:rPr>
              <w:t xml:space="preserve">Manufacturing (journi’s Organization sector is one of exactly three values: Manufacturing, Logistics, or Health — this guide uses Manufacturing)</w:t>
            </w:r>
          </w:p>
        </w:tc>
      </w:tr>
      <w:tr>
        <w:trPr>
          <w:cantSplit/>
        </w:trPr>
        <w:tc>
          <w:tcPr/>
          <w:p>
            <w:pPr>
              <w:pStyle w:val="Compact"/>
              <w:jc w:val="left"/>
            </w:pPr>
            <w:r>
              <w:rPr>
                <w:sz w:val="22"/>
              </w:rPr>
              <w:t xml:space="preserve">Employees</w:t>
            </w:r>
          </w:p>
        </w:tc>
        <w:tc>
          <w:tcPr/>
          <w:p>
            <w:pPr>
              <w:pStyle w:val="Compact"/>
              <w:jc w:val="left"/>
            </w:pPr>
            <w:r>
              <w:rPr>
                <w:sz w:val="22"/>
              </w:rPr>
              <w:t xml:space="preserve">3,400</w:t>
            </w:r>
          </w:p>
        </w:tc>
      </w:tr>
      <w:tr>
        <w:trPr>
          <w:cantSplit/>
        </w:trPr>
        <w:tc>
          <w:tcPr/>
          <w:p>
            <w:pPr>
              <w:pStyle w:val="Compact"/>
              <w:jc w:val="left"/>
            </w:pPr>
            <w:r>
              <w:rPr>
                <w:sz w:val="22"/>
              </w:rPr>
              <w:t xml:space="preserve">Sites</w:t>
            </w:r>
          </w:p>
        </w:tc>
        <w:tc>
          <w:tcPr/>
          <w:p>
            <w:pPr>
              <w:pStyle w:val="Compact"/>
              <w:jc w:val="left"/>
            </w:pPr>
            <w:r>
              <w:rPr>
                <w:sz w:val="22"/>
              </w:rPr>
              <w:t xml:space="preserve">Casablanca HQ; Kenitra Plant; Settat Plant</w:t>
            </w:r>
          </w:p>
        </w:tc>
      </w:tr>
      <w:tr>
        <w:trPr>
          <w:cantSplit/>
        </w:trPr>
        <w:tc>
          <w:tcPr/>
          <w:p>
            <w:pPr>
              <w:pStyle w:val="Compact"/>
              <w:jc w:val="left"/>
            </w:pPr>
            <w:r>
              <w:rPr>
                <w:sz w:val="22"/>
              </w:rPr>
              <w:t xml:space="preserve">Languages</w:t>
            </w:r>
          </w:p>
        </w:tc>
        <w:tc>
          <w:tcPr/>
          <w:p>
            <w:pPr>
              <w:pStyle w:val="Compact"/>
              <w:jc w:val="left"/>
            </w:pPr>
            <w:r>
              <w:rPr>
                <w:sz w:val="22"/>
              </w:rPr>
              <w:t xml:space="preserve">French, Arabic</w:t>
            </w:r>
          </w:p>
        </w:tc>
      </w:tr>
      <w:tr>
        <w:trPr>
          <w:cantSplit/>
        </w:trPr>
        <w:tc>
          <w:tcPr/>
          <w:p>
            <w:pPr>
              <w:pStyle w:val="Compact"/>
              <w:jc w:val="left"/>
            </w:pPr>
            <w:r>
              <w:rPr>
                <w:sz w:val="22"/>
              </w:rPr>
              <w:t xml:space="preserve">Default language</w:t>
            </w:r>
          </w:p>
        </w:tc>
        <w:tc>
          <w:tcPr/>
          <w:p>
            <w:pPr>
              <w:pStyle w:val="Compact"/>
              <w:jc w:val="left"/>
            </w:pPr>
            <w:r>
              <w:rPr>
                <w:sz w:val="22"/>
              </w:rPr>
              <w:t xml:space="preserve">French</w:t>
            </w:r>
          </w:p>
        </w:tc>
      </w:tr>
      <w:tr>
        <w:trPr>
          <w:cantSplit/>
        </w:trPr>
        <w:tc>
          <w:tcPr/>
          <w:p>
            <w:pPr>
              <w:pStyle w:val="Compact"/>
              <w:jc w:val="left"/>
            </w:pPr>
            <w:r>
              <w:rPr>
                <w:sz w:val="22"/>
              </w:rPr>
              <w:t xml:space="preserve">License plan</w:t>
            </w:r>
          </w:p>
        </w:tc>
        <w:tc>
          <w:tcPr/>
          <w:p>
            <w:pPr>
              <w:pStyle w:val="Compact"/>
              <w:jc w:val="left"/>
            </w:pPr>
            <w:r>
              <w:rPr>
                <w:sz w:val="22"/>
              </w:rPr>
              <w:t xml:space="preserve">Professional</w:t>
            </w:r>
          </w:p>
        </w:tc>
      </w:tr>
      <w:tr>
        <w:trPr>
          <w:cantSplit/>
        </w:trPr>
        <w:tc>
          <w:tcPr/>
          <w:p>
            <w:pPr>
              <w:pStyle w:val="Compact"/>
              <w:jc w:val="left"/>
            </w:pPr>
            <w:r>
              <w:rPr>
                <w:sz w:val="22"/>
              </w:rPr>
              <w:t xml:space="preserve">License user cap</w:t>
            </w:r>
          </w:p>
        </w:tc>
        <w:tc>
          <w:tcPr/>
          <w:p>
            <w:pPr>
              <w:pStyle w:val="Compact"/>
              <w:jc w:val="left"/>
            </w:pPr>
            <w:r>
              <w:rPr>
                <w:sz w:val="22"/>
              </w:rPr>
              <w:t xml:space="preserve">60</w:t>
            </w:r>
          </w:p>
        </w:tc>
      </w:tr>
    </w:tbl>
    <w:p>
      <w:pPr>
        <w:pStyle w:val="BodyText"/>
      </w:pPr>
      <w:r>
        <w:rPr>
          <w:sz w:val="25"/>
        </w:rPr>
        <w:t xml:space="preserve">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6"/>
    <w:bookmarkStart w:id="27" w:name="X4ef9d59d8f039c310ee1c609126d15686708077"/>
    <w:p>
      <w:pPr>
        <w:pStyle w:val="Heading3"/>
      </w:pPr>
      <w:r>
        <w:rPr>
          <w:b/>
          <w:color w:val="3F827B"/>
          <w:sz w:val="29"/>
        </w:rPr>
        <w:t xml:space="preserve">1.3 Step 1 — First Access and the License Record (M2)</w:t>
      </w:r>
    </w:p>
    <w:p>
      <w:pPr>
        <w:pStyle w:val="FirstParagraph"/>
      </w:pPr>
      <w:r>
        <w:rPr>
          <w:sz w:val="25"/>
        </w:rP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4"/>
        </w:numPr>
        <w:pStyle w:val="Compact"/>
      </w:pPr>
      <w:r>
        <w:rPr>
          <w:sz w:val="25"/>
        </w:rPr>
        <w:t xml:space="preserve">Sign in as Super Admin.</w:t>
      </w:r>
    </w:p>
    <w:p>
      <w:pPr>
        <w:numPr>
          <w:ilvl w:val="0"/>
          <w:numId w:val="1004"/>
        </w:numPr>
        <w:pStyle w:val="Compact"/>
      </w:pPr>
      <w:r>
        <w:rPr>
          <w:sz w:val="25"/>
        </w:rPr>
        <w:t xml:space="preserve">Open</w:t>
      </w:r>
      <w:r>
        <w:rPr>
          <w:sz w:val="25"/>
        </w:rPr>
        <w:t xml:space="preserve"> </w:t>
      </w:r>
      <w:r>
        <w:rPr>
          <w:bCs/>
          <w:b/>
          <w:sz w:val="25"/>
        </w:rPr>
        <w:t xml:space="preserve">Module 2 — Users &amp; Roles</w:t>
      </w:r>
      <w:r>
        <w:rPr>
          <w:sz w:val="25"/>
        </w:rPr>
        <w:t xml:space="preserve">, then the</w:t>
      </w:r>
      <w:r>
        <w:rPr>
          <w:sz w:val="25"/>
        </w:rPr>
        <w:t xml:space="preserve"> </w:t>
      </w:r>
      <w:r>
        <w:rPr>
          <w:bCs/>
          <w:b/>
          <w:sz w:val="25"/>
        </w:rPr>
        <w:t xml:space="preserve">License &amp; Plan</w:t>
      </w:r>
      <w:r>
        <w:rPr>
          <w:sz w:val="25"/>
        </w:rPr>
        <w:t xml:space="preserve"> </w:t>
      </w:r>
      <w:r>
        <w:rPr>
          <w:sz w:val="25"/>
        </w:rPr>
        <w:t xml:space="preserve">tab. Only a Super Admin can edit this tab; every other role sees it read-only.</w:t>
      </w:r>
    </w:p>
    <w:p>
      <w:pPr>
        <w:numPr>
          <w:ilvl w:val="0"/>
          <w:numId w:val="1004"/>
        </w:numPr>
        <w:pStyle w:val="Compact"/>
      </w:pPr>
      <w:r>
        <w:rPr>
          <w:sz w:val="25"/>
        </w:rPr>
        <w:t xml:space="preserve">journi runs entirely client-side, so this tab reflects the license record a real deployment keeps:</w:t>
      </w:r>
      <w:r>
        <w:rPr>
          <w:sz w:val="25"/>
        </w:rPr>
        <w:t xml:space="preserve"> </w:t>
      </w:r>
      <w:r>
        <w:rPr>
          <w:bCs/>
          <w:b/>
          <w:sz w:val="25"/>
        </w:rPr>
        <w:t xml:space="preserve">SaaS mode</w:t>
      </w:r>
      <w:r>
        <w:rPr>
          <w:sz w:val="25"/>
        </w:rPr>
        <w:t xml:space="preserve"> </w:t>
      </w:r>
      <w:r>
        <w:rPr>
          <w:sz w:val="25"/>
        </w:rPr>
        <w:t xml:space="preserve">by default, or</w:t>
      </w:r>
      <w:r>
        <w:rPr>
          <w:sz w:val="25"/>
        </w:rPr>
        <w:t xml:space="preserve"> </w:t>
      </w:r>
      <w:r>
        <w:rPr>
          <w:bCs/>
          <w:b/>
          <w:sz w:val="25"/>
        </w:rPr>
        <w:t xml:space="preserve">OnPrem mode</w:t>
      </w:r>
      <w:r>
        <w:rPr>
          <w:sz w:val="25"/>
        </w:rPr>
        <w:t xml:space="preserve"> </w:t>
      </w:r>
      <w:r>
        <w:rPr>
          <w:sz w:val="25"/>
        </w:rPr>
        <w:t xml:space="preserve">once a signed</w:t>
      </w:r>
      <w:r>
        <w:rPr>
          <w:sz w:val="25"/>
        </w:rPr>
        <w:t xml:space="preserve"> </w:t>
      </w:r>
      <w:r>
        <w:rPr>
          <w:rStyle w:val="VerbatimChar"/>
          <w:sz w:val="25"/>
        </w:rPr>
        <w:t xml:space="preserve">.lic</w:t>
      </w:r>
      <w:r>
        <w:rPr>
          <w:sz w:val="25"/>
        </w:rPr>
        <w:t xml:space="preserve"> </w:t>
      </w:r>
      <w:r>
        <w:rPr>
          <w:sz w:val="25"/>
        </w:rPr>
        <w:t xml:space="preserve">file is uploaded. Leave the deployment in SaaS mode for this walkthrough.</w:t>
      </w:r>
    </w:p>
    <w:p>
      <w:pPr>
        <w:numPr>
          <w:ilvl w:val="0"/>
          <w:numId w:val="1004"/>
        </w:numPr>
        <w:pStyle w:val="Compact"/>
      </w:pPr>
      <w:r>
        <w:rPr>
          <w:sz w:val="25"/>
        </w:rPr>
        <w:t xml:space="preserve">There is no inline edit form for the License fields — the panel is populated either by the platform default or by uploading a</w:t>
      </w:r>
      <w:r>
        <w:rPr>
          <w:sz w:val="25"/>
        </w:rPr>
        <w:t xml:space="preserve"> </w:t>
      </w:r>
      <w:r>
        <w:rPr>
          <w:rStyle w:val="VerbatimChar"/>
          <w:sz w:val="25"/>
        </w:rPr>
        <w:t xml:space="preserve">.lic</w:t>
      </w:r>
      <w:r>
        <w:rPr>
          <w:sz w:val="25"/>
        </w:rPr>
        <w:t xml:space="preserve"> </w:t>
      </w:r>
      <w:r>
        <w:rPr>
          <w:sz w:val="25"/>
        </w:rPr>
        <w:t xml:space="preserve">file (a JSON file carrying</w:t>
      </w:r>
      <w:r>
        <w:rPr>
          <w:sz w:val="25"/>
        </w:rPr>
        <w:t xml:space="preserve"> </w:t>
      </w:r>
      <w:r>
        <w:rPr>
          <w:rStyle w:val="VerbatimChar"/>
          <w:sz w:val="25"/>
        </w:rPr>
        <w:t xml:space="preserve">version</w:t>
      </w:r>
      <w:r>
        <w:rPr>
          <w:sz w:val="25"/>
        </w:rPr>
        <w:t xml:space="preserve">,</w:t>
      </w:r>
      <w:r>
        <w:rPr>
          <w:sz w:val="25"/>
        </w:rPr>
        <w:t xml:space="preserve"> </w:t>
      </w:r>
      <w:r>
        <w:rPr>
          <w:rStyle w:val="VerbatimChar"/>
          <w:sz w:val="25"/>
        </w:rPr>
        <w:t xml:space="preserve">companyId</w:t>
      </w:r>
      <w:r>
        <w:rPr>
          <w:sz w:val="25"/>
        </w:rPr>
        <w:t xml:space="preserve">,</w:t>
      </w:r>
      <w:r>
        <w:rPr>
          <w:sz w:val="25"/>
        </w:rPr>
        <w:t xml:space="preserve"> </w:t>
      </w:r>
      <w:r>
        <w:rPr>
          <w:rStyle w:val="VerbatimChar"/>
          <w:sz w:val="25"/>
        </w:rPr>
        <w:t xml:space="preserve">companyName</w:t>
      </w:r>
      <w:r>
        <w:rPr>
          <w:sz w:val="25"/>
        </w:rPr>
        <w:t xml:space="preserve">,</w:t>
      </w:r>
      <w:r>
        <w:rPr>
          <w:sz w:val="25"/>
        </w:rPr>
        <w:t xml:space="preserve"> </w:t>
      </w:r>
      <w:r>
        <w:rPr>
          <w:rStyle w:val="VerbatimChar"/>
          <w:sz w:val="25"/>
        </w:rPr>
        <w:t xml:space="preserve">hardwareId</w:t>
      </w:r>
      <w:r>
        <w:rPr>
          <w:sz w:val="25"/>
        </w:rPr>
        <w:t xml:space="preserve">,</w:t>
      </w:r>
      <w:r>
        <w:rPr>
          <w:sz w:val="25"/>
        </w:rPr>
        <w:t xml:space="preserve"> </w:t>
      </w:r>
      <w:r>
        <w:rPr>
          <w:rStyle w:val="VerbatimChar"/>
          <w:sz w:val="25"/>
        </w:rPr>
        <w:t xml:space="preserve">expiryDate</w:t>
      </w:r>
      <w:r>
        <w:rPr>
          <w:sz w:val="25"/>
        </w:rPr>
        <w:t xml:space="preserve">,</w:t>
      </w:r>
      <w:r>
        <w:rPr>
          <w:sz w:val="25"/>
        </w:rPr>
        <w:t xml:space="preserve"> </w:t>
      </w:r>
      <w:r>
        <w:rPr>
          <w:rStyle w:val="VerbatimChar"/>
          <w:sz w:val="25"/>
        </w:rPr>
        <w:t xml:space="preserve">maxUsers</w:t>
      </w:r>
      <w:r>
        <w:rPr>
          <w:sz w:val="25"/>
        </w:rPr>
        <w:t xml:space="preserve">,</w:t>
      </w:r>
      <w:r>
        <w:rPr>
          <w:sz w:val="25"/>
        </w:rPr>
        <w:t xml:space="preserve"> </w:t>
      </w:r>
      <w:r>
        <w:rPr>
          <w:rStyle w:val="VerbatimChar"/>
          <w:sz w:val="25"/>
        </w:rPr>
        <w:t xml:space="preserve">plan</w:t>
      </w:r>
      <w:r>
        <w:rPr>
          <w:sz w:val="25"/>
        </w:rPr>
        <w:t xml:space="preserve">,</w:t>
      </w:r>
      <w:r>
        <w:rPr>
          <w:sz w:val="25"/>
        </w:rPr>
        <w:t xml:space="preserve"> </w:t>
      </w:r>
      <w:r>
        <w:rPr>
          <w:rStyle w:val="VerbatimChar"/>
          <w:sz w:val="25"/>
        </w:rPr>
        <w:t xml:space="preserve">features</w:t>
      </w:r>
      <w:r>
        <w:rPr>
          <w:sz w:val="25"/>
        </w:rPr>
        <w:t xml:space="preserve">,</w:t>
      </w:r>
      <w:r>
        <w:rPr>
          <w:sz w:val="25"/>
        </w:rPr>
        <w:t xml:space="preserve"> </w:t>
      </w:r>
      <w:r>
        <w:rPr>
          <w:rStyle w:val="VerbatimChar"/>
          <w:sz w:val="25"/>
        </w:rPr>
        <w:t xml:space="preserve">issueDate</w:t>
      </w:r>
      <w:r>
        <w:rPr>
          <w:sz w:val="25"/>
        </w:rPr>
        <w:t xml:space="preserve">, and</w:t>
      </w:r>
      <w:r>
        <w:rPr>
          <w:sz w:val="25"/>
        </w:rPr>
        <w:t xml:space="preserve"> </w:t>
      </w:r>
      <w:r>
        <w:rPr>
          <w:rStyle w:val="VerbatimChar"/>
          <w:sz w:val="25"/>
        </w:rPr>
        <w:t xml:space="preserve">signature</w:t>
      </w:r>
      <w:r>
        <w:rPr>
          <w:sz w:val="25"/>
        </w:rPr>
        <w:t xml:space="preserve">). For Bouregreg Group, the Super Admin uploads a</w:t>
      </w:r>
      <w:r>
        <w:rPr>
          <w:sz w:val="25"/>
        </w:rPr>
        <w:t xml:space="preserve"> </w:t>
      </w:r>
      <w:r>
        <w:rPr>
          <w:rStyle w:val="VerbatimChar"/>
          <w:sz w:val="25"/>
        </w:rPr>
        <w:t xml:space="preserve">.lic</w:t>
      </w:r>
      <w:r>
        <w:rPr>
          <w:sz w:val="25"/>
        </w:rPr>
        <w:t xml:space="preserve"> </w:t>
      </w:r>
      <w:r>
        <w:rPr>
          <w:sz w:val="25"/>
        </w:rPr>
        <w:t xml:space="preserve">file with:</w:t>
      </w:r>
    </w:p>
    <w:p>
      <w:pPr>
        <w:numPr>
          <w:ilvl w:val="1"/>
          <w:numId w:val="1005"/>
        </w:numPr>
        <w:pStyle w:val="Compact"/>
      </w:pPr>
      <w:r>
        <w:rPr>
          <w:rStyle w:val="VerbatimChar"/>
          <w:sz w:val="25"/>
        </w:rPr>
        <w:t xml:space="preserve">companyName</w:t>
      </w:r>
      <w:r>
        <w:rPr>
          <w:sz w:val="25"/>
        </w:rPr>
        <w:t xml:space="preserve">:</w:t>
      </w:r>
      <w:r>
        <w:rPr>
          <w:sz w:val="25"/>
        </w:rPr>
        <w:t xml:space="preserve"> </w:t>
      </w:r>
      <w:r>
        <w:rPr>
          <w:sz w:val="25"/>
        </w:rPr>
        <w:t xml:space="preserve">“</w:t>
      </w:r>
      <w:r>
        <w:rPr>
          <w:sz w:val="25"/>
        </w:rPr>
        <w:t xml:space="preserve">Bouregreg Group</w:t>
      </w:r>
      <w:r>
        <w:rPr>
          <w:sz w:val="25"/>
        </w:rPr>
        <w:t xml:space="preserve">”</w:t>
      </w:r>
    </w:p>
    <w:p>
      <w:pPr>
        <w:numPr>
          <w:ilvl w:val="1"/>
          <w:numId w:val="1005"/>
        </w:numPr>
        <w:pStyle w:val="Compact"/>
      </w:pPr>
      <w:r>
        <w:rPr>
          <w:rStyle w:val="VerbatimChar"/>
          <w:sz w:val="25"/>
        </w:rPr>
        <w:t xml:space="preserve">plan</w:t>
      </w:r>
      <w:r>
        <w:rPr>
          <w:sz w:val="25"/>
        </w:rPr>
        <w:t xml:space="preserve">:</w:t>
      </w:r>
      <w:r>
        <w:rPr>
          <w:sz w:val="25"/>
        </w:rPr>
        <w:t xml:space="preserve"> </w:t>
      </w:r>
      <w:r>
        <w:rPr>
          <w:sz w:val="25"/>
        </w:rPr>
        <w:t xml:space="preserve">“</w:t>
      </w:r>
      <w:r>
        <w:rPr>
          <w:sz w:val="25"/>
        </w:rPr>
        <w:t xml:space="preserve">professional</w:t>
      </w:r>
      <w:r>
        <w:rPr>
          <w:sz w:val="25"/>
        </w:rPr>
        <w:t xml:space="preserve">”</w:t>
      </w:r>
    </w:p>
    <w:p>
      <w:pPr>
        <w:numPr>
          <w:ilvl w:val="1"/>
          <w:numId w:val="1005"/>
        </w:numPr>
        <w:pStyle w:val="Compact"/>
      </w:pPr>
      <w:r>
        <w:rPr>
          <w:rStyle w:val="VerbatimChar"/>
          <w:sz w:val="25"/>
        </w:rPr>
        <w:t xml:space="preserve">maxUsers</w:t>
      </w:r>
      <w:r>
        <w:rPr>
          <w:sz w:val="25"/>
        </w:rPr>
        <w:t xml:space="preserve">: 60</w:t>
      </w:r>
    </w:p>
    <w:p>
      <w:pPr>
        <w:numPr>
          <w:ilvl w:val="1"/>
          <w:numId w:val="1005"/>
        </w:numPr>
        <w:pStyle w:val="Compact"/>
      </w:pPr>
      <w:r>
        <w:rPr>
          <w:rStyle w:val="VerbatimChar"/>
          <w:sz w:val="25"/>
        </w:rPr>
        <w:t xml:space="preserve">features</w:t>
      </w:r>
      <w:r>
        <w:rPr>
          <w:sz w:val="25"/>
        </w:rPr>
        <w:t xml:space="preserve">: the feature flags Bouregreg Group’s contract enables (for example</w:t>
      </w:r>
      <w:r>
        <w:rPr>
          <w:sz w:val="25"/>
        </w:rPr>
        <w:t xml:space="preserve"> </w:t>
      </w:r>
      <w:r>
        <w:rPr>
          <w:rStyle w:val="VerbatimChar"/>
          <w:sz w:val="25"/>
        </w:rPr>
        <w:t xml:space="preserve">core_cm_modules</w:t>
      </w:r>
      <w:r>
        <w:rPr>
          <w:sz w:val="25"/>
        </w:rPr>
        <w:t xml:space="preserve">,</w:t>
      </w:r>
      <w:r>
        <w:rPr>
          <w:sz w:val="25"/>
        </w:rPr>
        <w:t xml:space="preserve"> </w:t>
      </w:r>
      <w:r>
        <w:rPr>
          <w:rStyle w:val="VerbatimChar"/>
          <w:sz w:val="25"/>
        </w:rPr>
        <w:t xml:space="preserve">wbs_gantt</w:t>
      </w:r>
      <w:r>
        <w:rPr>
          <w:sz w:val="25"/>
        </w:rPr>
        <w:t xml:space="preserve">,</w:t>
      </w:r>
      <w:r>
        <w:rPr>
          <w:sz w:val="25"/>
        </w:rPr>
        <w:t xml:space="preserve"> </w:t>
      </w:r>
      <w:r>
        <w:rPr>
          <w:rStyle w:val="VerbatimChar"/>
          <w:sz w:val="25"/>
        </w:rPr>
        <w:t xml:space="preserve">ai_use_case_library</w:t>
      </w:r>
      <w:r>
        <w:rPr>
          <w:sz w:val="25"/>
        </w:rPr>
        <w:t xml:space="preserve">,</w:t>
      </w:r>
      <w:r>
        <w:rPr>
          <w:sz w:val="25"/>
        </w:rPr>
        <w:t xml:space="preserve"> </w:t>
      </w:r>
      <w:r>
        <w:rPr>
          <w:rStyle w:val="VerbatimChar"/>
          <w:sz w:val="25"/>
        </w:rPr>
        <w:t xml:space="preserve">process_registry_m18</w:t>
      </w:r>
      <w:r>
        <w:rPr>
          <w:sz w:val="25"/>
        </w:rPr>
        <w:t xml:space="preserve">)</w:t>
      </w:r>
    </w:p>
    <w:p>
      <w:pPr>
        <w:numPr>
          <w:ilvl w:val="0"/>
          <w:numId w:val="1004"/>
        </w:numPr>
        <w:pStyle w:val="Compact"/>
      </w:pPr>
      <w:r>
        <w:rPr>
          <w:sz w:val="25"/>
        </w:rPr>
        <w:t xml:space="preserve">journi checks that the required fields are present before accepting the file. It does</w:t>
      </w:r>
      <w:r>
        <w:rPr>
          <w:sz w:val="25"/>
        </w:rPr>
        <w:t xml:space="preserve"> </w:t>
      </w:r>
      <w:r>
        <w:rPr>
          <w:bCs/>
          <w:b/>
          <w:sz w:val="25"/>
        </w:rPr>
        <w:t xml:space="preserve">not</w:t>
      </w:r>
      <w:r>
        <w:rPr>
          <w:sz w:val="25"/>
        </w:rPr>
        <w:t xml:space="preserve"> </w:t>
      </w:r>
      <w:r>
        <w:rPr>
          <w:sz w:val="25"/>
        </w:rPr>
        <w:t xml:space="preserve">verify the cryptographic signature in this demo build — a production deployment would verify</w:t>
      </w:r>
      <w:r>
        <w:rPr>
          <w:sz w:val="25"/>
        </w:rPr>
        <w:t xml:space="preserve"> </w:t>
      </w:r>
      <w:r>
        <w:rPr>
          <w:rStyle w:val="VerbatimChar"/>
          <w:sz w:val="25"/>
        </w:rPr>
        <w:t xml:space="preserve">signature</w:t>
      </w:r>
      <w:r>
        <w:rPr>
          <w:sz w:val="25"/>
        </w:rPr>
        <w:t xml:space="preserve"> </w:t>
      </w:r>
      <w:r>
        <w:rPr>
          <w:sz w:val="25"/>
        </w:rPr>
        <w:t xml:space="preserve">against the issuer’s public key before accepting it. This is stated plainly here rather than implied to be more secure than it is.</w:t>
      </w:r>
    </w:p>
    <w:p>
      <w:pPr>
        <w:numPr>
          <w:ilvl w:val="0"/>
          <w:numId w:val="1004"/>
        </w:numPr>
        <w:pStyle w:val="Compact"/>
      </w:pPr>
      <w:r>
        <w:rPr>
          <w:sz w:val="25"/>
        </w:rPr>
        <w:t xml:space="preserve">Once accepted, the License panel shows Bouregreg Group’s company name, plan badge, user count against the 60-seat cap, issue and expiry dates, and the feature-flag list — this is the tenant’s identity from this point forward.</w:t>
      </w:r>
    </w:p>
    <w:p>
      <w:pPr>
        <w:pStyle w:val="FirstParagraph"/>
      </w:pPr>
    </w:p>
    <w:bookmarkEnd w:id="27"/>
    <w:bookmarkStart w:id="28" w:name="Xd0460c171f3c5b5b04ecfac3c8336dbf214ee7f"/>
    <w:p>
      <w:pPr>
        <w:pStyle w:val="Heading3"/>
      </w:pPr>
      <w:r>
        <w:rPr>
          <w:b/>
          <w:color w:val="3F827B"/>
          <w:sz w:val="29"/>
        </w:rPr>
        <w:t xml:space="preserve">1.4 Step 2 — Building the Group / Organization Hierarchy (M1)</w:t>
      </w:r>
    </w:p>
    <w:p>
      <w:pPr>
        <w:numPr>
          <w:ilvl w:val="0"/>
          <w:numId w:val="1006"/>
        </w:numPr>
        <w:pStyle w:val="Compact"/>
      </w:pPr>
      <w:r>
        <w:rPr>
          <w:sz w:val="25"/>
        </w:rPr>
        <w:t xml:space="preserve">Open</w:t>
      </w:r>
      <w:r>
        <w:rPr>
          <w:sz w:val="25"/>
        </w:rPr>
        <w:t xml:space="preserve"> </w:t>
      </w:r>
      <w:r>
        <w:rPr>
          <w:bCs/>
          <w:b/>
          <w:sz w:val="25"/>
        </w:rPr>
        <w:t xml:space="preserve">Module 1 — Group / Organization / Projects</w:t>
      </w:r>
      <w:r>
        <w:rPr>
          <w:sz w:val="25"/>
        </w:rPr>
        <w:t xml:space="preserve">.</w:t>
      </w:r>
    </w:p>
    <w:p>
      <w:pPr>
        <w:numPr>
          <w:ilvl w:val="0"/>
          <w:numId w:val="1006"/>
        </w:numPr>
        <w:pStyle w:val="Compact"/>
      </w:pPr>
      <w:r>
        <w:rPr>
          <w:sz w:val="25"/>
        </w:rPr>
        <w:t xml:space="preserve">Click</w:t>
      </w:r>
      <w:r>
        <w:rPr>
          <w:sz w:val="25"/>
        </w:rPr>
        <w:t xml:space="preserve"> </w:t>
      </w:r>
      <w:r>
        <w:rPr>
          <w:bCs/>
          <w:b/>
          <w:sz w:val="25"/>
        </w:rPr>
        <w:t xml:space="preserve">+ Group</w:t>
      </w:r>
      <w:r>
        <w:rPr>
          <w:sz w:val="25"/>
        </w:rPr>
        <w:t xml:space="preserve">, name it</w:t>
      </w:r>
      <w:r>
        <w:rPr>
          <w:sz w:val="25"/>
        </w:rPr>
        <w:t xml:space="preserve"> </w:t>
      </w:r>
      <w:r>
        <w:rPr>
          <w:sz w:val="25"/>
        </w:rPr>
        <w:t xml:space="preserve">“</w:t>
      </w:r>
      <w:r>
        <w:rPr>
          <w:sz w:val="25"/>
        </w:rPr>
        <w:t xml:space="preserve">Bouregreg Group</w:t>
      </w:r>
      <w:r>
        <w:rPr>
          <w:sz w:val="25"/>
        </w:rPr>
        <w:t xml:space="preserve">”</w:t>
      </w:r>
      <w:r>
        <w:rPr>
          <w:sz w:val="25"/>
        </w:rPr>
        <w:t xml:space="preserve">, save.</w:t>
      </w:r>
    </w:p>
    <w:p>
      <w:pPr>
        <w:numPr>
          <w:ilvl w:val="0"/>
          <w:numId w:val="1006"/>
        </w:numPr>
        <w:pStyle w:val="Compact"/>
      </w:pPr>
      <w:r>
        <w:rPr>
          <w:sz w:val="25"/>
        </w:rPr>
        <w:t xml:space="preserve">Click</w:t>
      </w:r>
      <w:r>
        <w:rPr>
          <w:sz w:val="25"/>
        </w:rPr>
        <w:t xml:space="preserve"> </w:t>
      </w:r>
      <w:r>
        <w:rPr>
          <w:bCs/>
          <w:b/>
          <w:sz w:val="25"/>
        </w:rPr>
        <w:t xml:space="preserve">+ Organization</w:t>
      </w:r>
      <w:r>
        <w:rPr>
          <w:sz w:val="25"/>
        </w:rPr>
        <w:t xml:space="preserve">. Fill in:</w:t>
      </w:r>
    </w:p>
    <w:p>
      <w:pPr>
        <w:numPr>
          <w:ilvl w:val="1"/>
          <w:numId w:val="1007"/>
        </w:numPr>
        <w:pStyle w:val="Compact"/>
      </w:pPr>
      <w:r>
        <w:rPr>
          <w:sz w:val="25"/>
        </w:rPr>
        <w:t xml:space="preserve">Name:</w:t>
      </w:r>
      <w:r>
        <w:rPr>
          <w:sz w:val="25"/>
        </w:rPr>
        <w:t xml:space="preserve"> </w:t>
      </w:r>
      <w:r>
        <w:rPr>
          <w:sz w:val="25"/>
        </w:rPr>
        <w:t xml:space="preserve">“</w:t>
      </w:r>
      <w:r>
        <w:rPr>
          <w:sz w:val="25"/>
        </w:rPr>
        <w:t xml:space="preserve">Bouregreg Manufacturing Maroc</w:t>
      </w:r>
      <w:r>
        <w:rPr>
          <w:sz w:val="25"/>
        </w:rPr>
        <w:t xml:space="preserve">”</w:t>
      </w:r>
    </w:p>
    <w:p>
      <w:pPr>
        <w:numPr>
          <w:ilvl w:val="1"/>
          <w:numId w:val="1007"/>
        </w:numPr>
        <w:pStyle w:val="Compact"/>
      </w:pPr>
      <w:r>
        <w:rPr>
          <w:sz w:val="25"/>
        </w:rPr>
        <w:t xml:space="preserve">Group: Bouregreg Group</w:t>
      </w:r>
    </w:p>
    <w:p>
      <w:pPr>
        <w:numPr>
          <w:ilvl w:val="1"/>
          <w:numId w:val="1007"/>
        </w:numPr>
        <w:pStyle w:val="Compact"/>
      </w:pPr>
      <w:r>
        <w:rPr>
          <w:sz w:val="25"/>
        </w:rPr>
        <w:t xml:space="preserve">Type (sector): Manufacturing</w:t>
      </w:r>
    </w:p>
    <w:p>
      <w:pPr>
        <w:numPr>
          <w:ilvl w:val="1"/>
          <w:numId w:val="1007"/>
        </w:numPr>
        <w:pStyle w:val="Compact"/>
      </w:pPr>
      <w:r>
        <w:rPr>
          <w:sz w:val="25"/>
        </w:rPr>
        <w:t xml:space="preserve">Employees: 3400</w:t>
      </w:r>
    </w:p>
    <w:p>
      <w:pPr>
        <w:numPr>
          <w:ilvl w:val="1"/>
          <w:numId w:val="1007"/>
        </w:numPr>
        <w:pStyle w:val="Compact"/>
      </w:pPr>
      <w:r>
        <w:rPr>
          <w:sz w:val="25"/>
        </w:rPr>
        <w:t xml:space="preserve">Sites (comma-separated):</w:t>
      </w:r>
      <w:r>
        <w:rPr>
          <w:sz w:val="25"/>
        </w:rPr>
        <w:t xml:space="preserve"> </w:t>
      </w:r>
      <w:r>
        <w:rPr>
          <w:sz w:val="25"/>
        </w:rPr>
        <w:t xml:space="preserve">“</w:t>
      </w:r>
      <w:r>
        <w:rPr>
          <w:sz w:val="25"/>
        </w:rPr>
        <w:t xml:space="preserve">Casablanca HQ, Kenitra Plant, Settat Plant</w:t>
      </w:r>
      <w:r>
        <w:rPr>
          <w:sz w:val="25"/>
        </w:rPr>
        <w:t xml:space="preserve">”</w:t>
      </w:r>
    </w:p>
    <w:p>
      <w:pPr>
        <w:numPr>
          <w:ilvl w:val="1"/>
          <w:numId w:val="1007"/>
        </w:numPr>
        <w:pStyle w:val="Compact"/>
      </w:pPr>
      <w:r>
        <w:rPr>
          <w:sz w:val="25"/>
        </w:rPr>
        <w:t xml:space="preserve">Language(s):</w:t>
      </w:r>
      <w:r>
        <w:rPr>
          <w:sz w:val="25"/>
        </w:rPr>
        <w:t xml:space="preserve"> </w:t>
      </w:r>
      <w:r>
        <w:rPr>
          <w:sz w:val="25"/>
        </w:rPr>
        <w:t xml:space="preserve">“</w:t>
      </w:r>
      <w:r>
        <w:rPr>
          <w:sz w:val="25"/>
        </w:rPr>
        <w:t xml:space="preserve">fr, ar</w:t>
      </w:r>
      <w:r>
        <w:rPr>
          <w:sz w:val="25"/>
        </w:rPr>
        <w:t xml:space="preserve">”</w:t>
      </w:r>
    </w:p>
    <w:p>
      <w:pPr>
        <w:numPr>
          <w:ilvl w:val="1"/>
          <w:numId w:val="1007"/>
        </w:numPr>
        <w:pStyle w:val="Compact"/>
      </w:pPr>
      <w:r>
        <w:rPr>
          <w:sz w:val="25"/>
        </w:rPr>
        <w:t xml:space="preserve">Default language: French</w:t>
      </w:r>
    </w:p>
    <w:p>
      <w:pPr>
        <w:numPr>
          <w:ilvl w:val="0"/>
          <w:numId w:val="1006"/>
        </w:numPr>
        <w:pStyle w:val="Compact"/>
      </w:pPr>
      <w:r>
        <w:rPr>
          <w:sz w:val="25"/>
        </w:rP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8"/>
    <w:bookmarkStart w:id="29" w:name="Xeb1d9bd2cb34f0ffd6c6af41bad30fb01857eec"/>
    <w:p>
      <w:pPr>
        <w:pStyle w:val="Heading3"/>
      </w:pPr>
      <w:r>
        <w:rPr>
          <w:b/>
          <w:color w:val="3F827B"/>
          <w:sz w:val="29"/>
        </w:rPr>
        <w:t xml:space="preserve">1.5 Step 3 — Creating User Accounts and Scopes (M2)</w:t>
      </w:r>
    </w:p>
    <w:p>
      <w:pPr>
        <w:pStyle w:val="FirstParagraph"/>
      </w:pPr>
      <w:r>
        <w:rPr>
          <w:sz w:val="25"/>
        </w:rPr>
        <w:t xml:space="preserve">Every journi user carries exactly three things beyond name, email, and language: a</w:t>
      </w:r>
      <w:r>
        <w:rPr>
          <w:sz w:val="25"/>
        </w:rPr>
        <w:t xml:space="preserve"> </w:t>
      </w:r>
      <w:r>
        <w:rPr>
          <w:bCs/>
          <w:b/>
          <w:sz w:val="25"/>
        </w:rPr>
        <w:t xml:space="preserve">role</w:t>
      </w:r>
      <w:r>
        <w:rPr>
          <w:sz w:val="25"/>
        </w:rPr>
        <w:t xml:space="preserve"> </w:t>
      </w:r>
      <w:r>
        <w:rPr>
          <w:sz w:val="25"/>
        </w:rPr>
        <w:t xml:space="preserve">(one of nine), a</w:t>
      </w:r>
      <w:r>
        <w:rPr>
          <w:sz w:val="25"/>
        </w:rPr>
        <w:t xml:space="preserve"> </w:t>
      </w:r>
      <w:r>
        <w:rPr>
          <w:bCs/>
          <w:b/>
          <w:sz w:val="25"/>
        </w:rPr>
        <w:t xml:space="preserve">scope type</w:t>
      </w:r>
      <w:r>
        <w:rPr>
          <w:sz w:val="25"/>
        </w:rPr>
        <w:t xml:space="preserve"> </w:t>
      </w:r>
      <w:r>
        <w:rPr>
          <w:sz w:val="25"/>
        </w:rPr>
        <w:t xml:space="preserve">(</w:t>
      </w:r>
      <w:r>
        <w:rPr>
          <w:rStyle w:val="VerbatimChar"/>
          <w:sz w:val="25"/>
        </w:rPr>
        <w:t xml:space="preserve">platform</w:t>
      </w:r>
      <w:r>
        <w:rPr>
          <w:sz w:val="25"/>
        </w:rPr>
        <w:t xml:space="preserve">,</w:t>
      </w:r>
      <w:r>
        <w:rPr>
          <w:sz w:val="25"/>
        </w:rPr>
        <w:t xml:space="preserve"> </w:t>
      </w:r>
      <w:r>
        <w:rPr>
          <w:rStyle w:val="VerbatimChar"/>
          <w:sz w:val="25"/>
        </w:rPr>
        <w:t xml:space="preserve">group</w:t>
      </w:r>
      <w:r>
        <w:rPr>
          <w:sz w:val="25"/>
        </w:rPr>
        <w:t xml:space="preserve">,</w:t>
      </w:r>
      <w:r>
        <w:rPr>
          <w:sz w:val="25"/>
        </w:rPr>
        <w:t xml:space="preserve"> </w:t>
      </w:r>
      <w:r>
        <w:rPr>
          <w:rStyle w:val="VerbatimChar"/>
          <w:sz w:val="25"/>
        </w:rPr>
        <w:t xml:space="preserve">organization</w:t>
      </w:r>
      <w:r>
        <w:rPr>
          <w:sz w:val="25"/>
        </w:rPr>
        <w:t xml:space="preserve">, or</w:t>
      </w:r>
      <w:r>
        <w:rPr>
          <w:sz w:val="25"/>
        </w:rPr>
        <w:t xml:space="preserve"> </w:t>
      </w:r>
      <w:r>
        <w:rPr>
          <w:rStyle w:val="VerbatimChar"/>
          <w:sz w:val="25"/>
        </w:rPr>
        <w:t xml:space="preserve">project</w:t>
      </w:r>
      <w:r>
        <w:rPr>
          <w:sz w:val="25"/>
        </w:rPr>
        <w:t xml:space="preserve">), and a</w:t>
      </w:r>
      <w:r>
        <w:rPr>
          <w:sz w:val="25"/>
        </w:rPr>
        <w:t xml:space="preserve"> </w:t>
      </w:r>
      <w:r>
        <w:rPr>
          <w:bCs/>
          <w:b/>
          <w:sz w:val="25"/>
        </w:rPr>
        <w:t xml:space="preserve">scope ID</w:t>
      </w:r>
      <w:r>
        <w:rPr>
          <w:sz w:val="25"/>
        </w:rPr>
        <w:t xml:space="preserve"> </w:t>
      </w:r>
      <w:r>
        <w:rPr>
          <w:sz w:val="25"/>
        </w:rPr>
        <w:t xml:space="preserve">(which Group, Organization, or Project that scope resolves to). Scope is what actually limits what a user sees — role determines</w:t>
      </w:r>
      <w:r>
        <w:rPr>
          <w:sz w:val="25"/>
        </w:rPr>
        <w:t xml:space="preserve"> </w:t>
      </w:r>
      <w:r>
        <w:rPr>
          <w:iCs/>
          <w:i/>
          <w:sz w:val="25"/>
        </w:rPr>
        <w:t xml:space="preserve">capability</w:t>
      </w:r>
      <w:r>
        <w:rPr>
          <w:sz w:val="25"/>
        </w:rPr>
        <w:t xml:space="preserve"> </w:t>
      </w:r>
      <w:r>
        <w:rPr>
          <w:sz w:val="25"/>
        </w:rPr>
        <w:t xml:space="preserve">(can this person edit the Permission Matrix), scope determines</w:t>
      </w:r>
      <w:r>
        <w:rPr>
          <w:sz w:val="25"/>
        </w:rPr>
        <w:t xml:space="preserve"> </w:t>
      </w:r>
      <w:r>
        <w:rPr>
          <w:iCs/>
          <w:i/>
          <w:sz w:val="25"/>
        </w:rPr>
        <w:t xml:space="preserve">reach</w:t>
      </w:r>
      <w:r>
        <w:rPr>
          <w:sz w:val="25"/>
        </w:rPr>
        <w:t xml:space="preserve"> </w:t>
      </w:r>
      <w:r>
        <w:rPr>
          <w:sz w:val="25"/>
        </w:rPr>
        <w:t xml:space="preserve">(which Organizations’ and Projects’ data this person’s role applies to).</w:t>
      </w:r>
    </w:p>
    <w:p>
      <w:pPr>
        <w:pStyle w:val="BodyText"/>
      </w:pPr>
      <w:r>
        <w:rPr>
          <w:sz w:val="25"/>
        </w:rPr>
        <w:t xml:space="preserve">Open</w:t>
      </w:r>
      <w:r>
        <w:rPr>
          <w:sz w:val="25"/>
        </w:rPr>
        <w:t xml:space="preserve"> </w:t>
      </w:r>
      <w:r>
        <w:rPr>
          <w:bCs/>
          <w:b/>
          <w:sz w:val="25"/>
        </w:rPr>
        <w:t xml:space="preserve">Module 2 — Users &amp; Roles</w:t>
      </w:r>
      <w:r>
        <w:rPr>
          <w:sz w:val="25"/>
        </w:rPr>
        <w:t xml:space="preserve">,</w:t>
      </w:r>
      <w:r>
        <w:rPr>
          <w:sz w:val="25"/>
        </w:rPr>
        <w:t xml:space="preserve"> </w:t>
      </w:r>
      <w:r>
        <w:rPr>
          <w:bCs/>
          <w:b/>
          <w:sz w:val="25"/>
        </w:rPr>
        <w:t xml:space="preserve">Users &amp; Scope</w:t>
      </w:r>
      <w:r>
        <w:rPr>
          <w:sz w:val="25"/>
        </w:rPr>
        <w:t xml:space="preserve"> </w:t>
      </w:r>
      <w:r>
        <w:rPr>
          <w:sz w:val="25"/>
        </w:rPr>
        <w:t xml:space="preserve">tab, and click</w:t>
      </w:r>
      <w:r>
        <w:rPr>
          <w:sz w:val="25"/>
        </w:rPr>
        <w:t xml:space="preserve"> </w:t>
      </w:r>
      <w:r>
        <w:rPr>
          <w:bCs/>
          <w:b/>
          <w:sz w:val="25"/>
        </w:rPr>
        <w:t xml:space="preserve">+ Add</w:t>
      </w:r>
      <w:r>
        <w:rPr>
          <w:sz w:val="25"/>
        </w:rPr>
        <w:t xml:space="preserve"> </w:t>
      </w:r>
      <w:r>
        <w:rPr>
          <w:sz w:val="25"/>
        </w:rPr>
        <w:t xml:space="preserve">for each of the following, seeding Bouregreg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type</w:t>
            </w:r>
          </w:p>
        </w:tc>
        <w:tc>
          <w:tcPr>
            <w:shd w:val="clear" w:fill="1F4B45"/>
          </w:tcPr>
          <w:p>
            <w:pPr>
              <w:pStyle w:val="Compact"/>
              <w:jc w:val="left"/>
            </w:pPr>
            <w:r>
              <w:rPr>
                <w:b/>
                <w:color w:val="FFFFFF"/>
                <w:sz w:val="22"/>
              </w:rPr>
              <w:t xml:space="preserve">Scope</w:t>
            </w:r>
          </w:p>
        </w:tc>
        <w:tc>
          <w:tcPr>
            <w:shd w:val="clear" w:fill="1F4B45"/>
          </w:tcPr>
          <w:p>
            <w:pPr>
              <w:pStyle w:val="Compact"/>
              <w:jc w:val="left"/>
            </w:pPr>
            <w:r>
              <w:rPr>
                <w:b/>
                <w:color w:val="FFFFFF"/>
                <w:sz w:val="22"/>
              </w:rPr>
              <w:t xml:space="preserve">Language</w:t>
            </w:r>
          </w:p>
        </w:tc>
      </w:tr>
      <w:tr>
        <w:trPr>
          <w:cantSplit/>
        </w:trPr>
        <w:tc>
          <w:tcPr/>
          <w:p>
            <w:pPr>
              <w:pStyle w:val="Compact"/>
              <w:jc w:val="left"/>
            </w:pPr>
            <w:r>
              <w:rPr>
                <w:sz w:val="22"/>
              </w:rPr>
              <w:t xml:space="preserve">Zineb Alaoui</w:t>
            </w:r>
          </w:p>
        </w:tc>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(whole deployment)</w:t>
            </w:r>
          </w:p>
        </w:tc>
        <w:tc>
          <w:tcPr/>
          <w:p>
            <w:pPr>
              <w:pStyle w:val="Compact"/>
              <w:jc w:val="left"/>
            </w:pPr>
            <w:r>
              <w:rPr>
                <w:sz w:val="22"/>
              </w:rPr>
              <w:t xml:space="preserve">French</w:t>
            </w:r>
          </w:p>
        </w:tc>
      </w:tr>
      <w:tr>
        <w:trPr>
          <w:cantSplit/>
        </w:trPr>
        <w:tc>
          <w:tcPr/>
          <w:p>
            <w:pPr>
              <w:pStyle w:val="Compact"/>
              <w:jc w:val="left"/>
            </w:pPr>
            <w:r>
              <w:rPr>
                <w:sz w:val="22"/>
              </w:rPr>
              <w:t xml:space="preserve">Anas Bouzid</w:t>
            </w:r>
          </w:p>
        </w:tc>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Bouregreg Group</w:t>
            </w:r>
          </w:p>
        </w:tc>
        <w:tc>
          <w:tcPr/>
          <w:p>
            <w:pPr>
              <w:pStyle w:val="Compact"/>
              <w:jc w:val="left"/>
            </w:pPr>
            <w:r>
              <w:rPr>
                <w:sz w:val="22"/>
              </w:rPr>
              <w:t xml:space="preserve">French</w:t>
            </w:r>
          </w:p>
        </w:tc>
      </w:tr>
      <w:tr>
        <w:trPr>
          <w:cantSplit/>
        </w:trPr>
        <w:tc>
          <w:tcPr/>
          <w:p>
            <w:pPr>
              <w:pStyle w:val="Compact"/>
              <w:jc w:val="left"/>
            </w:pPr>
            <w:r>
              <w:rPr>
                <w:sz w:val="22"/>
              </w:rPr>
              <w:t xml:space="preserve">Meryem Sabri</w:t>
            </w:r>
          </w:p>
        </w:tc>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Driss El Amrani</w:t>
            </w:r>
          </w:p>
        </w:tc>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Bouregreg ERP Adoption Program</w:t>
            </w:r>
            <w:r>
              <w:rPr>
                <w:sz w:val="22"/>
              </w:rPr>
              <w:t xml:space="preserve"> </w:t>
            </w:r>
            <w:r>
              <w:rPr>
                <w:iCs/>
                <w:i/>
                <w:sz w:val="22"/>
              </w:rPr>
              <w:t xml:space="preserve">(created in Step 6 below)</w:t>
            </w:r>
          </w:p>
        </w:tc>
        <w:tc>
          <w:tcPr/>
          <w:p>
            <w:pPr>
              <w:pStyle w:val="Compact"/>
              <w:jc w:val="left"/>
            </w:pPr>
            <w:r>
              <w:rPr>
                <w:sz w:val="22"/>
              </w:rPr>
              <w:t xml:space="preserve">French</w:t>
            </w:r>
          </w:p>
        </w:tc>
      </w:tr>
      <w:tr>
        <w:trPr>
          <w:cantSplit/>
        </w:trPr>
        <w:tc>
          <w:tcPr/>
          <w:p>
            <w:pPr>
              <w:pStyle w:val="Compact"/>
              <w:jc w:val="left"/>
            </w:pPr>
            <w:r>
              <w:rPr>
                <w:sz w:val="22"/>
              </w:rPr>
              <w:t xml:space="preserve">Houda Zerouali</w:t>
            </w:r>
          </w:p>
        </w:tc>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CFO, Bouregreg Group</w:t>
            </w:r>
          </w:p>
        </w:tc>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r>
        <w:trPr>
          <w:cantSplit/>
        </w:trPr>
        <w:tc>
          <w:tcPr/>
          <w:p>
            <w:pPr>
              <w:pStyle w:val="Compact"/>
              <w:jc w:val="left"/>
            </w:pPr>
            <w:r>
              <w:rPr>
                <w:sz w:val="22"/>
              </w:rPr>
              <w:t xml:space="preserve">Board Executive Viewer</w:t>
            </w:r>
          </w:p>
        </w:tc>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Reda Loukili</w:t>
            </w:r>
          </w:p>
        </w:tc>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Ghita Bennis</w:t>
            </w:r>
          </w:p>
        </w:tc>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bl>
    <w:p>
      <w:pPr>
        <w:pStyle w:val="BodyText"/>
      </w:pPr>
      <w:r>
        <w:rPr>
          <w:sz w:val="25"/>
        </w:rP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29"/>
    <w:bookmarkStart w:id="30" w:name="step-4-the-permission-matrix-m2"/>
    <w:p>
      <w:pPr>
        <w:pStyle w:val="Heading3"/>
      </w:pPr>
      <w:r>
        <w:rPr>
          <w:b/>
          <w:color w:val="3F827B"/>
          <w:sz w:val="29"/>
        </w:rPr>
        <w:t xml:space="preserve">1.6 Step 4 — The Permission Matrix (M2)</w:t>
      </w:r>
    </w:p>
    <w:p>
      <w:pPr>
        <w:numPr>
          <w:ilvl w:val="0"/>
          <w:numId w:val="1008"/>
        </w:numPr>
        <w:pStyle w:val="Compact"/>
      </w:pPr>
      <w:r>
        <w:rPr>
          <w:sz w:val="25"/>
        </w:rPr>
        <w:t xml:space="preserve">Open the</w:t>
      </w:r>
      <w:r>
        <w:rPr>
          <w:sz w:val="25"/>
        </w:rPr>
        <w:t xml:space="preserve"> </w:t>
      </w:r>
      <w:r>
        <w:rPr>
          <w:bCs/>
          <w:b/>
          <w:sz w:val="25"/>
        </w:rPr>
        <w:t xml:space="preserve">Permission Matrix</w:t>
      </w:r>
      <w:r>
        <w:rPr>
          <w:sz w:val="25"/>
        </w:rPr>
        <w:t xml:space="preserve"> </w:t>
      </w:r>
      <w:r>
        <w:rPr>
          <w:sz w:val="25"/>
        </w:rPr>
        <w:t xml:space="preserve">tab. This table is platform-wide, not scoped to one Organization, and only a Super Admin may edit it — every other role sees it read-only, for transparency.</w:t>
      </w:r>
    </w:p>
    <w:p>
      <w:pPr>
        <w:numPr>
          <w:ilvl w:val="0"/>
          <w:numId w:val="1008"/>
        </w:numPr>
        <w:pStyle w:val="Compact"/>
      </w:pPr>
      <w:r>
        <w:rPr>
          <w:sz w:val="25"/>
        </w:rPr>
        <w:t xml:space="preserve">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numPr>
          <w:ilvl w:val="0"/>
          <w:numId w:val="1008"/>
        </w:numPr>
        <w:pStyle w:val="Compact"/>
      </w:pPr>
      <w:r>
        <w:rPr>
          <w:sz w:val="25"/>
        </w:rPr>
        <w:t xml:space="preserve">Every checkbox change here takes effect immediately across the whole tenant — there is no separate</w:t>
      </w:r>
      <w:r>
        <w:rPr>
          <w:sz w:val="25"/>
        </w:rPr>
        <w:t xml:space="preserve"> </w:t>
      </w:r>
      <w:r>
        <w:rPr>
          <w:sz w:val="25"/>
        </w:rPr>
        <w:t xml:space="preserve">“</w:t>
      </w:r>
      <w:r>
        <w:rPr>
          <w:sz w:val="25"/>
        </w:rPr>
        <w:t xml:space="preserve">publish</w:t>
      </w:r>
      <w:r>
        <w:rPr>
          <w:sz w:val="25"/>
        </w:rPr>
        <w:t xml:space="preserve">”</w:t>
      </w:r>
      <w:r>
        <w:rPr>
          <w:sz w:val="25"/>
        </w:rPr>
        <w:t xml:space="preserve"> </w:t>
      </w:r>
      <w:r>
        <w:rPr>
          <w:sz w:val="25"/>
        </w:rPr>
        <w:t xml:space="preserve">step.</w:t>
      </w:r>
    </w:p>
    <w:p>
      <w:pPr>
        <w:pStyle w:val="FirstParagraph"/>
      </w:pPr>
    </w:p>
    <w:bookmarkEnd w:id="30"/>
    <w:bookmarkStart w:id="31" w:name="step-5-governance-settings-m2"/>
    <w:p>
      <w:pPr>
        <w:pStyle w:val="Heading3"/>
      </w:pPr>
      <w:r>
        <w:rPr>
          <w:b/>
          <w:color w:val="3F827B"/>
          <w:sz w:val="29"/>
        </w:rPr>
        <w:t xml:space="preserve">1.7 Step 5 — Governance Settings (M2)</w:t>
      </w:r>
    </w:p>
    <w:p>
      <w:pPr>
        <w:numPr>
          <w:ilvl w:val="0"/>
          <w:numId w:val="1009"/>
        </w:numPr>
        <w:pStyle w:val="Compact"/>
      </w:pPr>
      <w:r>
        <w:rPr>
          <w:sz w:val="25"/>
        </w:rPr>
        <w:t xml:space="preserve">Open the</w:t>
      </w:r>
      <w:r>
        <w:rPr>
          <w:sz w:val="25"/>
        </w:rPr>
        <w:t xml:space="preserve"> </w:t>
      </w:r>
      <w:r>
        <w:rPr>
          <w:bCs/>
          <w:b/>
          <w:sz w:val="25"/>
        </w:rPr>
        <w:t xml:space="preserve">Governance Settings</w:t>
      </w:r>
      <w:r>
        <w:rPr>
          <w:sz w:val="25"/>
        </w:rPr>
        <w:t xml:space="preserve"> </w:t>
      </w:r>
      <w:r>
        <w:rPr>
          <w:sz w:val="25"/>
        </w:rPr>
        <w:t xml:space="preserve">tab.</w:t>
      </w:r>
    </w:p>
    <w:p>
      <w:pPr>
        <w:numPr>
          <w:ilvl w:val="0"/>
          <w:numId w:val="1009"/>
        </w:numPr>
        <w:pStyle w:val="Compact"/>
      </w:pPr>
      <w:r>
        <w:rPr>
          <w:sz w:val="25"/>
        </w:rPr>
        <w:t xml:space="preserve">The one platform-wide control here is</w:t>
      </w:r>
      <w:r>
        <w:rPr>
          <w:sz w:val="25"/>
        </w:rPr>
        <w:t xml:space="preserve"> </w:t>
      </w:r>
      <w:r>
        <w:rPr>
          <w:bCs/>
          <w:b/>
          <w:sz w:val="25"/>
        </w:rPr>
        <w:t xml:space="preserve">“</w:t>
      </w:r>
      <w:r>
        <w:rPr>
          <w:bCs/>
          <w:b/>
          <w:sz w:val="25"/>
        </w:rPr>
        <w:t xml:space="preserve">Require justification for score/state changes.</w:t>
      </w:r>
      <w:r>
        <w:rPr>
          <w:bCs/>
          <w:b/>
          <w:sz w:val="25"/>
        </w:rPr>
        <w:t xml:space="preserve">”</w:t>
      </w:r>
      <w:r>
        <w:rPr>
          <w:sz w:val="25"/>
        </w:rPr>
        <w:t xml:space="preserve"> </w:t>
      </w:r>
      <w:r>
        <w:rPr>
          <w:sz w:val="25"/>
        </w:rP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09"/>
        </w:numPr>
        <w:pStyle w:val="Compact"/>
      </w:pPr>
      <w:r>
        <w:rPr>
          <w:sz w:val="25"/>
        </w:rPr>
        <w:t xml:space="preserve">Bouregreg Group’s Super Admin leaves this on: the scenario in Parts 2–4 depends on every framework reading carrying a real, auditable reason, not a bare number.</w:t>
      </w:r>
    </w:p>
    <w:p>
      <w:pPr>
        <w:pStyle w:val="FirstParagraph"/>
      </w:pPr>
    </w:p>
    <w:bookmarkEnd w:id="31"/>
    <w:bookmarkStart w:id="32" w:name="X6adb47c3c2dfd2f7a962f1acae46406e449ea32"/>
    <w:p>
      <w:pPr>
        <w:pStyle w:val="Heading3"/>
      </w:pPr>
      <w:r>
        <w:rPr>
          <w:b/>
          <w:color w:val="3F827B"/>
          <w:sz w:val="29"/>
        </w:rPr>
        <w:t xml:space="preserve">1.8 Step 6 — Creating the First Main Project and CM Project (M1)</w:t>
      </w:r>
    </w:p>
    <w:p>
      <w:pPr>
        <w:numPr>
          <w:ilvl w:val="0"/>
          <w:numId w:val="1010"/>
        </w:numPr>
        <w:pStyle w:val="Compact"/>
      </w:pPr>
      <w:r>
        <w:rPr>
          <w:sz w:val="25"/>
        </w:rPr>
        <w:t xml:space="preserve">Back in</w:t>
      </w:r>
      <w:r>
        <w:rPr>
          <w:sz w:val="25"/>
        </w:rPr>
        <w:t xml:space="preserve"> </w:t>
      </w:r>
      <w:r>
        <w:rPr>
          <w:bCs/>
          <w:b/>
          <w:sz w:val="25"/>
        </w:rPr>
        <w:t xml:space="preserve">Module 1</w:t>
      </w:r>
      <w:r>
        <w:rPr>
          <w:sz w:val="25"/>
        </w:rPr>
        <w:t xml:space="preserve">, on the Bouregreg Manufacturing Maroc Organization card, click</w:t>
      </w:r>
      <w:r>
        <w:rPr>
          <w:sz w:val="25"/>
        </w:rPr>
        <w:t xml:space="preserve"> </w:t>
      </w:r>
      <w:r>
        <w:rPr>
          <w:bCs/>
          <w:b/>
          <w:sz w:val="25"/>
        </w:rPr>
        <w:t xml:space="preserve">+ Main Project</w:t>
      </w:r>
      <w:r>
        <w:rPr>
          <w:sz w:val="25"/>
        </w:rPr>
        <w:t xml:space="preserve">. Fill in:</w:t>
      </w:r>
    </w:p>
    <w:p>
      <w:pPr>
        <w:numPr>
          <w:ilvl w:val="1"/>
          <w:numId w:val="1011"/>
        </w:numPr>
        <w:pStyle w:val="Compact"/>
      </w:pPr>
      <w:r>
        <w:rPr>
          <w:sz w:val="25"/>
        </w:rPr>
        <w:t xml:space="preserve">Name:</w:t>
      </w:r>
      <w:r>
        <w:rPr>
          <w:sz w:val="25"/>
        </w:rPr>
        <w:t xml:space="preserve"> </w:t>
      </w:r>
      <w:r>
        <w:rPr>
          <w:sz w:val="25"/>
        </w:rPr>
        <w:t xml:space="preserve">“</w:t>
      </w:r>
      <w:r>
        <w:rPr>
          <w:sz w:val="25"/>
        </w:rPr>
        <w:t xml:space="preserve">ERP Platform Unification</w:t>
      </w:r>
      <w:r>
        <w:rPr>
          <w:sz w:val="25"/>
        </w:rPr>
        <w:t xml:space="preserve">”</w:t>
      </w:r>
    </w:p>
    <w:p>
      <w:pPr>
        <w:numPr>
          <w:ilvl w:val="1"/>
          <w:numId w:val="1011"/>
        </w:numPr>
        <w:pStyle w:val="Compact"/>
      </w:pPr>
      <w:r>
        <w:rPr>
          <w:sz w:val="25"/>
        </w:rPr>
        <w:t xml:space="preserve">Type: ERP</w:t>
      </w:r>
    </w:p>
    <w:p>
      <w:pPr>
        <w:numPr>
          <w:ilvl w:val="1"/>
          <w:numId w:val="1011"/>
        </w:numPr>
        <w:pStyle w:val="Compact"/>
      </w:pPr>
      <w:r>
        <w:rPr>
          <w:sz w:val="25"/>
        </w:rPr>
        <w:t xml:space="preserve">Description:</w:t>
      </w:r>
      <w:r>
        <w:rPr>
          <w:sz w:val="25"/>
        </w:rPr>
        <w:t xml:space="preserve"> </w:t>
      </w:r>
      <w:r>
        <w:rPr>
          <w:sz w:val="25"/>
        </w:rPr>
        <w:t xml:space="preserve">“</w:t>
      </w:r>
      <w:r>
        <w:rPr>
          <w:sz w:val="25"/>
        </w:rPr>
        <w:t xml:space="preserve">Replace three disconnected legacy systems (order management, inventory, finance) across all three sites with one unified platform.</w:t>
      </w:r>
      <w:r>
        <w:rPr>
          <w:sz w:val="25"/>
        </w:rPr>
        <w:t xml:space="preserve">”</w:t>
      </w:r>
    </w:p>
    <w:p>
      <w:pPr>
        <w:numPr>
          <w:ilvl w:val="1"/>
          <w:numId w:val="1011"/>
        </w:numPr>
        <w:pStyle w:val="Compact"/>
      </w:pPr>
      <w:r>
        <w:rPr>
          <w:sz w:val="25"/>
        </w:rPr>
        <w:t xml:space="preserve">Duration: 14 months</w:t>
      </w:r>
    </w:p>
    <w:p>
      <w:pPr>
        <w:numPr>
          <w:ilvl w:val="1"/>
          <w:numId w:val="1011"/>
        </w:numPr>
        <w:pStyle w:val="Compact"/>
      </w:pPr>
      <w:r>
        <w:rPr>
          <w:sz w:val="25"/>
        </w:rPr>
        <w:t xml:space="preserve">Budget band:</w:t>
      </w:r>
      <w:r>
        <w:rPr>
          <w:sz w:val="25"/>
        </w:rPr>
        <w:t xml:space="preserve"> </w:t>
      </w:r>
      <w:r>
        <w:rPr>
          <w:sz w:val="25"/>
        </w:rPr>
        <w:t xml:space="preserve">“</w:t>
      </w:r>
      <w:r>
        <w:rPr>
          <w:sz w:val="25"/>
        </w:rPr>
        <w:t xml:space="preserve">MAD 42M</w:t>
      </w:r>
      <w:r>
        <w:rPr>
          <w:sz w:val="25"/>
        </w:rPr>
        <w:t xml:space="preserve">”</w:t>
      </w:r>
    </w:p>
    <w:p>
      <w:pPr>
        <w:numPr>
          <w:ilvl w:val="1"/>
          <w:numId w:val="1011"/>
        </w:numPr>
        <w:pStyle w:val="Compact"/>
      </w:pPr>
      <w:r>
        <w:rPr>
          <w:sz w:val="25"/>
        </w:rPr>
        <w:t xml:space="preserve">Executive Sponsor:</w:t>
      </w:r>
      <w:r>
        <w:rPr>
          <w:sz w:val="25"/>
        </w:rPr>
        <w:t xml:space="preserve"> </w:t>
      </w:r>
      <w:r>
        <w:rPr>
          <w:sz w:val="25"/>
        </w:rPr>
        <w:t xml:space="preserve">“</w:t>
      </w:r>
      <w:r>
        <w:rPr>
          <w:sz w:val="25"/>
        </w:rPr>
        <w:t xml:space="preserve">CFO, Bouregreg Group</w:t>
      </w:r>
      <w:r>
        <w:rPr>
          <w:sz w:val="25"/>
        </w:rPr>
        <w:t xml:space="preserve">”</w:t>
      </w:r>
    </w:p>
    <w:p>
      <w:pPr>
        <w:numPr>
          <w:ilvl w:val="0"/>
          <w:numId w:val="1010"/>
        </w:numPr>
        <w:pStyle w:val="Compact"/>
      </w:pPr>
      <w:r>
        <w:rPr>
          <w:sz w:val="25"/>
        </w:rPr>
        <w:t xml:space="preserve">Click</w:t>
      </w:r>
      <w:r>
        <w:rPr>
          <w:sz w:val="25"/>
        </w:rPr>
        <w:t xml:space="preserve"> </w:t>
      </w:r>
      <w:r>
        <w:rPr>
          <w:bCs/>
          <w:b/>
          <w:sz w:val="25"/>
        </w:rPr>
        <w:t xml:space="preserve">+ CM Project</w:t>
      </w:r>
      <w:r>
        <w:rPr>
          <w:sz w:val="25"/>
        </w:rPr>
        <w:t xml:space="preserve"> </w:t>
      </w:r>
      <w:r>
        <w:rPr>
          <w:sz w:val="25"/>
        </w:rPr>
        <w:t xml:space="preserve">on the same Organization card. Fill in:</w:t>
      </w:r>
    </w:p>
    <w:p>
      <w:pPr>
        <w:numPr>
          <w:ilvl w:val="1"/>
          <w:numId w:val="1012"/>
        </w:numPr>
        <w:pStyle w:val="Compact"/>
      </w:pPr>
      <w:r>
        <w:rPr>
          <w:sz w:val="25"/>
        </w:rPr>
        <w:t xml:space="preserve">Name:</w:t>
      </w:r>
      <w:r>
        <w:rPr>
          <w:sz w:val="25"/>
        </w:rPr>
        <w:t xml:space="preserve"> </w:t>
      </w:r>
      <w:r>
        <w:rPr>
          <w:sz w:val="25"/>
        </w:rPr>
        <w:t xml:space="preserve">“</w:t>
      </w:r>
      <w:r>
        <w:rPr>
          <w:sz w:val="25"/>
        </w:rPr>
        <w:t xml:space="preserve">Bouregreg ERP Adoption Program</w:t>
      </w:r>
      <w:r>
        <w:rPr>
          <w:sz w:val="25"/>
        </w:rPr>
        <w:t xml:space="preserve">”</w:t>
      </w:r>
    </w:p>
    <w:p>
      <w:pPr>
        <w:numPr>
          <w:ilvl w:val="1"/>
          <w:numId w:val="1012"/>
        </w:numPr>
        <w:pStyle w:val="Compact"/>
      </w:pPr>
      <w:r>
        <w:rPr>
          <w:sz w:val="25"/>
        </w:rPr>
        <w:t xml:space="preserve">Linked Main Project: check</w:t>
      </w:r>
      <w:r>
        <w:rPr>
          <w:sz w:val="25"/>
        </w:rPr>
        <w:t xml:space="preserve"> </w:t>
      </w:r>
      <w:r>
        <w:rPr>
          <w:sz w:val="25"/>
        </w:rPr>
        <w:t xml:space="preserve">“</w:t>
      </w:r>
      <w:r>
        <w:rPr>
          <w:sz w:val="25"/>
        </w:rPr>
        <w:t xml:space="preserve">ERP Platform Unification</w:t>
      </w:r>
      <w:r>
        <w:rPr>
          <w:sz w:val="25"/>
        </w:rPr>
        <w:t xml:space="preserve">”</w:t>
      </w:r>
      <w:r>
        <w:rPr>
          <w:sz w:val="25"/>
        </w:rPr>
        <w:t xml:space="preserve"> </w:t>
      </w:r>
      <w:r>
        <w:rPr>
          <w:sz w:val="25"/>
        </w:rPr>
        <w:t xml:space="preserve">(a CM Project may link to zero, one, or more Main Projects — this one links to exactly one)</w:t>
      </w:r>
    </w:p>
    <w:p>
      <w:pPr>
        <w:numPr>
          <w:ilvl w:val="1"/>
          <w:numId w:val="1012"/>
        </w:numPr>
        <w:pStyle w:val="Compact"/>
      </w:pPr>
      <w:r>
        <w:rPr>
          <w:sz w:val="25"/>
        </w:rPr>
        <w:t xml:space="preserve">Owner:</w:t>
      </w:r>
      <w:r>
        <w:rPr>
          <w:sz w:val="25"/>
        </w:rPr>
        <w:t xml:space="preserve"> </w:t>
      </w:r>
      <w:r>
        <w:rPr>
          <w:sz w:val="25"/>
        </w:rPr>
        <w:t xml:space="preserve">“</w:t>
      </w:r>
      <w:r>
        <w:rPr>
          <w:sz w:val="25"/>
        </w:rPr>
        <w:t xml:space="preserve">Driss El Amrani</w:t>
      </w:r>
      <w:r>
        <w:rPr>
          <w:sz w:val="25"/>
        </w:rPr>
        <w:t xml:space="preserve">”</w:t>
      </w:r>
    </w:p>
    <w:p>
      <w:pPr>
        <w:numPr>
          <w:ilvl w:val="1"/>
          <w:numId w:val="1012"/>
        </w:numPr>
        <w:pStyle w:val="Compact"/>
      </w:pPr>
      <w:r>
        <w:rPr>
          <w:sz w:val="25"/>
        </w:rPr>
        <w:t xml:space="preserve">Change type: Technology</w:t>
      </w:r>
    </w:p>
    <w:p>
      <w:pPr>
        <w:numPr>
          <w:ilvl w:val="1"/>
          <w:numId w:val="1012"/>
        </w:numPr>
        <w:pStyle w:val="Compact"/>
      </w:pPr>
      <w:r>
        <w:rPr>
          <w:sz w:val="25"/>
        </w:rPr>
        <w:t xml:space="preserve">Target population:</w:t>
      </w:r>
      <w:r>
        <w:rPr>
          <w:sz w:val="25"/>
        </w:rPr>
        <w:t xml:space="preserve"> </w:t>
      </w:r>
      <w:r>
        <w:rPr>
          <w:sz w:val="25"/>
        </w:rPr>
        <w:t xml:space="preserve">“</w:t>
      </w:r>
      <w:r>
        <w:rPr>
          <w:sz w:val="25"/>
        </w:rPr>
        <w:t xml:space="preserve">All plant and HQ staff (3,400)</w:t>
      </w:r>
      <w:r>
        <w:rPr>
          <w:sz w:val="25"/>
        </w:rPr>
        <w:t xml:space="preserve">”</w:t>
      </w:r>
    </w:p>
    <w:p>
      <w:pPr>
        <w:numPr>
          <w:ilvl w:val="1"/>
          <w:numId w:val="1012"/>
        </w:numPr>
        <w:pStyle w:val="Compact"/>
      </w:pPr>
      <w:r>
        <w:rPr>
          <w:sz w:val="25"/>
        </w:rPr>
        <w:t xml:space="preserve">Business driver:</w:t>
      </w:r>
      <w:r>
        <w:rPr>
          <w:sz w:val="25"/>
        </w:rPr>
        <w:t xml:space="preserve"> </w:t>
      </w:r>
      <w:r>
        <w:rPr>
          <w:sz w:val="25"/>
        </w:rPr>
        <w:t xml:space="preserve">“</w:t>
      </w:r>
      <w:r>
        <w:rPr>
          <w:sz w:val="25"/>
        </w:rPr>
        <w:t xml:space="preserve">Three disconnected legacy systems create manual reconciliation, delayed month-end close, and duplicate data entry across all three sites.</w:t>
      </w:r>
      <w:r>
        <w:rPr>
          <w:sz w:val="25"/>
        </w:rPr>
        <w:t xml:space="preserve">”</w:t>
      </w:r>
    </w:p>
    <w:p>
      <w:pPr>
        <w:numPr>
          <w:ilvl w:val="0"/>
          <w:numId w:val="1010"/>
        </w:numPr>
        <w:pStyle w:val="Compact"/>
      </w:pPr>
      <w:r>
        <w:rPr>
          <w:sz w:val="25"/>
        </w:rPr>
        <w:t xml:space="preserve">Save. The Organization card now shows the Main Project (with its archetype badge and linked CM Project count) and the CM Project (with its current Lewin phase badge, starting at Unfreeze) side by side.</w:t>
      </w:r>
    </w:p>
    <w:p>
      <w:pPr>
        <w:numPr>
          <w:ilvl w:val="0"/>
          <w:numId w:val="1010"/>
        </w:numPr>
        <w:pStyle w:val="Compact"/>
      </w:pPr>
      <w:r>
        <w:rPr>
          <w:sz w:val="25"/>
        </w:rPr>
        <w:t xml:space="preserve">Return to Step 3 and finish creating or re-scoping the four project-level user accounts (Driss El Amrani, Houda Zerouali, the Sponsor, Reda Loukili, and Ghita Bennis) against this now-existing Project.</w:t>
      </w:r>
    </w:p>
    <w:p>
      <w:pPr>
        <w:pStyle w:val="FirstParagraph"/>
      </w:pPr>
    </w:p>
    <w:bookmarkEnd w:id="32"/>
    <w:bookmarkStart w:id="33" w:name="tenant-setup-checklist"/>
    <w:p>
      <w:pPr>
        <w:pStyle w:val="Heading3"/>
      </w:pPr>
      <w:r>
        <w:rPr>
          <w:b/>
          <w:color w:val="3F827B"/>
          <w:sz w:val="29"/>
        </w:rPr>
        <w:t xml:space="preserve">1.9 Tenant Setup Checklist</w:t>
      </w:r>
    </w:p>
    <w:p>
      <w:pPr>
        <w:numPr>
          <w:ilvl w:val="0"/>
          <w:numId w:val="1013"/>
        </w:numPr>
        <w:pStyle w:val="Compact"/>
      </w:pPr>
      <w:r>
        <w:rPr>
          <w:sz w:val="25"/>
        </w:rPr>
        <w:t xml:space="preserve">☐ License record set (company name, plan, user cap, feature flags) — Module 2, License &amp; Plan</w:t>
      </w:r>
    </w:p>
    <w:p>
      <w:pPr>
        <w:numPr>
          <w:ilvl w:val="0"/>
          <w:numId w:val="1013"/>
        </w:numPr>
        <w:pStyle w:val="Compact"/>
      </w:pPr>
      <w:r>
        <w:rPr>
          <w:sz w:val="25"/>
        </w:rPr>
        <w:t xml:space="preserve">☐ Group created — Module 1</w:t>
      </w:r>
    </w:p>
    <w:p>
      <w:pPr>
        <w:numPr>
          <w:ilvl w:val="0"/>
          <w:numId w:val="1013"/>
        </w:numPr>
        <w:pStyle w:val="Compact"/>
      </w:pPr>
      <w:r>
        <w:rPr>
          <w:sz w:val="25"/>
        </w:rPr>
        <w:t xml:space="preserve">☐ Organization created (sector, employees, sites, languages, default language) — Module 1</w:t>
      </w:r>
    </w:p>
    <w:p>
      <w:pPr>
        <w:numPr>
          <w:ilvl w:val="0"/>
          <w:numId w:val="1013"/>
        </w:numPr>
        <w:pStyle w:val="Compact"/>
      </w:pPr>
      <w:r>
        <w:rPr>
          <w:sz w:val="25"/>
        </w:rPr>
        <w:t xml:space="preserve">☐ Initial user accounts created with correct role, scope type, and scope — Module 2, Users &amp; Scope</w:t>
      </w:r>
    </w:p>
    <w:p>
      <w:pPr>
        <w:numPr>
          <w:ilvl w:val="0"/>
          <w:numId w:val="1013"/>
        </w:numPr>
        <w:pStyle w:val="Compact"/>
      </w:pPr>
      <w:r>
        <w:rPr>
          <w:sz w:val="25"/>
        </w:rPr>
        <w:t xml:space="preserve">☐ Permission Matrix reviewed and adjusted from defaults where needed — Module 2, Permission Matrix</w:t>
      </w:r>
    </w:p>
    <w:p>
      <w:pPr>
        <w:numPr>
          <w:ilvl w:val="0"/>
          <w:numId w:val="1013"/>
        </w:numPr>
        <w:pStyle w:val="Compact"/>
      </w:pPr>
      <w:r>
        <w:rPr>
          <w:sz w:val="25"/>
        </w:rPr>
        <w:t xml:space="preserve">☐ Governance setting (justification requirement) confirmed — Module 2, Governance Settings</w:t>
      </w:r>
    </w:p>
    <w:p>
      <w:pPr>
        <w:numPr>
          <w:ilvl w:val="0"/>
          <w:numId w:val="1013"/>
        </w:numPr>
        <w:pStyle w:val="Compact"/>
      </w:pPr>
      <w:r>
        <w:rPr>
          <w:sz w:val="25"/>
        </w:rPr>
        <w:t xml:space="preserve">☐ First Main Project created — Module 1</w:t>
      </w:r>
    </w:p>
    <w:p>
      <w:pPr>
        <w:numPr>
          <w:ilvl w:val="0"/>
          <w:numId w:val="1013"/>
        </w:numPr>
        <w:pStyle w:val="Compact"/>
      </w:pPr>
      <w:r>
        <w:rPr>
          <w:sz w:val="25"/>
        </w:rPr>
        <w:t xml:space="preserve">☐ First Change Management Project created and linked — Module 1</w:t>
      </w:r>
    </w:p>
    <w:p>
      <w:pPr>
        <w:numPr>
          <w:ilvl w:val="0"/>
          <w:numId w:val="1013"/>
        </w:numPr>
        <w:pStyle w:val="Compact"/>
      </w:pPr>
      <w:r>
        <w:rPr>
          <w:sz w:val="25"/>
        </w:rPr>
        <w:t xml:space="preserve">☐ Project-scoped user accounts finalized against the new Project — Module 2, Users &amp; Scope</w:t>
      </w:r>
    </w:p>
    <w:p>
      <w:pPr>
        <w:pStyle w:val="FirstParagraph"/>
      </w:pPr>
      <w:r>
        <w:rPr>
          <w:sz w:val="25"/>
        </w:rPr>
        <w:t xml:space="preserve">With this checklist complete, Bouregreg Group is a fully operational journi tenant with one live Change Management Project. Part 1B walks that project week by week through all four frameworks, normal flow and exceptions; Part 2 then tours all 20 modules against this same, now-real data set.</w:t>
      </w:r>
    </w:p>
    <w:p>
      <w:r>
        <w:rPr>
          <w:sz w:val="25"/>
        </w:rPr>
        <w:pict>
          <v:rect style="width:0;height:1.5pt" o:hralign="center" o:hrstd="t" o:hr="t"/>
        </w:pict>
      </w:r>
    </w:p>
    <w:p>
      <w:pPr>
        <w:pStyle w:val="FirstParagraph"/>
      </w:pPr>
    </w:p>
    <w:bookmarkEnd w:id="33"/>
    <w:bookmarkEnd w:id="34"/>
    <w:bookmarkStart w:id="57" w:name="X1ef495e36e00a58d295aead0b526675697e4efb"/>
    <w:p>
      <w:pPr>
        <w:pStyle w:val="Heading2"/>
      </w:pPr>
      <w:r>
        <w:rPr>
          <w:b/>
          <w:color w:val="275650"/>
          <w:sz w:val="34"/>
        </w:rPr>
        <w:t xml:space="preserve">Part 1B — Week-by-Week ERP Implementation Timeline: Normal Flow and Exceptions</w:t>
      </w:r>
    </w:p>
    <w:p>
      <w:pPr>
        <w:pStyle w:val="FirstParagraph"/>
      </w:pPr>
      <w:r>
        <w:rPr>
          <w:sz w:val="25"/>
        </w:rPr>
        <w:t xml:space="preserve">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pPr>
    </w:p>
    <w:bookmarkStart w:id="35" w:name="X152ac3ce195f9af9660a6a9a3e4ef1a0f494685"/>
    <w:p>
      <w:pPr>
        <w:pStyle w:val="Heading3"/>
      </w:pPr>
      <w:r>
        <w:rPr>
          <w:b/>
          <w:color w:val="3F827B"/>
          <w:sz w:val="29"/>
        </w:rPr>
        <w:t xml:space="preserve">1B.1 How the Four Frameworks Actually Read in journi</w:t>
      </w:r>
    </w:p>
    <w:p>
      <w:pPr>
        <w:pStyle w:val="FirstParagraph"/>
      </w:pPr>
      <w:r>
        <w:rPr>
          <w:sz w:val="25"/>
        </w:rPr>
        <w:t xml:space="preserve">journi tracks four frameworks, each at a different altitude, and this guide states their real stage vocabulary rather than a textbook approximation of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journi’s own UI, in order)</w:t>
            </w:r>
          </w:p>
        </w:tc>
        <w:tc>
          <w:tcPr>
            <w:shd w:val="clear" w:fill="1F4B45"/>
          </w:tcPr>
          <w:p>
            <w:pPr>
              <w:pStyle w:val="Compact"/>
              <w:jc w:val="left"/>
            </w:pPr>
            <w:r>
              <w:rPr>
                <w:b/>
                <w:color w:val="FFFFFF"/>
                <w:sz w:val="22"/>
              </w:rPr>
              <w:t xml:space="preserve">Logged on</w:t>
            </w:r>
          </w:p>
        </w:tc>
      </w:tr>
      <w:tr>
        <w:trPr>
          <w:cantSplit/>
        </w:trPr>
        <w:tc>
          <w:tcPr/>
          <w:p>
            <w:pPr>
              <w:pStyle w:val="Compact"/>
              <w:jc w:val="left"/>
            </w:pPr>
            <w:r>
              <w:rPr>
                <w:sz w:val="22"/>
              </w:rPr>
              <w:t xml:space="preserve">Lewin</w:t>
            </w:r>
          </w:p>
        </w:tc>
        <w:tc>
          <w:tcPr/>
          <w:p>
            <w:pPr>
              <w:pStyle w:val="Compact"/>
              <w:jc w:val="left"/>
            </w:pPr>
            <w:r>
              <w:rPr>
                <w:sz w:val="22"/>
              </w:rPr>
              <w:t xml:space="preserve">Organizational — one reading per project</w:t>
            </w:r>
          </w:p>
        </w:tc>
        <w:tc>
          <w:tcPr/>
          <w:p>
            <w:pPr>
              <w:pStyle w:val="Compact"/>
              <w:jc w:val="left"/>
            </w:pPr>
            <w:r>
              <w:rPr>
                <w:sz w:val="22"/>
              </w:rPr>
              <w:t xml:space="preserve">Unfreeze → Change → Refreeze</w:t>
            </w:r>
          </w:p>
        </w:tc>
        <w:tc>
          <w:tcPr/>
          <w:p>
            <w:pPr>
              <w:pStyle w:val="Compact"/>
              <w:jc w:val="left"/>
            </w:pPr>
            <w:r>
              <w:rPr>
                <w:sz w:val="22"/>
              </w:rPr>
              <w:t xml:space="preserve">M3 (Initiative Registry)</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 — five independently-scored blocks</w:t>
            </w:r>
          </w:p>
        </w:tc>
        <w:tc>
          <w:tcPr/>
          <w:p>
            <w:pPr>
              <w:pStyle w:val="Compact"/>
              <w:jc w:val="left"/>
            </w:pPr>
            <w:r>
              <w:rPr>
                <w:sz w:val="22"/>
              </w:rPr>
              <w:t xml:space="preserve">Awareness → Desire → Knowledge → Ability → Reinforcement</w:t>
            </w:r>
          </w:p>
        </w:tc>
        <w:tc>
          <w:tcPr/>
          <w:p>
            <w:pPr>
              <w:pStyle w:val="Compact"/>
              <w:jc w:val="left"/>
            </w:pPr>
            <w:r>
              <w:rPr>
                <w:sz w:val="22"/>
              </w:rPr>
              <w:t xml:space="preserve">M5 (ADKAR Engine)</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 — emotional position</w:t>
            </w:r>
          </w:p>
        </w:tc>
        <w:tc>
          <w:tcPr/>
          <w:p>
            <w:pPr>
              <w:pStyle w:val="Compact"/>
              <w:jc w:val="left"/>
            </w:pPr>
            <w:r>
              <w:rPr>
                <w:sz w:val="22"/>
              </w:rPr>
              <w:t xml:space="preserve">Ending → Neutral Zone → New Beginning</w:t>
            </w:r>
          </w:p>
        </w:tc>
        <w:tc>
          <w:tcPr/>
          <w:p>
            <w:pPr>
              <w:pStyle w:val="Compact"/>
              <w:jc w:val="left"/>
            </w:pPr>
            <w:r>
              <w:rPr>
                <w:sz w:val="22"/>
              </w:rPr>
              <w:t xml:space="preserve">M6 (Emotional &amp; Transition Layer)</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 — sentiment</w:t>
            </w:r>
          </w:p>
        </w:tc>
        <w:tc>
          <w:tcPr/>
          <w:p>
            <w:pPr>
              <w:pStyle w:val="Compact"/>
              <w:jc w:val="left"/>
            </w:pPr>
            <w:r>
              <w:rPr>
                <w:sz w:val="22"/>
              </w:rPr>
              <w:t xml:space="preserve">Denial → Resistance/Anger → Exploration → Commitment</w:t>
            </w:r>
          </w:p>
        </w:tc>
        <w:tc>
          <w:tcPr/>
          <w:p>
            <w:pPr>
              <w:pStyle w:val="Compact"/>
              <w:jc w:val="left"/>
            </w:pPr>
            <w:r>
              <w:rPr>
                <w:sz w:val="22"/>
              </w:rPr>
              <w:t xml:space="preserve">M6 (Emotional &amp; Transition Layer)</w:t>
            </w:r>
          </w:p>
        </w:tc>
      </w:tr>
    </w:tbl>
    <w:p>
      <w:pPr>
        <w:pStyle w:val="BodyText"/>
      </w:pPr>
      <w:r>
        <w:rPr>
          <w:sz w:val="25"/>
        </w:rPr>
        <w:t xml:space="preserve">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Everything else in the four-framework picture is a human reading, not a system inference — which is exactly why the timeline below shows a Change Manager actively setting each reading, week by week, rather than journi silently deriving one.</w:t>
      </w:r>
    </w:p>
    <w:p>
      <w:pPr>
        <w:pStyle w:val="BodyText"/>
      </w:pPr>
      <w:r>
        <w:rPr>
          <w:sz w:val="25"/>
        </w:rPr>
        <w:t xml:space="preserve">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p>
    <w:p>
      <w:pPr>
        <w:pStyle w:val="BodyText"/>
      </w:pPr>
    </w:p>
    <w:bookmarkEnd w:id="35"/>
    <w:bookmarkStart w:id="36" w:name="X57dcd32c802a4d293332a57bdfbdf1d57608ff2"/>
    <w:p>
      <w:pPr>
        <w:pStyle w:val="Heading3"/>
      </w:pPr>
      <w:r>
        <w:rPr>
          <w:b/>
          <w:color w:val="3F827B"/>
          <w:sz w:val="29"/>
        </w:rPr>
        <w:t xml:space="preserve">1B.2 The 64-Week Program Calendar — Week by Week</w:t>
      </w:r>
    </w:p>
    <w:p>
      <w:pPr>
        <w:pStyle w:val="FirstParagraph"/>
      </w:pPr>
      <w:r>
        <w:rPr>
          <w:sz w:val="25"/>
        </w:rPr>
        <w:t xml:space="preserve">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cantSplit/>
        </w:trPr>
        <w:tc>
          <w:tcPr>
            <w:shd w:val="clear" w:fill="1F4B45"/>
          </w:tcPr>
          <w:p>
            <w:pPr>
              <w:pStyle w:val="Compact"/>
              <w:jc w:val="left"/>
            </w:pPr>
            <w:r>
              <w:rPr>
                <w:b/>
                <w:color w:val="FFFFFF"/>
                <w:sz w:val="22"/>
              </w:rPr>
              <w:t xml:space="preserve">Week</w:t>
            </w:r>
          </w:p>
        </w:tc>
        <w:tc>
          <w:tcPr>
            <w:shd w:val="clear" w:fill="1F4B45"/>
          </w:tcPr>
          <w:p>
            <w:pPr>
              <w:pStyle w:val="Compact"/>
              <w:jc w:val="left"/>
            </w:pPr>
            <w:r>
              <w:rPr>
                <w:b/>
                <w:color w:val="FFFFFF"/>
                <w:sz w:val="22"/>
              </w:rPr>
              <w:t xml:space="preserve">Phase(s) Active</w:t>
            </w:r>
          </w:p>
        </w:tc>
        <w:tc>
          <w:tcPr>
            <w:shd w:val="clear" w:fill="1F4B45"/>
          </w:tcPr>
          <w:p>
            <w:pPr>
              <w:pStyle w:val="Compact"/>
              <w:jc w:val="left"/>
            </w:pPr>
            <w:r>
              <w:rPr>
                <w:b/>
                <w:color w:val="FFFFFF"/>
                <w:sz w:val="22"/>
              </w:rPr>
              <w:t xml:space="preserve">Lewin</w:t>
            </w:r>
          </w:p>
        </w:tc>
        <w:tc>
          <w:tcPr>
            <w:shd w:val="clear" w:fill="1F4B45"/>
          </w:tcPr>
          <w:p>
            <w:pPr>
              <w:pStyle w:val="Compact"/>
              <w:jc w:val="left"/>
            </w:pPr>
            <w:r>
              <w:rPr>
                <w:b/>
                <w:color w:val="FFFFFF"/>
                <w:sz w:val="22"/>
              </w:rPr>
              <w:t xml:space="preserve">ADKAR Focus</w:t>
            </w:r>
          </w:p>
        </w:tc>
        <w:tc>
          <w:tcPr>
            <w:shd w:val="clear" w:fill="1F4B45"/>
          </w:tcPr>
          <w:p>
            <w:pPr>
              <w:pStyle w:val="Compact"/>
              <w:jc w:val="left"/>
            </w:pPr>
            <w:r>
              <w:rPr>
                <w:b/>
                <w:color w:val="FFFFFF"/>
                <w:sz w:val="22"/>
              </w:rPr>
              <w:t xml:space="preserve">Bridges</w:t>
            </w:r>
          </w:p>
        </w:tc>
        <w:tc>
          <w:tcPr>
            <w:shd w:val="clear" w:fill="1F4B45"/>
          </w:tcPr>
          <w:p>
            <w:pPr>
              <w:pStyle w:val="Compact"/>
              <w:jc w:val="left"/>
            </w:pPr>
            <w:r>
              <w:rPr>
                <w:b/>
                <w:color w:val="FFFFFF"/>
                <w:sz w:val="22"/>
              </w:rPr>
              <w:t xml:space="preserve">Kübler-Ross</w:t>
            </w:r>
          </w:p>
        </w:tc>
        <w:tc>
          <w:tcPr>
            <w:shd w:val="clear" w:fill="1F4B45"/>
          </w:tcPr>
          <w:p>
            <w:pPr>
              <w:pStyle w:val="Compact"/>
              <w:jc w:val="left"/>
            </w:pPr>
            <w:r>
              <w:rPr>
                <w:b/>
                <w:color w:val="FFFFFF"/>
                <w:sz w:val="22"/>
              </w:rPr>
              <w:t xml:space="preserve">Exception</w:t>
            </w:r>
          </w:p>
        </w:tc>
      </w:tr>
      <w:tr>
        <w:trPr>
          <w:cantSplit/>
        </w:trPr>
        <w:tc>
          <w:tcPr/>
          <w:p>
            <w:pPr>
              <w:pStyle w:val="Compact"/>
              <w:jc w:val="left"/>
            </w:pPr>
            <w:r>
              <w:rPr>
                <w:sz w:val="22"/>
              </w:rPr>
              <w:t xml:space="preserve">Week 1</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2</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3</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4</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5</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6</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7</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8</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9</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10</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11</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12</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13</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14</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15</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16</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17</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18</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19</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20</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21</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22</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23</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24</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25</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26</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27</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28</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29</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30</w:t>
            </w:r>
          </w:p>
        </w:tc>
        <w:tc>
          <w:tcPr/>
          <w:p>
            <w:pPr>
              <w:pStyle w:val="Compact"/>
              <w:jc w:val="left"/>
            </w:pPr>
            <w:r>
              <w:rPr>
                <w:sz w:val="22"/>
              </w:rPr>
              <w:t xml:space="preserve">Build + 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31</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32</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33</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34</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35</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w:t>
            </w:r>
          </w:p>
        </w:tc>
      </w:tr>
      <w:tr>
        <w:trPr>
          <w:cantSplit/>
        </w:trPr>
        <w:tc>
          <w:tcPr/>
          <w:p>
            <w:pPr>
              <w:pStyle w:val="Compact"/>
              <w:jc w:val="left"/>
            </w:pPr>
            <w:r>
              <w:rPr>
                <w:sz w:val="22"/>
              </w:rPr>
              <w:t xml:space="preserve">Week 36</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37</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38</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39</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40</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41</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42</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43</w:t>
            </w:r>
          </w:p>
        </w:tc>
        <w:tc>
          <w:tcPr/>
          <w:p>
            <w:pPr>
              <w:pStyle w:val="Compact"/>
              <w:jc w:val="left"/>
            </w:pPr>
            <w:r>
              <w:rPr>
                <w:sz w:val="22"/>
              </w:rPr>
              <w:t xml:space="preserve">Deploy</w:t>
            </w:r>
          </w:p>
        </w:tc>
        <w:tc>
          <w:tcPr/>
          <w:p>
            <w:pPr>
              <w:pStyle w:val="Compact"/>
              <w:jc w:val="left"/>
            </w:pPr>
            <w:r>
              <w:rPr>
                <w:sz w:val="22"/>
              </w:rPr>
              <w:t xml:space="preserve">Change → Refreeze (provisional)</w:t>
            </w:r>
          </w:p>
        </w:tc>
        <w:tc>
          <w:tcPr/>
          <w:p>
            <w:pPr>
              <w:pStyle w:val="Compact"/>
              <w:jc w:val="left"/>
            </w:pPr>
            <w:r>
              <w:rPr>
                <w:sz w:val="22"/>
              </w:rPr>
              <w:t xml:space="preserve">Ability</w:t>
            </w:r>
          </w:p>
        </w:tc>
        <w:tc>
          <w:tcPr/>
          <w:p>
            <w:pPr>
              <w:pStyle w:val="Compact"/>
              <w:jc w:val="left"/>
            </w:pPr>
            <w:r>
              <w:rPr>
                <w:sz w:val="22"/>
              </w:rPr>
              <w:t xml:space="preserve">Neutral Zone → New Beginning (provisional)</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44</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45</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46</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47</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48</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49</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50</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51</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E3 (Two-Clock Problem at Deploy)</w:t>
            </w:r>
          </w:p>
        </w:tc>
      </w:tr>
      <w:tr>
        <w:trPr>
          <w:cantSplit/>
        </w:trPr>
        <w:tc>
          <w:tcPr/>
          <w:p>
            <w:pPr>
              <w:pStyle w:val="Compact"/>
              <w:jc w:val="left"/>
            </w:pPr>
            <w:r>
              <w:rPr>
                <w:sz w:val="22"/>
              </w:rPr>
              <w:t xml:space="preserve">Week 52</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53</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54</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55</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56</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57</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58</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59</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60</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61</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62</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63</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64</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bl>
    <w:p>
      <w:pPr>
        <w:pStyle w:val="BodyText"/>
      </w:pPr>
      <w:r>
        <w:rPr>
          <w:sz w:val="25"/>
        </w:rPr>
        <w:t xml:space="preserve">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w:t>
      </w:r>
      <w:r>
        <w:rPr>
          <w:sz w:val="25"/>
        </w:rPr>
        <w:t xml:space="preserve"> </w:t>
      </w:r>
      <w:r>
        <w:rPr>
          <w:sz w:val="25"/>
        </w:rPr>
        <w:t xml:space="preserve">“</w:t>
      </w:r>
      <w:r>
        <w:rPr>
          <w:sz w:val="25"/>
        </w:rPr>
        <w:t xml:space="preserve">provisional</w:t>
      </w:r>
      <w:r>
        <w:rPr>
          <w:sz w:val="25"/>
        </w:rPr>
        <w:t xml:space="preserve">”</w:t>
      </w:r>
      <w:r>
        <w:rPr>
          <w:sz w:val="25"/>
        </w:rPr>
        <w:t xml:space="preserve"> </w:t>
      </w:r>
      <w:r>
        <w:rPr>
          <w:sz w:val="25"/>
        </w:rPr>
        <w:t xml:space="preserve">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r>
        <w:rPr>
          <w:sz w:val="25"/>
        </w:rPr>
        <w:pict>
          <v:rect style="width:0;height:1.5pt" o:hralign="center" o:hrstd="t" o:hr="t"/>
        </w:pict>
      </w:r>
    </w:p>
    <w:p>
      <w:pPr>
        <w:pStyle w:val="FirstParagraph"/>
      </w:pPr>
    </w:p>
    <w:bookmarkEnd w:id="36"/>
    <w:bookmarkStart w:id="46" w:name="b.3-phase-by-phase-playbook-normal-flow"/>
    <w:p>
      <w:pPr>
        <w:pStyle w:val="Heading3"/>
      </w:pPr>
      <w:r>
        <w:rPr>
          <w:b/>
          <w:color w:val="3F827B"/>
          <w:sz w:val="29"/>
        </w:rPr>
        <w:t xml:space="preserve">1B.3 Phase-by-Phase Playbook (Normal Flow)</w:t>
      </w:r>
    </w:p>
    <w:p>
      <w:pPr>
        <w:pStyle w:val="FirstParagraph"/>
      </w:pPr>
      <w:r>
        <w:rPr>
          <w:sz w:val="25"/>
        </w:rPr>
        <w:t xml:space="preserve">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pPr>
    </w:p>
    <w:bookmarkStart w:id="37" w:name="phase-1-discovery-w18"/>
    <w:p>
      <w:pPr>
        <w:pStyle w:val="Heading4"/>
      </w:pPr>
      <w:r>
        <w:rPr>
          <w:b/>
          <w:color w:val="5A8F89"/>
          <w:sz w:val="26"/>
        </w:rPr>
        <w:t xml:space="preserve">Phase 1 — Discovery (W1–8)</w:t>
      </w:r>
    </w:p>
    <w:p>
      <w:pPr>
        <w:pStyle w:val="FirstParagraph"/>
      </w:pPr>
      <w:r>
        <w:rPr>
          <w:bCs/>
          <w:b/>
          <w:sz w:val="25"/>
        </w:rPr>
        <w:t xml:space="preserve">Framework readings at close:</w:t>
      </w:r>
      <w:r>
        <w:rPr>
          <w:sz w:val="25"/>
        </w:rPr>
        <w:t xml:space="preserve"> </w:t>
      </w:r>
      <w:r>
        <w:rPr>
          <w:sz w:val="25"/>
        </w:rPr>
        <w:t xml:space="preserve">Lewin Unfreeze · ADKAR focus Awareness · Bridges Ending · Kübler-Ross Denial.</w:t>
      </w:r>
    </w:p>
    <w:p>
      <w:pPr>
        <w:pStyle w:val="BodyText"/>
      </w:pPr>
      <w:r>
        <w:rPr>
          <w:sz w:val="25"/>
        </w:rPr>
        <w:t xml:space="preserve">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w:t>
            </w:r>
          </w:p>
        </w:tc>
        <w:tc>
          <w:tcPr>
            <w:tcW w:type="dxa" w:w="2522"/>
          </w:tcPr>
          <w:p>
            <w:pPr>
              <w:pStyle w:val="Compact"/>
              <w:jc w:val="left"/>
            </w:pPr>
            <w:r>
              <w:rPr>
                <w:bCs/>
                <w:b/>
                <w:sz w:val="22"/>
              </w:rPr>
              <w:t xml:space="preserve">[PM]</w:t>
            </w:r>
            <w:r>
              <w:rPr>
                <w:sz w:val="22"/>
              </w:rPr>
              <w:t xml:space="preserve"> </w:t>
            </w:r>
            <w:r>
              <w:rPr>
                <w:sz w:val="22"/>
              </w:rPr>
              <w:t xml:space="preserve">Hold program kickoff; confirm Executive Sponsor (CFO) attendance; align the three-site workshop schedule with Functional Process Owners.</w:t>
            </w:r>
          </w:p>
        </w:tc>
        <w:tc>
          <w:tcPr>
            <w:tcW w:type="dxa" w:w="2522"/>
          </w:tcPr>
          <w:p>
            <w:pPr>
              <w:pStyle w:val="Compact"/>
              <w:jc w:val="left"/>
            </w:pPr>
            <w:r>
              <w:rPr>
                <w:bCs/>
                <w:b/>
                <w:sz w:val="22"/>
              </w:rPr>
              <w:t xml:space="preserve">[CM]</w:t>
            </w:r>
            <w:r>
              <w:rPr>
                <w:sz w:val="22"/>
              </w:rPr>
              <w:t xml:space="preserve"> </w:t>
            </w:r>
            <w:r>
              <w:rPr>
                <w:sz w:val="22"/>
              </w:rPr>
              <w:t xml:space="preserve">Brief Meryem Sabri’s team on discovery-workshop facilitation method; prepare the workaround-inventory capture sheet.</w:t>
            </w:r>
          </w:p>
        </w:tc>
        <w:tc>
          <w:tcPr>
            <w:tcW w:type="dxa" w:w="3258"/>
          </w:tcPr>
          <w:p>
            <w:pPr>
              <w:pStyle w:val="Compact"/>
              <w:jc w:val="left"/>
            </w:pPr>
            <w:r>
              <w:rPr>
                <w:sz w:val="22"/>
              </w:rPr>
              <w:t xml:space="preserve">M1 (Hierarchy) — verify the CM Project record’s scope and dates match the kickoff agreement (no new entry; record already created in Part 1).</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w:t>
            </w:r>
          </w:p>
        </w:tc>
        <w:tc>
          <w:tcPr>
            <w:tcW w:type="dxa" w:w="2522"/>
          </w:tcPr>
          <w:p>
            <w:pPr>
              <w:pStyle w:val="Compact"/>
              <w:jc w:val="left"/>
            </w:pPr>
            <w:r>
              <w:rPr>
                <w:bCs/>
                <w:b/>
                <w:sz w:val="22"/>
              </w:rPr>
              <w:t xml:space="preserve">[PM]</w:t>
            </w:r>
            <w:r>
              <w:rPr>
                <w:sz w:val="22"/>
              </w:rPr>
              <w:t xml:space="preserve"> </w:t>
            </w:r>
            <w:r>
              <w:rPr>
                <w:sz w:val="22"/>
              </w:rPr>
              <w:t xml:space="preserve">Facilitate Discovery Workshop 1 — Casablanca HQ (Order Management, Finance). Capture current-state process maps.</w:t>
            </w:r>
          </w:p>
        </w:tc>
        <w:tc>
          <w:tcPr>
            <w:tcW w:type="dxa" w:w="2522"/>
          </w:tcPr>
          <w:p>
            <w:pPr>
              <w:pStyle w:val="Compact"/>
              <w:jc w:val="left"/>
            </w:pPr>
            <w:r>
              <w:rPr>
                <w:bCs/>
                <w:b/>
                <w:sz w:val="22"/>
              </w:rPr>
              <w:t xml:space="preserve">[CM]</w:t>
            </w:r>
            <w:r>
              <w:rPr>
                <w:sz w:val="22"/>
              </w:rPr>
              <w:t xml:space="preserve"> </w:t>
            </w:r>
            <w:r>
              <w:rPr>
                <w:sz w:val="22"/>
              </w:rPr>
              <w:t xml:space="preserve">Observe the Casablanca workshop; begin logging workaround findings neutrally, not yet as resistance entries.</w:t>
            </w:r>
          </w:p>
        </w:tc>
        <w:tc>
          <w:tcPr>
            <w:tcW w:type="dxa" w:w="3258"/>
          </w:tcPr>
          <w:p>
            <w:pPr>
              <w:pStyle w:val="Compact"/>
              <w:jc w:val="left"/>
            </w:pPr>
            <w:r>
              <w:rPr>
                <w:sz w:val="22"/>
              </w:rPr>
              <w:t xml:space="preserve">No journi entry yet — workshop output captured on paper/whiteboard first, transcribed in Week 4.</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w:t>
            </w:r>
          </w:p>
        </w:tc>
        <w:tc>
          <w:tcPr>
            <w:tcW w:type="dxa" w:w="2522"/>
          </w:tcPr>
          <w:p>
            <w:pPr>
              <w:pStyle w:val="Compact"/>
              <w:jc w:val="left"/>
            </w:pPr>
            <w:r>
              <w:rPr>
                <w:bCs/>
                <w:b/>
                <w:sz w:val="22"/>
              </w:rPr>
              <w:t xml:space="preserve">[PM]</w:t>
            </w:r>
            <w:r>
              <w:rPr>
                <w:sz w:val="22"/>
              </w:rPr>
              <w:t xml:space="preserve"> </w:t>
            </w:r>
            <w:r>
              <w:rPr>
                <w:sz w:val="22"/>
              </w:rPr>
              <w:t xml:space="preserve">Facilitate Discovery Workshop 2 — Kenitra Plant (Inventory, Plant Operations).</w:t>
            </w:r>
          </w:p>
        </w:tc>
        <w:tc>
          <w:tcPr>
            <w:tcW w:type="dxa" w:w="2522"/>
          </w:tcPr>
          <w:p>
            <w:pPr>
              <w:pStyle w:val="Compact"/>
              <w:jc w:val="left"/>
            </w:pPr>
            <w:r>
              <w:rPr>
                <w:bCs/>
                <w:b/>
                <w:sz w:val="22"/>
              </w:rPr>
              <w:t xml:space="preserve">[CM]</w:t>
            </w:r>
            <w:r>
              <w:rPr>
                <w:sz w:val="22"/>
              </w:rPr>
              <w:t xml:space="preserve"> </w:t>
            </w:r>
            <w:r>
              <w:rPr>
                <w:sz w:val="22"/>
              </w:rPr>
              <w:t xml:space="preserve">Continue the workaround inventory; note early signs of attachment to the current manual process among Kenitra plant-floor staff.</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w:t>
            </w:r>
          </w:p>
        </w:tc>
        <w:tc>
          <w:tcPr>
            <w:tcW w:type="dxa" w:w="2522"/>
          </w:tcPr>
          <w:p>
            <w:pPr>
              <w:pStyle w:val="Compact"/>
              <w:jc w:val="left"/>
            </w:pPr>
            <w:r>
              <w:rPr>
                <w:bCs/>
                <w:b/>
                <w:sz w:val="22"/>
              </w:rPr>
              <w:t xml:space="preserve">[PM]</w:t>
            </w:r>
            <w:r>
              <w:rPr>
                <w:sz w:val="22"/>
              </w:rPr>
              <w:t xml:space="preserve"> </w:t>
            </w:r>
            <w:r>
              <w:rPr>
                <w:sz w:val="22"/>
              </w:rPr>
              <w:t xml:space="preserve">Facilitate Discovery Workshop 3 — Settat Plant (Inventory, Plant Operations). Discovery workshops complete across all three sites.</w:t>
            </w:r>
          </w:p>
        </w:tc>
        <w:tc>
          <w:tcPr>
            <w:tcW w:type="dxa" w:w="2522"/>
          </w:tcPr>
          <w:p>
            <w:pPr>
              <w:pStyle w:val="Compact"/>
              <w:jc w:val="left"/>
            </w:pPr>
            <w:r>
              <w:rPr>
                <w:bCs/>
                <w:b/>
                <w:sz w:val="22"/>
              </w:rPr>
              <w:t xml:space="preserve">[CM]</w:t>
            </w:r>
            <w:r>
              <w:rPr>
                <w:sz w:val="22"/>
              </w:rPr>
              <w:t xml:space="preserve"> </w:t>
            </w:r>
            <w:r>
              <w:rPr>
                <w:sz w:val="22"/>
              </w:rPr>
              <w:t xml:space="preserve">Compile the full workaround inventory (Task 1, Step 2) — type in each finding as a short, neutral description, for example:</w:t>
            </w:r>
            <w:r>
              <w:rPr>
                <w:sz w:val="22"/>
              </w:rPr>
              <w:t xml:space="preserve"> </w:t>
            </w:r>
            <w:r>
              <w:rPr>
                <w:sz w:val="22"/>
              </w:rPr>
              <w:t xml:space="preserve">“</w:t>
            </w:r>
            <w:r>
              <w:rPr>
                <w:sz w:val="22"/>
              </w:rPr>
              <w:t xml:space="preserve">Casablanca Finance re-keys invoice data manually into a shadow spreadsheet because the legacy system’s export format doesn’t match the bank reconciliation tool</w:t>
            </w:r>
            <w:r>
              <w:rPr>
                <w:sz w:val="22"/>
              </w:rPr>
              <w:t xml:space="preserve">”</w:t>
            </w:r>
            <w:r>
              <w:rPr>
                <w:sz w:val="22"/>
              </w:rPr>
              <w:t xml:space="preserve">;</w:t>
            </w:r>
            <w:r>
              <w:rPr>
                <w:sz w:val="22"/>
              </w:rPr>
              <w:t xml:space="preserve"> </w:t>
            </w:r>
            <w:r>
              <w:rPr>
                <w:sz w:val="22"/>
              </w:rPr>
              <w:t xml:space="preserve">“</w:t>
            </w:r>
            <w:r>
              <w:rPr>
                <w:sz w:val="22"/>
              </w:rPr>
              <w:t xml:space="preserve">Kenitra Plant Operations tracks partial shipments on a whiteboard because the legacy inventory module can’t split a purchase order</w:t>
            </w:r>
            <w:r>
              <w:rPr>
                <w:sz w:val="22"/>
              </w:rPr>
              <w:t xml:space="preserve">”</w:t>
            </w:r>
            <w:r>
              <w:rPr>
                <w:sz w:val="22"/>
              </w:rPr>
              <w:t xml:space="preserve">;</w:t>
            </w:r>
            <w:r>
              <w:rPr>
                <w:sz w:val="22"/>
              </w:rPr>
              <w:t xml:space="preserve"> </w:t>
            </w:r>
            <w:r>
              <w:rPr>
                <w:sz w:val="22"/>
              </w:rPr>
              <w:t xml:space="preserve">“</w:t>
            </w:r>
            <w:r>
              <w:rPr>
                <w:sz w:val="22"/>
              </w:rPr>
              <w:t xml:space="preserve">Settat Plant Operations emails a paper packing slip photo to Casablanca Finance because the two legacy systems don’t share a stock-movement record.</w:t>
            </w:r>
            <w:r>
              <w:rPr>
                <w:sz w:val="22"/>
              </w:rPr>
              <w:t xml:space="preserve">”</w:t>
            </w:r>
          </w:p>
        </w:tc>
        <w:tc>
          <w:tcPr>
            <w:tcW w:type="dxa" w:w="3258"/>
          </w:tcPr>
          <w:p>
            <w:pPr>
              <w:pStyle w:val="Compact"/>
              <w:jc w:val="left"/>
            </w:pPr>
            <w:r>
              <w:rPr>
                <w:sz w:val="22"/>
              </w:rPr>
              <w:t xml:space="preserve">No journi entry yet — findings staged for the business case in Week 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w:t>
            </w:r>
          </w:p>
        </w:tc>
        <w:tc>
          <w:tcPr>
            <w:tcW w:type="dxa" w:w="2522"/>
          </w:tcPr>
          <w:p>
            <w:pPr>
              <w:pStyle w:val="Compact"/>
              <w:jc w:val="left"/>
            </w:pPr>
            <w:r>
              <w:rPr>
                <w:bCs/>
                <w:b/>
                <w:sz w:val="22"/>
              </w:rPr>
              <w:t xml:space="preserve">[PM]</w:t>
            </w:r>
            <w:r>
              <w:rPr>
                <w:sz w:val="22"/>
              </w:rPr>
              <w:t xml:space="preserve"> </w:t>
            </w:r>
            <w:r>
              <w:rPr>
                <w:sz w:val="22"/>
              </w:rPr>
              <w:t xml:space="preserve">Pull a month of reconciliation time logs from each site’s finance/operations team (Task 2, Step 1) — type in, per site: Casablanca 62 hours/month; Kenitra 21 hours/month; Settat 19 hours/month, all tied to the three workarounds logged in Week 4.</w:t>
            </w:r>
          </w:p>
        </w:tc>
        <w:tc>
          <w:tcPr>
            <w:tcW w:type="dxa" w:w="2522"/>
          </w:tcPr>
          <w:p>
            <w:pPr>
              <w:pStyle w:val="Compact"/>
              <w:jc w:val="left"/>
            </w:pPr>
            <w:r>
              <w:rPr>
                <w:bCs/>
                <w:b/>
                <w:sz w:val="22"/>
              </w:rPr>
              <w:t xml:space="preserve">[CM]</w:t>
            </w:r>
            <w:r>
              <w:rPr>
                <w:sz w:val="22"/>
              </w:rPr>
              <w:t xml:space="preserve"> </w:t>
            </w:r>
            <w:r>
              <w:rPr>
                <w:sz w:val="22"/>
              </w:rPr>
              <w:t xml:space="preserve">Review the time-log figures against the workaround inventory to confirm each hour figure traces to a specific, named workaround, not a general estimate.</w:t>
            </w:r>
          </w:p>
        </w:tc>
        <w:tc>
          <w:tcPr>
            <w:tcW w:type="dxa" w:w="3258"/>
          </w:tcPr>
          <w:p>
            <w:pPr>
              <w:pStyle w:val="Compact"/>
              <w:jc w:val="left"/>
            </w:pPr>
            <w:r>
              <w:rPr>
                <w:sz w:val="22"/>
              </w:rPr>
              <w:t xml:space="preserve">No direct journi entry — feeds the Main Project business case record (M1 (Hierarchy)) in Week 6.</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Compute the fully-loaded cost (Task 2, Step 2) — type in:</w:t>
            </w:r>
            <w:r>
              <w:rPr>
                <w:sz w:val="22"/>
              </w:rPr>
              <w:t xml:space="preserve"> </w:t>
            </w:r>
            <w:r>
              <w:rPr>
                <w:sz w:val="22"/>
              </w:rPr>
              <w:t xml:space="preserve">“</w:t>
            </w:r>
            <w:r>
              <w:rPr>
                <w:sz w:val="22"/>
              </w:rPr>
              <w:t xml:space="preserve">102 reconciliation-hours/month across 3 sites at a blended fully-loaded rate of MAD 180/hour = approximately MAD 18,360/month, MAD 220,000/year, attributable to 3 named legacy-system workarounds.</w:t>
            </w:r>
            <w:r>
              <w:rPr>
                <w:sz w:val="22"/>
              </w:rPr>
              <w:t xml:space="preserve">”</w:t>
            </w:r>
            <w:r>
              <w:rPr>
                <w:sz w:val="22"/>
              </w:rPr>
              <w:t xml:space="preserve"> </w:t>
            </w:r>
            <w:r>
              <w:rPr>
                <w:sz w:val="22"/>
              </w:rPr>
              <w:t xml:space="preserve">Attach to the Main Project business case on M1 (Hierarchy).</w:t>
            </w:r>
          </w:p>
        </w:tc>
        <w:tc>
          <w:tcPr>
            <w:tcW w:type="dxa" w:w="2522"/>
          </w:tcPr>
          <w:p>
            <w:pPr>
              <w:pStyle w:val="Compact"/>
              <w:jc w:val="left"/>
            </w:pPr>
            <w:r>
              <w:rPr>
                <w:bCs/>
                <w:b/>
                <w:sz w:val="22"/>
              </w:rPr>
              <w:t xml:space="preserve">[CM]</w:t>
            </w:r>
            <w:r>
              <w:rPr>
                <w:sz w:val="22"/>
              </w:rPr>
              <w:t xml:space="preserve"> </w:t>
            </w:r>
            <w:r>
              <w:rPr>
                <w:sz w:val="22"/>
              </w:rPr>
              <w:t xml:space="preserve">Begin Task 3 (Stakeholder Map): open M4 (Stakeholder Mapping) and start entering cohorts.</w:t>
            </w:r>
          </w:p>
        </w:tc>
        <w:tc>
          <w:tcPr>
            <w:tcW w:type="dxa" w:w="3258"/>
          </w:tcPr>
          <w:p>
            <w:pPr>
              <w:pStyle w:val="Compact"/>
              <w:jc w:val="left"/>
            </w:pPr>
            <w:r>
              <w:rPr>
                <w:sz w:val="22"/>
              </w:rPr>
              <w:t xml:space="preserve">M4 (Stakeholder Mapping) — type in these cohort entries:</w:t>
            </w:r>
            <w:r>
              <w:rPr>
                <w:sz w:val="22"/>
              </w:rPr>
              <w:t xml:space="preserve"> </w:t>
            </w:r>
            <w:r>
              <w:rPr>
                <w:sz w:val="22"/>
              </w:rPr>
              <w:t xml:space="preserve">“</w:t>
            </w:r>
            <w:r>
              <w:rPr>
                <w:sz w:val="22"/>
              </w:rPr>
              <w:t xml:space="preserve">Casablanca Finance — Order-to-Cash &amp; Reconciliation</w:t>
            </w:r>
            <w:r>
              <w:rPr>
                <w:sz w:val="22"/>
              </w:rPr>
              <w:t xml:space="preserve">”</w:t>
            </w:r>
            <w:r>
              <w:rPr>
                <w:sz w:val="22"/>
              </w:rPr>
              <w:t xml:space="preserve"> </w:t>
            </w:r>
            <w:r>
              <w:rPr>
                <w:sz w:val="22"/>
              </w:rPr>
              <w:t xml:space="preserve">(dimension: Process, severity: High);</w:t>
            </w:r>
            <w:r>
              <w:rPr>
                <w:sz w:val="22"/>
              </w:rPr>
              <w:t xml:space="preserve"> </w:t>
            </w:r>
            <w:r>
              <w:rPr>
                <w:sz w:val="22"/>
              </w:rPr>
              <w:t xml:space="preserve">“</w:t>
            </w:r>
            <w:r>
              <w:rPr>
                <w:sz w:val="22"/>
              </w:rPr>
              <w:t xml:space="preserve">Kenitra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Settat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Casablanca HQ — Executive &amp; Finance Leadership</w:t>
            </w:r>
            <w:r>
              <w:rPr>
                <w:sz w:val="22"/>
              </w:rPr>
              <w:t xml:space="preserve">”</w:t>
            </w:r>
            <w:r>
              <w:rPr>
                <w:sz w:val="22"/>
              </w:rPr>
              <w:t xml:space="preserve"> </w:t>
            </w:r>
            <w:r>
              <w:rPr>
                <w:sz w:val="22"/>
              </w:rPr>
              <w:t xml:space="preserve">(dimension: Governance, severity: Medium).</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Review the draft business case and Stakeholder Map with the Steering Committee ahead of the Phase 1 gate.</w:t>
            </w:r>
          </w:p>
        </w:tc>
        <w:tc>
          <w:tcPr>
            <w:tcW w:type="dxa" w:w="2522"/>
          </w:tcPr>
          <w:p>
            <w:pPr>
              <w:pStyle w:val="Compact"/>
              <w:jc w:val="left"/>
            </w:pPr>
            <w:r>
              <w:rPr>
                <w:bCs/>
                <w:b/>
                <w:sz w:val="22"/>
              </w:rPr>
              <w:t xml:space="preserve">[CM]</w:t>
            </w:r>
            <w:r>
              <w:rPr>
                <w:sz w:val="22"/>
              </w:rPr>
              <w:t xml:space="preserve"> </w:t>
            </w:r>
            <w:r>
              <w:rPr>
                <w:sz w:val="22"/>
              </w:rPr>
              <w:t xml:space="preserve">Flag Casablanca Finance and both plants as high-impact (Task 3, Step 2) — confirm the severity ratings entered in Week 6 against Steering Committee feedback; save the finalized Stakeholder Map.</w:t>
            </w:r>
          </w:p>
        </w:tc>
        <w:tc>
          <w:tcPr>
            <w:tcW w:type="dxa" w:w="3258"/>
          </w:tcPr>
          <w:p>
            <w:pPr>
              <w:pStyle w:val="Compact"/>
              <w:jc w:val="left"/>
            </w:pPr>
            <w:r>
              <w:rPr>
                <w:sz w:val="22"/>
              </w:rPr>
              <w:t xml:space="preserve">M4 (Stakeholder Mapping) — update Casablanca Finance’s severity rating from High to Critical after Steering Committee review confirms it carries the deepest workaround exposure.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Confirm the Phase 1 gate: business case and Stakeholder Map both signed off.</w:t>
            </w:r>
          </w:p>
        </w:tc>
        <w:tc>
          <w:tcPr>
            <w:tcW w:type="dxa" w:w="2522"/>
          </w:tcPr>
          <w:p>
            <w:pPr>
              <w:pStyle w:val="Compact"/>
              <w:jc w:val="left"/>
            </w:pPr>
            <w:r>
              <w:rPr>
                <w:bCs/>
                <w:b/>
                <w:sz w:val="22"/>
              </w:rPr>
              <w:t xml:space="preserve">[CM]</w:t>
            </w:r>
            <w:r>
              <w:rPr>
                <w:sz w:val="22"/>
              </w:rPr>
              <w:t xml:space="preserve"> </w:t>
            </w:r>
            <w:r>
              <w:rPr>
                <w:sz w:val="22"/>
              </w:rPr>
              <w:t xml:space="preserve">Set Lewin = Unfreeze on M3 (Initiative Registry) with a written justification (Task 4, Step 2) — type in:</w:t>
            </w:r>
            <w:r>
              <w:rPr>
                <w:sz w:val="22"/>
              </w:rPr>
              <w:t xml:space="preserve"> </w:t>
            </w:r>
            <w:r>
              <w:rPr>
                <w:sz w:val="22"/>
              </w:rPr>
              <w:t xml:space="preserve">“</w:t>
            </w:r>
            <w:r>
              <w:rPr>
                <w:sz w:val="22"/>
              </w:rPr>
              <w:t xml:space="preserve">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r>
              <w:rPr>
                <w:sz w:val="22"/>
              </w:rPr>
              <w:t xml:space="preserve">”</w:t>
            </w:r>
          </w:p>
        </w:tc>
        <w:tc>
          <w:tcPr>
            <w:tcW w:type="dxa" w:w="3258"/>
          </w:tcPr>
          <w:p>
            <w:pPr>
              <w:pStyle w:val="Compact"/>
              <w:jc w:val="left"/>
            </w:pPr>
            <w:r>
              <w:rPr>
                <w:sz w:val="22"/>
              </w:rPr>
              <w:t xml:space="preserve">M3 (Initiative Registry) — Lewin phase field set to Unfreeze, justification note as above.</w:t>
            </w:r>
          </w:p>
        </w:tc>
        <w:tc>
          <w:tcPr>
            <w:tcW w:type="dxa" w:w="1261"/>
          </w:tcPr>
          <w:p>
            <w:pPr>
              <w:pStyle w:val="Compact"/>
              <w:jc w:val="left"/>
            </w:pPr>
            <w:r>
              <w:rPr>
                <w:sz w:val="22"/>
              </w:rPr>
              <w:t xml:space="preserve">—</w:t>
            </w:r>
          </w:p>
        </w:tc>
      </w:tr>
    </w:tbl>
    <w:p>
      <w:pPr>
        <w:pStyle w:val="BodyText"/>
      </w:pPr>
      <w:r>
        <w:rPr>
          <w:bCs/>
          <w:b/>
          <w:sz w:val="25"/>
        </w:rPr>
        <w:t xml:space="preserve">Phase gate (M17 (WBS &amp; Gantt)):</w:t>
      </w:r>
      <w:r>
        <w:rPr>
          <w:sz w:val="25"/>
        </w:rPr>
        <w:t xml:space="preserve"> </w:t>
      </w:r>
      <w:r>
        <w:rPr>
          <w:sz w:val="25"/>
        </w:rPr>
        <w:t xml:space="preserve">Discovery closes with a clean Go once the Stakeholder Map, business case, and Lewin baseline are all in place — the state Part 1’s setup checklist ends at.</w:t>
      </w:r>
    </w:p>
    <w:p>
      <w:pPr>
        <w:pStyle w:val="BodyText"/>
      </w:pPr>
      <w:r>
        <w:rPr>
          <w:bCs/>
          <w:b/>
          <w:sz w:val="25"/>
        </w:rPr>
        <w:t xml:space="preserve">SIPOC.</w:t>
      </w:r>
      <w:r>
        <w:rPr>
          <w:sz w:val="25"/>
        </w:rPr>
        <w:t xml:space="preserve"> </w:t>
      </w:r>
      <w:r>
        <w:rPr>
          <w:sz w:val="25"/>
        </w:rPr>
        <w:t xml:space="preserve">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pPr>
      <w:r>
        <w:rPr>
          <w:bCs/>
          <w:b/>
          <w:sz w:val="25"/>
        </w:rPr>
        <w:t xml:space="preserve">RACSI for this phase.</w:t>
      </w:r>
      <w:r>
        <w:rPr>
          <w:sz w:val="25"/>
        </w:rPr>
        <w:t xml:space="preserve"> </w:t>
      </w:r>
      <w:r>
        <w:rPr>
          <w:sz w:val="25"/>
        </w:rPr>
        <w:t xml:space="preserve">R = PM, FPO · A = ES · C = CM, ITL · S = SUP · I = EU</w:t>
      </w:r>
    </w:p>
    <w:p>
      <w:pPr>
        <w:pStyle w:val="BodyText"/>
      </w:pPr>
    </w:p>
    <w:bookmarkEnd w:id="37"/>
    <w:bookmarkStart w:id="38" w:name="phase-2-design-w614"/>
    <w:p>
      <w:pPr>
        <w:pStyle w:val="Heading4"/>
      </w:pPr>
      <w:r>
        <w:rPr>
          <w:b/>
          <w:color w:val="5A8F89"/>
          <w:sz w:val="26"/>
        </w:rPr>
        <w:t xml:space="preserve">Phase 2 — Design (W6–14)</w:t>
      </w:r>
    </w:p>
    <w:p>
      <w:pPr>
        <w:pStyle w:val="FirstParagraph"/>
      </w:pPr>
      <w:r>
        <w:rPr>
          <w:bCs/>
          <w:b/>
          <w:sz w:val="25"/>
        </w:rPr>
        <w:t xml:space="preserve">Framework readings at close:</w:t>
      </w:r>
      <w:r>
        <w:rPr>
          <w:sz w:val="25"/>
        </w:rPr>
        <w:t xml:space="preserve"> </w:t>
      </w:r>
      <w:r>
        <w:rPr>
          <w:sz w:val="25"/>
        </w:rPr>
        <w:t xml:space="preserve">Lewin Unfreeze · ADKAR focus Awareness → Desire · Bridges Ending · Kübler-Ross Denial → Resistance/Anger.</w:t>
      </w:r>
    </w:p>
    <w:p>
      <w:pPr>
        <w:pStyle w:val="BodyText"/>
      </w:pPr>
      <w:r>
        <w:rPr>
          <w:sz w:val="25"/>
        </w:rPr>
        <w:t xml:space="preserve">Design overlaps Discovery’s tail: design principles get drafted and translated into explicit future-state process maps — the direct counterpart to Discovery’s current-state process maps (Phase 1, Week 2) — while the last discovery findings are still landing. The table below breaks the phase into its PM and CM tracks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Facilitate the design-principles workshop with the ITL function and Functional Process Owners — draft 5–8 non-negotiable constraints (Task 1, Step 1).</w:t>
            </w:r>
          </w:p>
        </w:tc>
        <w:tc>
          <w:tcPr>
            <w:tcW w:type="dxa" w:w="2522"/>
          </w:tcPr>
          <w:p>
            <w:pPr>
              <w:pStyle w:val="Compact"/>
              <w:jc w:val="left"/>
            </w:pPr>
            <w:r>
              <w:rPr>
                <w:bCs/>
                <w:b/>
                <w:sz w:val="22"/>
              </w:rPr>
              <w:t xml:space="preserve">[CM]</w:t>
            </w:r>
            <w:r>
              <w:rPr>
                <w:sz w:val="22"/>
              </w:rPr>
              <w:t xml:space="preserve"> </w:t>
            </w:r>
            <w:r>
              <w:rPr>
                <w:sz w:val="22"/>
              </w:rPr>
              <w:t xml:space="preserve">Attend the design-principles workshop as a Change Management voice; flag any principle likely to conflict with an already-logged workaround from Phase 1.</w:t>
            </w:r>
          </w:p>
        </w:tc>
        <w:tc>
          <w:tcPr>
            <w:tcW w:type="dxa" w:w="3258"/>
          </w:tcPr>
          <w:p>
            <w:pPr>
              <w:pStyle w:val="Compact"/>
              <w:jc w:val="left"/>
            </w:pPr>
            <w:r>
              <w:rPr>
                <w:sz w:val="22"/>
              </w:rPr>
              <w:t xml:space="preserve">No journi entry yet — design principles are drafted outside journi and referenced by name in later M17 (WBS &amp; Gantt) task notes.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Consolidate the design principles into a single written list, then translate them into explicit future-state process maps for Order Management, Inventory, and Finance, each map annotated against the specific principle it satisfies (Task 1, Step 2) — type in, for example:</w:t>
            </w:r>
            <w:r>
              <w:rPr>
                <w:sz w:val="22"/>
              </w:rPr>
              <w:t xml:space="preserve"> </w:t>
            </w:r>
            <w:r>
              <w:rPr>
                <w:sz w:val="22"/>
              </w:rPr>
              <w:t xml:space="preserve">“</w:t>
            </w:r>
            <w:r>
              <w:rPr>
                <w:sz w:val="22"/>
              </w:rPr>
              <w:t xml:space="preserve">Principle 1: No duplicate approvals across sites</w:t>
            </w:r>
            <w:r>
              <w:rPr>
                <w:sz w:val="22"/>
              </w:rPr>
              <w:t xml:space="preserve">”</w:t>
            </w:r>
            <w:r>
              <w:rPr>
                <w:sz w:val="22"/>
              </w:rPr>
              <w:t xml:space="preserve">;</w:t>
            </w:r>
            <w:r>
              <w:rPr>
                <w:sz w:val="22"/>
              </w:rPr>
              <w:t xml:space="preserve"> </w:t>
            </w:r>
            <w:r>
              <w:rPr>
                <w:sz w:val="22"/>
              </w:rPr>
              <w:t xml:space="preserve">“</w:t>
            </w:r>
            <w:r>
              <w:rPr>
                <w:sz w:val="22"/>
              </w:rPr>
              <w:t xml:space="preserve">Principle 2: One stock-movement record shared by Inventory and Finance</w:t>
            </w:r>
            <w:r>
              <w:rPr>
                <w:sz w:val="22"/>
              </w:rPr>
              <w:t xml:space="preserve">”</w:t>
            </w:r>
            <w:r>
              <w:rPr>
                <w:sz w:val="22"/>
              </w:rPr>
              <w:t xml:space="preserve">;</w:t>
            </w:r>
            <w:r>
              <w:rPr>
                <w:sz w:val="22"/>
              </w:rPr>
              <w:t xml:space="preserve"> </w:t>
            </w:r>
            <w:r>
              <w:rPr>
                <w:sz w:val="22"/>
              </w:rPr>
              <w:t xml:space="preserve">“</w:t>
            </w:r>
            <w:r>
              <w:rPr>
                <w:sz w:val="22"/>
              </w:rPr>
              <w:t xml:space="preserve">Principle 3: Every exception path must be visible to a supervisor, not hidden in a workaround.</w:t>
            </w:r>
            <w:r>
              <w:rPr>
                <w:sz w:val="22"/>
              </w:rPr>
              <w:t xml:space="preserve">”</w:t>
            </w:r>
            <w:r>
              <w:rPr>
                <w:sz w:val="22"/>
              </w:rPr>
              <w:t xml:space="preserve"> </w:t>
            </w:r>
            <w:r>
              <w:rPr>
                <w:sz w:val="22"/>
              </w:rPr>
              <w:t xml:space="preserve">Future-state map note:</w:t>
            </w:r>
            <w:r>
              <w:rPr>
                <w:sz w:val="22"/>
              </w:rPr>
              <w:t xml:space="preserve"> </w:t>
            </w:r>
            <w:r>
              <w:rPr>
                <w:sz w:val="22"/>
              </w:rPr>
              <w:t xml:space="preserve">“</w:t>
            </w:r>
            <w:r>
              <w:rPr>
                <w:sz w:val="22"/>
              </w:rPr>
              <w:t xml:space="preserve">Order-to-Cash future-state map — one shared stock-movement record (Principle 2) replaces Casablanca Finance’s shadow spreadsheet and the Kenitra/Settat whiteboard and email-photo workarounds; every exception routes to a visible supervisor queue (Principle 3), not a side channel.</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Cross-check the consolidated principles and future-state process maps against Phase 1’s workaround inventory — confirm the Order-to-Cash map’s Principle 2 routing directly retires the Kenitra/Settat whiteboard and email-photo workarounds, item by item.</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Future-State Process Mapping (Order Management, Inventory, Finance)</w:t>
            </w:r>
            <w:r>
              <w:rPr>
                <w:sz w:val="22"/>
              </w:rPr>
              <w:t xml:space="preserve">”</w:t>
            </w:r>
            <w:r>
              <w:rPr>
                <w:sz w:val="22"/>
              </w:rPr>
              <w:t xml:space="preserve"> </w:t>
            </w:r>
            <w:r>
              <w:rPr>
                <w:sz w:val="22"/>
              </w:rPr>
              <w:t xml:space="preserve">logged; artifact reference: three future-state process maps, each cross-referenced to the design principle(s) it implements and the specific Phase 1 workaround(s) it retires.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Circulate the design principles and future-state process maps together for Steering Committee review (Task 1, Step 3); collect sign-off on both.</w:t>
            </w:r>
          </w:p>
        </w:tc>
        <w:tc>
          <w:tcPr>
            <w:tcW w:type="dxa" w:w="2522"/>
          </w:tcPr>
          <w:p>
            <w:pPr>
              <w:pStyle w:val="Compact"/>
              <w:jc w:val="left"/>
            </w:pPr>
            <w:r>
              <w:rPr>
                <w:bCs/>
                <w:b/>
                <w:sz w:val="22"/>
              </w:rPr>
              <w:t xml:space="preserve">[CM]</w:t>
            </w:r>
            <w:r>
              <w:rPr>
                <w:sz w:val="22"/>
              </w:rPr>
              <w:t xml:space="preserve"> </w:t>
            </w:r>
            <w:r>
              <w:rPr>
                <w:sz w:val="22"/>
              </w:rPr>
              <w:t xml:space="preserve">Prepare the Week 9 kickoff town hall script in parallel, so communications can launch the moment principles and maps are signed off.</w:t>
            </w:r>
          </w:p>
        </w:tc>
        <w:tc>
          <w:tcPr>
            <w:tcW w:type="dxa" w:w="3258"/>
          </w:tcPr>
          <w:p>
            <w:pPr>
              <w:pStyle w:val="Compact"/>
              <w:jc w:val="left"/>
            </w:pPr>
            <w:r>
              <w:rPr>
                <w:sz w:val="22"/>
              </w:rPr>
              <w:t xml:space="preserve">No journi entry yet — Steering Committee sign-off recorded outside journi, referenced in the Week 9 M8 (Communications)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9</w:t>
            </w:r>
          </w:p>
        </w:tc>
        <w:tc>
          <w:tcPr>
            <w:tcW w:type="dxa" w:w="2522"/>
          </w:tcPr>
          <w:p>
            <w:pPr>
              <w:pStyle w:val="Compact"/>
              <w:jc w:val="left"/>
            </w:pPr>
            <w:r>
              <w:rPr>
                <w:bCs/>
                <w:b/>
                <w:sz w:val="22"/>
              </w:rPr>
              <w:t xml:space="preserve">[PM]</w:t>
            </w:r>
            <w:r>
              <w:rPr>
                <w:sz w:val="22"/>
              </w:rPr>
              <w:t xml:space="preserve"> </w:t>
            </w:r>
            <w:r>
              <w:rPr>
                <w:sz w:val="22"/>
              </w:rPr>
              <w:t xml:space="preserve">Confirm design principles signed off; hand off to Build’s configuration sprint planning.</w:t>
            </w:r>
          </w:p>
        </w:tc>
        <w:tc>
          <w:tcPr>
            <w:tcW w:type="dxa" w:w="2522"/>
          </w:tcPr>
          <w:p>
            <w:pPr>
              <w:pStyle w:val="Compact"/>
              <w:jc w:val="left"/>
            </w:pPr>
            <w:r>
              <w:rPr>
                <w:bCs/>
                <w:b/>
                <w:sz w:val="22"/>
              </w:rPr>
              <w:t xml:space="preserve">[CM]</w:t>
            </w:r>
            <w:r>
              <w:rPr>
                <w:sz w:val="22"/>
              </w:rPr>
              <w:t xml:space="preserve"> </w:t>
            </w:r>
            <w:r>
              <w:rPr>
                <w:sz w:val="22"/>
              </w:rPr>
              <w:t xml:space="preserve">Deliver the kickoff town hall at all three sites (Task 2, Step 1) — log the entry on M8 (Communications).</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Why we’re changing: three disconnected systems cost Bouregreg Group approximately MAD 220,000/year in manual work. What’s changing: one unified platform, live in 34 weeks. What we need from you: attend your site’s training when scheduled.</w:t>
            </w:r>
            <w:r>
              <w:rPr>
                <w:sz w:val="22"/>
              </w:rPr>
              <w:t xml:space="preserve">”</w:t>
            </w:r>
            <w:r>
              <w:rPr>
                <w:sz w:val="22"/>
              </w:rPr>
              <w:t xml:space="preserve"> </w:t>
            </w:r>
            <w:r>
              <w:rPr>
                <w:sz w:val="22"/>
              </w:rPr>
              <w:t xml:space="preserve">· Audience: All 3,400 staff · Channel: In-person town hall + email follow-up · Timing: Week 9, one session per site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10</w:t>
            </w:r>
          </w:p>
        </w:tc>
        <w:tc>
          <w:tcPr>
            <w:tcW w:type="dxa" w:w="2522"/>
          </w:tcPr>
          <w:p>
            <w:pPr>
              <w:pStyle w:val="Compact"/>
              <w:jc w:val="left"/>
            </w:pPr>
            <w:r>
              <w:rPr>
                <w:bCs/>
                <w:b/>
                <w:sz w:val="22"/>
              </w:rPr>
              <w:t xml:space="preserve">[PM]</w:t>
            </w:r>
            <w:r>
              <w:rPr>
                <w:sz w:val="22"/>
              </w:rPr>
              <w:t xml:space="preserve"> </w:t>
            </w:r>
            <w:r>
              <w:rPr>
                <w:sz w:val="22"/>
              </w:rPr>
              <w:t xml:space="preserve">Monitor design-principle-related questions surfacing in the FAQ channel; route any scope question back to the Steering Committee.</w:t>
            </w:r>
          </w:p>
        </w:tc>
        <w:tc>
          <w:tcPr>
            <w:tcW w:type="dxa" w:w="2522"/>
          </w:tcPr>
          <w:p>
            <w:pPr>
              <w:pStyle w:val="Compact"/>
              <w:jc w:val="left"/>
            </w:pPr>
            <w:r>
              <w:rPr>
                <w:bCs/>
                <w:b/>
                <w:sz w:val="22"/>
              </w:rPr>
              <w:t xml:space="preserve">[CM]</w:t>
            </w:r>
            <w:r>
              <w:rPr>
                <w:sz w:val="22"/>
              </w:rPr>
              <w:t xml:space="preserve"> </w:t>
            </w:r>
            <w:r>
              <w:rPr>
                <w:sz w:val="22"/>
              </w:rPr>
              <w:t xml:space="preserve">Open and monitor the FAQ channel (Task 2, Step 2) — type in and answer, for example: Q:</w:t>
            </w:r>
            <w:r>
              <w:rPr>
                <w:sz w:val="22"/>
              </w:rPr>
              <w:t xml:space="preserve"> </w:t>
            </w:r>
            <w:r>
              <w:rPr>
                <w:sz w:val="22"/>
              </w:rPr>
              <w:t xml:space="preserve">“</w:t>
            </w:r>
            <w:r>
              <w:rPr>
                <w:sz w:val="22"/>
              </w:rPr>
              <w:t xml:space="preserve">Will Kenitra lose headcount?</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No headcount reductions are planned for this program.</w:t>
            </w:r>
            <w:r>
              <w:rPr>
                <w:sz w:val="22"/>
              </w:rPr>
              <w:t xml:space="preserve">”</w:t>
            </w:r>
            <w:r>
              <w:rPr>
                <w:sz w:val="22"/>
              </w:rPr>
              <w:t xml:space="preserve"> </w:t>
            </w:r>
            <w:r>
              <w:rPr>
                <w:sz w:val="22"/>
              </w:rPr>
              <w:t xml:space="preserve">Q:</w:t>
            </w:r>
            <w:r>
              <w:rPr>
                <w:sz w:val="22"/>
              </w:rPr>
              <w:t xml:space="preserve"> </w:t>
            </w:r>
            <w:r>
              <w:rPr>
                <w:sz w:val="22"/>
              </w:rPr>
              <w:t xml:space="preserve">“</w:t>
            </w:r>
            <w:r>
              <w:rPr>
                <w:sz w:val="22"/>
              </w:rPr>
              <w:t xml:space="preserve">What happens to my login on the old system?</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Legacy access is retired only after your site’s go-live and a two-week overlap period.</w:t>
            </w:r>
            <w:r>
              <w:rPr>
                <w:sz w:val="22"/>
              </w:rPr>
              <w:t xml:space="preserve">”</w:t>
            </w:r>
          </w:p>
        </w:tc>
        <w:tc>
          <w:tcPr>
            <w:tcW w:type="dxa" w:w="3258"/>
          </w:tcPr>
          <w:p>
            <w:pPr>
              <w:pStyle w:val="Compact"/>
              <w:jc w:val="left"/>
            </w:pPr>
            <w:r>
              <w:rPr>
                <w:sz w:val="22"/>
              </w:rPr>
              <w:t xml:space="preserve">M8 (Communications) — add a second entry: Message</w:t>
            </w:r>
            <w:r>
              <w:rPr>
                <w:sz w:val="22"/>
              </w:rPr>
              <w:t xml:space="preserve"> </w:t>
            </w:r>
            <w:r>
              <w:rPr>
                <w:sz w:val="22"/>
              </w:rPr>
              <w:t xml:space="preserve">“</w:t>
            </w:r>
            <w:r>
              <w:rPr>
                <w:sz w:val="22"/>
              </w:rPr>
              <w:t xml:space="preserve">FAQ digest — Week 10</w:t>
            </w:r>
            <w:r>
              <w:rPr>
                <w:sz w:val="22"/>
              </w:rPr>
              <w:t xml:space="preserve">”</w:t>
            </w:r>
            <w:r>
              <w:rPr>
                <w:sz w:val="22"/>
              </w:rPr>
              <w:t xml:space="preserve"> </w:t>
            </w:r>
            <w:r>
              <w:rPr>
                <w:sz w:val="22"/>
              </w:rPr>
              <w:t xml:space="preserve">· Audience: All 3,400 staff · Channel: Email + site noticeboards · Timing: Week 10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11</w:t>
            </w:r>
          </w:p>
        </w:tc>
        <w:tc>
          <w:tcPr>
            <w:tcW w:type="dxa" w:w="2522"/>
          </w:tcPr>
          <w:p>
            <w:pPr>
              <w:pStyle w:val="Compact"/>
              <w:jc w:val="left"/>
            </w:pPr>
            <w:r>
              <w:rPr>
                <w:bCs/>
                <w:b/>
                <w:sz w:val="22"/>
              </w:rPr>
              <w:t xml:space="preserve">[PM]</w:t>
            </w:r>
            <w:r>
              <w:rPr>
                <w:sz w:val="22"/>
              </w:rPr>
              <w:t xml:space="preserve"> </w:t>
            </w:r>
            <w:r>
              <w:rPr>
                <w:sz w:val="22"/>
              </w:rPr>
              <w:t xml:space="preserve">Begin early Build-phase configuration-environment setup in parallel, ahead of Phase 3’s formal start in Week 12.</w:t>
            </w:r>
          </w:p>
        </w:tc>
        <w:tc>
          <w:tcPr>
            <w:tcW w:type="dxa" w:w="2522"/>
          </w:tcPr>
          <w:p>
            <w:pPr>
              <w:pStyle w:val="Compact"/>
              <w:jc w:val="left"/>
            </w:pPr>
            <w:r>
              <w:rPr>
                <w:bCs/>
                <w:b/>
                <w:sz w:val="22"/>
              </w:rPr>
              <w:t xml:space="preserve">[CM]</w:t>
            </w:r>
            <w:r>
              <w:rPr>
                <w:sz w:val="22"/>
              </w:rPr>
              <w:t xml:space="preserve"> </w:t>
            </w:r>
            <w:r>
              <w:rPr>
                <w:sz w:val="22"/>
              </w:rPr>
              <w:t xml:space="preserve">Run the facilitated baseline Awareness pulse per cohort (Task 3, Step 1).</w:t>
            </w:r>
          </w:p>
        </w:tc>
        <w:tc>
          <w:tcPr>
            <w:tcW w:type="dxa" w:w="3258"/>
          </w:tcPr>
          <w:p>
            <w:pPr>
              <w:pStyle w:val="Compact"/>
              <w:jc w:val="left"/>
            </w:pPr>
            <w:r>
              <w:rPr>
                <w:sz w:val="22"/>
              </w:rPr>
              <w:t xml:space="preserve">M5 (ADKAR Engine) — type in Awareness scores: Casablanca Finance = 3 (</w:t>
            </w:r>
            <w:r>
              <w:rPr>
                <w:sz w:val="22"/>
              </w:rPr>
              <w:t xml:space="preserve">“</w:t>
            </w:r>
            <w:r>
              <w:rPr>
                <w:sz w:val="22"/>
              </w:rPr>
              <w:t xml:space="preserve">most staff attended the town hall and asked FAQ questions</w:t>
            </w:r>
            <w:r>
              <w:rPr>
                <w:sz w:val="22"/>
              </w:rPr>
              <w:t xml:space="preserve">”</w:t>
            </w:r>
            <w:r>
              <w:rPr>
                <w:sz w:val="22"/>
              </w:rPr>
              <w:t xml:space="preserve">); Kenitra Plant Operations = 2 (</w:t>
            </w:r>
            <w:r>
              <w:rPr>
                <w:sz w:val="22"/>
              </w:rPr>
              <w:t xml:space="preserve">“</w:t>
            </w:r>
            <w:r>
              <w:rPr>
                <w:sz w:val="22"/>
              </w:rPr>
              <w:t xml:space="preserve">about half the shift attended; night shift missed it</w:t>
            </w:r>
            <w:r>
              <w:rPr>
                <w:sz w:val="22"/>
              </w:rPr>
              <w:t xml:space="preserve">”</w:t>
            </w:r>
            <w:r>
              <w:rPr>
                <w:sz w:val="22"/>
              </w:rPr>
              <w:t xml:space="preserve">); Settat Plant Operations = 2 (</w:t>
            </w:r>
            <w:r>
              <w:rPr>
                <w:sz w:val="22"/>
              </w:rPr>
              <w:t xml:space="preserve">“</w:t>
            </w:r>
            <w:r>
              <w:rPr>
                <w:sz w:val="22"/>
              </w:rPr>
              <w:t xml:space="preserve">same night-shift gap as Kenitra</w:t>
            </w:r>
            <w:r>
              <w:rPr>
                <w:sz w:val="22"/>
              </w:rPr>
              <w:t xml:space="preserve">”</w:t>
            </w:r>
            <w:r>
              <w:rPr>
                <w:sz w:val="22"/>
              </w:rPr>
              <w:t xml:space="preserve">); Casablanca HQ Leadership = 4.</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Kick off Build’s configuration environment stand-up (Phase 3, Task 1) — see Phase 3 below.</w:t>
            </w:r>
          </w:p>
        </w:tc>
        <w:tc>
          <w:tcPr>
            <w:tcW w:type="dxa" w:w="2522"/>
          </w:tcPr>
          <w:p>
            <w:pPr>
              <w:pStyle w:val="Compact"/>
              <w:jc w:val="left"/>
            </w:pPr>
            <w:r>
              <w:rPr>
                <w:bCs/>
                <w:b/>
                <w:sz w:val="22"/>
              </w:rPr>
              <w:t xml:space="preserve">[CM]</w:t>
            </w:r>
            <w:r>
              <w:rPr>
                <w:sz w:val="22"/>
              </w:rPr>
              <w:t xml:space="preserve"> </w:t>
            </w:r>
            <w:r>
              <w:rPr>
                <w:sz w:val="22"/>
              </w:rPr>
              <w:t xml:space="preserve">Log barrier-reason notes for the two Awareness scores of 2 (Task 3, Step 2) — type in:</w:t>
            </w:r>
            <w:r>
              <w:rPr>
                <w:sz w:val="22"/>
              </w:rPr>
              <w:t xml:space="preserve"> </w:t>
            </w:r>
            <w:r>
              <w:rPr>
                <w:sz w:val="22"/>
              </w:rPr>
              <w:t xml:space="preserve">“</w:t>
            </w:r>
            <w:r>
              <w:rPr>
                <w:sz w:val="22"/>
              </w:rPr>
              <w:t xml:space="preserve">Kenitra Plant Operations, Awareness = 2. Barrier reason: night shift (approx. 40% of the plant-floor cohort) did not attend the Week 9 town hall or receive a make-up session. Auto-escalated.</w:t>
            </w:r>
            <w:r>
              <w:rPr>
                <w:sz w:val="22"/>
              </w:rPr>
              <w:t xml:space="preserve">”</w:t>
            </w:r>
            <w:r>
              <w:rPr>
                <w:sz w:val="22"/>
              </w:rPr>
              <w:t xml:space="preserve"> </w:t>
            </w:r>
            <w:r>
              <w:rPr>
                <w:sz w:val="22"/>
              </w:rPr>
              <w:t xml:space="preserve">Identical note logged for Settat Plant Operations.</w:t>
            </w:r>
          </w:p>
        </w:tc>
        <w:tc>
          <w:tcPr>
            <w:tcW w:type="dxa" w:w="3258"/>
          </w:tcPr>
          <w:p>
            <w:pPr>
              <w:pStyle w:val="Compact"/>
              <w:jc w:val="left"/>
            </w:pPr>
            <w:r>
              <w:rPr>
                <w:sz w:val="22"/>
              </w:rPr>
              <w:t xml:space="preserve">M5 (ADKAR Engine) — barrier-reason notes attached to the Week 11 entries; both auto-escalate per journi’s ≤2 rule.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Continue Build configuration sprint 1 in parallel (see Phase 3, Week 13).</w:t>
            </w:r>
          </w:p>
        </w:tc>
        <w:tc>
          <w:tcPr>
            <w:tcW w:type="dxa" w:w="2522"/>
          </w:tcPr>
          <w:p>
            <w:pPr>
              <w:pStyle w:val="Compact"/>
              <w:jc w:val="left"/>
            </w:pPr>
            <w:r>
              <w:rPr>
                <w:bCs/>
                <w:b/>
                <w:sz w:val="22"/>
              </w:rPr>
              <w:t xml:space="preserve">[CM]</w:t>
            </w:r>
            <w:r>
              <w:rPr>
                <w:sz w:val="22"/>
              </w:rPr>
              <w:t xml:space="preserve"> </w:t>
            </w:r>
            <w:r>
              <w:rPr>
                <w:sz w:val="22"/>
              </w:rPr>
              <w:t xml:space="preserve">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type="dxa" w:w="3258"/>
          </w:tcPr>
          <w:p>
            <w:pPr>
              <w:pStyle w:val="Compact"/>
              <w:jc w:val="left"/>
            </w:pPr>
            <w:r>
              <w:rPr>
                <w:sz w:val="22"/>
              </w:rPr>
              <w:t xml:space="preserve">No journi entry yet — nominees confirmed with their managers before Week 14’s roster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Confirm the Phase 2 gate: design principles signed off, baseline Awareness pulse logged.</w:t>
            </w:r>
          </w:p>
        </w:tc>
        <w:tc>
          <w:tcPr>
            <w:tcW w:type="dxa" w:w="2522"/>
          </w:tcPr>
          <w:p>
            <w:pPr>
              <w:pStyle w:val="Compact"/>
              <w:jc w:val="left"/>
            </w:pPr>
            <w:r>
              <w:rPr>
                <w:bCs/>
                <w:b/>
                <w:sz w:val="22"/>
              </w:rPr>
              <w:t xml:space="preserve">[CM]</w:t>
            </w:r>
            <w:r>
              <w:rPr>
                <w:sz w:val="22"/>
              </w:rPr>
              <w:t xml:space="preserve"> </w:t>
            </w:r>
            <w:r>
              <w:rPr>
                <w:sz w:val="22"/>
              </w:rPr>
              <w:t xml:space="preserve">Log the champion roster against the Stakeholder Map (Task 4, Step 2).</w:t>
            </w:r>
          </w:p>
        </w:tc>
        <w:tc>
          <w:tcPr>
            <w:tcW w:type="dxa" w:w="3258"/>
          </w:tcPr>
          <w:p>
            <w:pPr>
              <w:pStyle w:val="Compact"/>
              <w:jc w:val="left"/>
            </w:pPr>
            <w:r>
              <w:rPr>
                <w:sz w:val="22"/>
              </w:rPr>
              <w:t xml:space="preserve">M4 (Stakeholder Mapping) — type in, against each cohort entry: Champion</w:t>
            </w:r>
            <w:r>
              <w:rPr>
                <w:sz w:val="22"/>
              </w:rPr>
              <w:t xml:space="preserve"> </w:t>
            </w:r>
            <w:r>
              <w:rPr>
                <w:sz w:val="22"/>
              </w:rPr>
              <w:t xml:space="preserve">“</w:t>
            </w:r>
            <w:r>
              <w:rPr>
                <w:sz w:val="22"/>
              </w:rPr>
              <w:t xml:space="preserve">Amal Ferhati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Casablanca Finance</w:t>
            </w:r>
            <w:r>
              <w:rPr>
                <w:sz w:val="22"/>
              </w:rPr>
              <w:t xml:space="preserve">”</w:t>
            </w:r>
            <w:r>
              <w:rPr>
                <w:sz w:val="22"/>
              </w:rPr>
              <w:t xml:space="preserve">; Champion</w:t>
            </w:r>
            <w:r>
              <w:rPr>
                <w:sz w:val="22"/>
              </w:rPr>
              <w:t xml:space="preserve"> </w:t>
            </w:r>
            <w:r>
              <w:rPr>
                <w:sz w:val="22"/>
              </w:rPr>
              <w:t xml:space="preserve">“</w:t>
            </w:r>
            <w:r>
              <w:rPr>
                <w:sz w:val="22"/>
              </w:rPr>
              <w:t xml:space="preserve">Yassine Bouhali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Kenitra Plant Operations</w:t>
            </w:r>
            <w:r>
              <w:rPr>
                <w:sz w:val="22"/>
              </w:rPr>
              <w:t xml:space="preserve">”</w:t>
            </w:r>
            <w:r>
              <w:rPr>
                <w:sz w:val="22"/>
              </w:rPr>
              <w:t xml:space="preserve"> </w:t>
            </w:r>
            <w:r>
              <w:rPr>
                <w:sz w:val="22"/>
              </w:rPr>
              <w:t xml:space="preserve">(noted: night-shift representative, addressing the Week 12 Awareness gap directly); Champion</w:t>
            </w:r>
            <w:r>
              <w:rPr>
                <w:sz w:val="22"/>
              </w:rPr>
              <w:t xml:space="preserve"> </w:t>
            </w:r>
            <w:r>
              <w:rPr>
                <w:sz w:val="22"/>
              </w:rPr>
              <w:t xml:space="preserve">“</w:t>
            </w:r>
            <w:r>
              <w:rPr>
                <w:sz w:val="22"/>
              </w:rPr>
              <w:t xml:space="preserve">Rania Idrissi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Settat Plant Operations</w:t>
            </w:r>
            <w:r>
              <w:rPr>
                <w:sz w:val="22"/>
              </w:rPr>
              <w:t xml:space="preserve">”</w:t>
            </w:r>
            <w:r>
              <w:rPr>
                <w:sz w:val="22"/>
              </w:rPr>
              <w:t xml:space="preserv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Design closes once the design principles and future-state process maps are both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pPr>
      <w:r>
        <w:rPr>
          <w:bCs/>
          <w:b/>
          <w:sz w:val="25"/>
        </w:rPr>
        <w:t xml:space="preserve">SIPOC.</w:t>
      </w:r>
      <w:r>
        <w:rPr>
          <w:sz w:val="25"/>
        </w:rPr>
        <w:t xml:space="preserve"> </w:t>
      </w:r>
      <w:r>
        <w:rPr>
          <w:sz w:val="25"/>
        </w:rPr>
        <w:t xml:space="preserve">Suppliers: Functional Process Owners; ITL; the champion network’s first recruits. · Inputs: Discovery findings; current-state process maps; design-principle drafts; first town-hall feedback. · Process: this phase’s four Tasks in sequence · Outputs: Signed-off design principles and future-state process maps; first champion roster; baseline Awareness scores. · Customers: Program Manager; Change Manager; Steering Committee.</w:t>
      </w:r>
    </w:p>
    <w:p>
      <w:pPr>
        <w:pStyle w:val="BodyText"/>
      </w:pPr>
      <w:r>
        <w:rPr>
          <w:bCs/>
          <w:b/>
          <w:sz w:val="25"/>
        </w:rPr>
        <w:t xml:space="preserve">RACSI for this phase.</w:t>
      </w:r>
      <w:r>
        <w:rPr>
          <w:sz w:val="25"/>
        </w:rPr>
        <w:t xml:space="preserve"> </w:t>
      </w:r>
      <w:r>
        <w:rPr>
          <w:sz w:val="25"/>
        </w:rPr>
        <w:t xml:space="preserve">R = CM, FPO · A = ES · C = PM, ITL · S = SUP · I = EU</w:t>
      </w:r>
    </w:p>
    <w:p>
      <w:pPr>
        <w:pStyle w:val="BodyText"/>
      </w:pPr>
    </w:p>
    <w:bookmarkEnd w:id="38"/>
    <w:bookmarkStart w:id="39" w:name="phase-3-build-w1230"/>
    <w:p>
      <w:pPr>
        <w:pStyle w:val="Heading4"/>
      </w:pPr>
      <w:r>
        <w:rPr>
          <w:b/>
          <w:color w:val="5A8F89"/>
          <w:sz w:val="26"/>
        </w:rPr>
        <w:t xml:space="preserve">Phase 3 — Build (W12–30)</w:t>
      </w:r>
    </w:p>
    <w:p>
      <w:pPr>
        <w:pStyle w:val="FirstParagraph"/>
      </w:pPr>
      <w:r>
        <w:rPr>
          <w:bCs/>
          <w:b/>
          <w:sz w:val="25"/>
        </w:rPr>
        <w:t xml:space="preserve">Framework readings at close:</w:t>
      </w:r>
      <w:r>
        <w:rPr>
          <w:sz w:val="25"/>
        </w:rPr>
        <w:t xml:space="preserve"> </w:t>
      </w:r>
      <w:r>
        <w:rPr>
          <w:sz w:val="25"/>
        </w:rPr>
        <w:t xml:space="preserve">Lewin Unfreeze → Change · ADKAR focus Desire · Bridges Ending → Neutral Zone · Kübler-Ross Resistance/Anger.</w:t>
      </w:r>
    </w:p>
    <w:p>
      <w:pPr>
        <w:pStyle w:val="BodyText"/>
      </w:pPr>
      <w:r>
        <w:rPr>
          <w:sz w:val="25"/>
        </w:rPr>
        <w:t xml:space="preserve">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Stand up the configuration environment; begin configuration sprint 1 against the signed-off design principles (Task 1, Step 1).</w:t>
            </w:r>
          </w:p>
        </w:tc>
        <w:tc>
          <w:tcPr>
            <w:tcW w:type="dxa" w:w="2522"/>
          </w:tcPr>
          <w:p>
            <w:pPr>
              <w:pStyle w:val="Compact"/>
              <w:jc w:val="left"/>
            </w:pPr>
            <w:r>
              <w:rPr>
                <w:bCs/>
                <w:b/>
                <w:sz w:val="22"/>
              </w:rPr>
              <w:t xml:space="preserve">[CM]</w:t>
            </w:r>
            <w:r>
              <w:rPr>
                <w:sz w:val="22"/>
              </w:rPr>
              <w:t xml:space="preserve"> </w:t>
            </w:r>
            <w:r>
              <w:rPr>
                <w:sz w:val="22"/>
              </w:rPr>
              <w:t xml:space="preserve">Monitor the last FAQ-channel questions from Design; hand off the champion nominee list to Build’s briefing plan.</w:t>
            </w:r>
          </w:p>
        </w:tc>
        <w:tc>
          <w:tcPr>
            <w:tcW w:type="dxa" w:w="3258"/>
          </w:tcPr>
          <w:p>
            <w:pPr>
              <w:pStyle w:val="Compact"/>
              <w:jc w:val="left"/>
            </w:pPr>
            <w:r>
              <w:rPr>
                <w:sz w:val="22"/>
              </w:rPr>
              <w:t xml:space="preserve">No direct journi entry — configuration sprint decisions are tracked on M17 (WBS &amp; Gantt) task records, not a Change Management module.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Configuration sprint 1 continues — Order Management module against Principle 2 (one shared stock-movement record).</w:t>
            </w:r>
          </w:p>
        </w:tc>
        <w:tc>
          <w:tcPr>
            <w:tcW w:type="dxa" w:w="2522"/>
          </w:tcPr>
          <w:p>
            <w:pPr>
              <w:pStyle w:val="Compact"/>
              <w:jc w:val="left"/>
            </w:pPr>
            <w:r>
              <w:rPr>
                <w:bCs/>
                <w:b/>
                <w:sz w:val="22"/>
              </w:rPr>
              <w:t xml:space="preserve">[CM]</w:t>
            </w:r>
            <w:r>
              <w:rPr>
                <w:sz w:val="22"/>
              </w:rPr>
              <w:t xml:space="preserve"> </w:t>
            </w:r>
            <w:r>
              <w:rPr>
                <w:sz w:val="22"/>
              </w:rPr>
              <w:t xml:space="preserve">Prepare the champion briefing agenda for Week 16.</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Configuration sprint 1 closes; log each sprint decision against its justifying design principle (Task 1, Step 2) — type in, for example:</w:t>
            </w:r>
            <w:r>
              <w:rPr>
                <w:sz w:val="22"/>
              </w:rPr>
              <w:t xml:space="preserve"> </w:t>
            </w:r>
            <w:r>
              <w:rPr>
                <w:sz w:val="22"/>
              </w:rPr>
              <w:t xml:space="preserve">“</w:t>
            </w:r>
            <w:r>
              <w:rPr>
                <w:sz w:val="22"/>
              </w:rPr>
              <w:t xml:space="preserve">Decision: single stock-movement table shared by Inventory and Finance modules. Justifying principle: Principle 2.</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champion roster availability for the Week 16 briefing (overlaps Design’s Phase 2 gate).</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Configuration Sprint 1</w:t>
            </w:r>
            <w:r>
              <w:rPr>
                <w:sz w:val="22"/>
              </w:rPr>
              <w:t xml:space="preserve">”</w:t>
            </w:r>
            <w:r>
              <w:rPr>
                <w:sz w:val="22"/>
              </w:rPr>
              <w:t xml:space="preserve"> </w:t>
            </w:r>
            <w:r>
              <w:rPr>
                <w:sz w:val="22"/>
              </w:rPr>
              <w:t xml:space="preserve">marked complete, actual end date logged against its baseline.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15</w:t>
            </w:r>
          </w:p>
        </w:tc>
        <w:tc>
          <w:tcPr>
            <w:tcW w:type="dxa" w:w="2522"/>
          </w:tcPr>
          <w:p>
            <w:pPr>
              <w:pStyle w:val="Compact"/>
              <w:jc w:val="left"/>
            </w:pPr>
            <w:r>
              <w:rPr>
                <w:bCs/>
                <w:b/>
                <w:sz w:val="22"/>
              </w:rPr>
              <w:t xml:space="preserve">[PM]</w:t>
            </w:r>
            <w:r>
              <w:rPr>
                <w:sz w:val="22"/>
              </w:rPr>
              <w:t xml:space="preserve"> </w:t>
            </w:r>
            <w:r>
              <w:rPr>
                <w:sz w:val="22"/>
              </w:rPr>
              <w:t xml:space="preserve">Configuration sprint 2 begins — Inventory module against Principle 2 and Principle 3 (visible exception paths).</w:t>
            </w:r>
          </w:p>
        </w:tc>
        <w:tc>
          <w:tcPr>
            <w:tcW w:type="dxa" w:w="2522"/>
          </w:tcPr>
          <w:p>
            <w:pPr>
              <w:pStyle w:val="Compact"/>
              <w:jc w:val="left"/>
            </w:pPr>
            <w:r>
              <w:rPr>
                <w:bCs/>
                <w:b/>
                <w:sz w:val="22"/>
              </w:rPr>
              <w:t xml:space="preserve">[CM]</w:t>
            </w:r>
            <w:r>
              <w:rPr>
                <w:sz w:val="22"/>
              </w:rPr>
              <w:t xml:space="preserve"> </w:t>
            </w:r>
            <w:r>
              <w:rPr>
                <w:sz w:val="22"/>
              </w:rPr>
              <w:t xml:space="preserve">No new activity this week — holding for the Week 16 champion briefing.</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16</w:t>
            </w:r>
          </w:p>
        </w:tc>
        <w:tc>
          <w:tcPr>
            <w:tcW w:type="dxa" w:w="2522"/>
          </w:tcPr>
          <w:p>
            <w:pPr>
              <w:pStyle w:val="Compact"/>
              <w:jc w:val="left"/>
            </w:pPr>
            <w:r>
              <w:rPr>
                <w:bCs/>
                <w:b/>
                <w:sz w:val="22"/>
              </w:rPr>
              <w:t xml:space="preserve">[PM]</w:t>
            </w:r>
            <w:r>
              <w:rPr>
                <w:sz w:val="22"/>
              </w:rPr>
              <w:t xml:space="preserve"> </w:t>
            </w:r>
            <w:r>
              <w:rPr>
                <w:sz w:val="22"/>
              </w:rPr>
              <w:t xml:space="preserve">Configuration sprint 2 continues in parallel with the champion briefing below.</w:t>
            </w:r>
          </w:p>
        </w:tc>
        <w:tc>
          <w:tcPr>
            <w:tcW w:type="dxa" w:w="2522"/>
          </w:tcPr>
          <w:p>
            <w:pPr>
              <w:pStyle w:val="Compact"/>
              <w:jc w:val="left"/>
            </w:pPr>
            <w:r>
              <w:rPr>
                <w:bCs/>
                <w:b/>
                <w:sz w:val="22"/>
              </w:rPr>
              <w:t xml:space="preserve">[CM]</w:t>
            </w:r>
            <w:r>
              <w:rPr>
                <w:sz w:val="22"/>
              </w:rPr>
              <w:t xml:space="preserve"> </w:t>
            </w:r>
            <w:r>
              <w:rPr>
                <w:sz w:val="22"/>
              </w:rPr>
              <w:t xml:space="preserve">Run the champion briefing session per site (Task 2, Step 1) — brief Amal Ferhati, Yassine Bouhali, and Rania Idrissi on what floor-level observation is worth logging, and how.</w:t>
            </w:r>
          </w:p>
        </w:tc>
        <w:tc>
          <w:tcPr>
            <w:tcW w:type="dxa" w:w="3258"/>
          </w:tcPr>
          <w:p>
            <w:pPr>
              <w:pStyle w:val="Compact"/>
              <w:jc w:val="left"/>
            </w:pPr>
            <w:r>
              <w:rPr>
                <w:sz w:val="22"/>
              </w:rPr>
              <w:t xml:space="preserve">No direct journi entry — the briefing itself is a facilitated session; its output (an observation-logging habit) shows up as future M4 (Stakeholder Mapping) and M10 (Resistance) entries once champions actually log something.</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17</w:t>
            </w:r>
          </w:p>
        </w:tc>
        <w:tc>
          <w:tcPr>
            <w:tcW w:type="dxa" w:w="2522"/>
          </w:tcPr>
          <w:p>
            <w:pPr>
              <w:pStyle w:val="Compact"/>
              <w:jc w:val="left"/>
            </w:pPr>
            <w:r>
              <w:rPr>
                <w:bCs/>
                <w:b/>
                <w:sz w:val="22"/>
              </w:rPr>
              <w:t xml:space="preserve">[PM]</w:t>
            </w:r>
            <w:r>
              <w:rPr>
                <w:sz w:val="22"/>
              </w:rPr>
              <w:t xml:space="preserve"> </w:t>
            </w:r>
            <w:r>
              <w:rPr>
                <w:sz w:val="22"/>
              </w:rPr>
              <w:t xml:space="preserve">Configuration sprint 2 closes.</w:t>
            </w:r>
          </w:p>
        </w:tc>
        <w:tc>
          <w:tcPr>
            <w:tcW w:type="dxa" w:w="2522"/>
          </w:tcPr>
          <w:p>
            <w:pPr>
              <w:pStyle w:val="Compact"/>
              <w:jc w:val="left"/>
            </w:pPr>
            <w:r>
              <w:rPr>
                <w:bCs/>
                <w:b/>
                <w:sz w:val="22"/>
              </w:rPr>
              <w:t xml:space="preserve">[CM]</w:t>
            </w:r>
            <w:r>
              <w:rPr>
                <w:sz w:val="22"/>
              </w:rPr>
              <w:t xml:space="preserve"> </w:t>
            </w:r>
            <w:r>
              <w:rPr>
                <w:sz w:val="22"/>
              </w:rPr>
              <w:t xml:space="preserve">Confirm each champion’s observation-logging path (Task 2, Step 2) — type in, against each champion’s Stakeholder Map entry:</w:t>
            </w:r>
            <w:r>
              <w:rPr>
                <w:sz w:val="22"/>
              </w:rPr>
              <w:t xml:space="preserve"> </w:t>
            </w:r>
            <w:r>
              <w:rPr>
                <w:sz w:val="22"/>
              </w:rPr>
              <w:t xml:space="preserve">“</w:t>
            </w:r>
            <w:r>
              <w:rPr>
                <w:sz w:val="22"/>
              </w:rPr>
              <w:t xml:space="preserve">Logging path confirmed: floor observation → champion → M4 (Stakeholder Mapping) note → escalated to M10 (Resistance) if it becomes a pattern.</w:t>
            </w:r>
            <w:r>
              <w:rPr>
                <w:sz w:val="22"/>
              </w:rPr>
              <w:t xml:space="preserve">”</w:t>
            </w:r>
          </w:p>
        </w:tc>
        <w:tc>
          <w:tcPr>
            <w:tcW w:type="dxa" w:w="3258"/>
          </w:tcPr>
          <w:p>
            <w:pPr>
              <w:pStyle w:val="Compact"/>
              <w:jc w:val="left"/>
            </w:pPr>
            <w:r>
              <w:rPr>
                <w:sz w:val="22"/>
              </w:rPr>
              <w:t xml:space="preserve">M4 (Stakeholder Mapping) — add a note field to each of the three champion entries confirming the logging path above.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18</w:t>
            </w:r>
          </w:p>
        </w:tc>
        <w:tc>
          <w:tcPr>
            <w:tcW w:type="dxa" w:w="2522"/>
          </w:tcPr>
          <w:p>
            <w:pPr>
              <w:pStyle w:val="Compact"/>
              <w:jc w:val="left"/>
            </w:pPr>
            <w:r>
              <w:rPr>
                <w:bCs/>
                <w:b/>
                <w:sz w:val="22"/>
              </w:rPr>
              <w:t xml:space="preserve">[PM]</w:t>
            </w:r>
            <w:r>
              <w:rPr>
                <w:sz w:val="22"/>
              </w:rPr>
              <w:t xml:space="preserve"> </w:t>
            </w:r>
            <w:r>
              <w:rPr>
                <w:sz w:val="22"/>
              </w:rPr>
              <w:t xml:space="preserve">Configuration sprint 3 begins — Finance module reconciliation logic.</w:t>
            </w:r>
          </w:p>
        </w:tc>
        <w:tc>
          <w:tcPr>
            <w:tcW w:type="dxa" w:w="2522"/>
          </w:tcPr>
          <w:p>
            <w:pPr>
              <w:pStyle w:val="Compact"/>
              <w:jc w:val="left"/>
            </w:pPr>
            <w:r>
              <w:rPr>
                <w:bCs/>
                <w:b/>
                <w:sz w:val="22"/>
              </w:rPr>
              <w:t xml:space="preserve">[CM]</w:t>
            </w:r>
            <w:r>
              <w:rPr>
                <w:sz w:val="22"/>
              </w:rPr>
              <w:t xml:space="preserve"> </w:t>
            </w:r>
            <w:r>
              <w:rPr>
                <w:sz w:val="22"/>
              </w:rPr>
              <w:t xml:space="preserve">Re-score Desire per cohort (Task 3, Step 1) — type in: Casablanca Finance = 3; Kenitra Plant Operations = 3; Settat Plant Operations = 2 (auto-escalates).</w:t>
            </w:r>
          </w:p>
        </w:tc>
        <w:tc>
          <w:tcPr>
            <w:tcW w:type="dxa" w:w="3258"/>
          </w:tcPr>
          <w:p>
            <w:pPr>
              <w:pStyle w:val="Compact"/>
              <w:jc w:val="left"/>
            </w:pPr>
            <w:r>
              <w:rPr>
                <w:sz w:val="22"/>
              </w:rPr>
              <w:t xml:space="preserve">M5 (ADKAR Engine) — Desire scores as above. Settat’s score of 2 triggers a mandatory barrier-reason note next week.</w:t>
            </w:r>
          </w:p>
        </w:tc>
        <w:tc>
          <w:tcPr>
            <w:tcW w:type="dxa" w:w="1261"/>
          </w:tcPr>
          <w:p>
            <w:pPr>
              <w:pStyle w:val="Compact"/>
              <w:jc w:val="left"/>
            </w:pPr>
            <w:r>
              <w:rPr>
                <w:sz w:val="22"/>
              </w:rPr>
              <w:t xml:space="preserve">E1 (Desire Stall at Settat) — trigger week</w:t>
            </w:r>
          </w:p>
        </w:tc>
      </w:tr>
      <w:tr>
        <w:tc>
          <w:tcPr>
            <w:tcW w:type="dxa" w:w="946"/>
          </w:tcPr>
          <w:p>
            <w:pPr>
              <w:pStyle w:val="Compact"/>
              <w:jc w:val="left"/>
            </w:pPr>
            <w:r>
              <w:rPr>
                <w:bCs/>
                <w:b/>
                <w:sz w:val="22"/>
              </w:rPr>
              <w:t xml:space="preserve">Week 19</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w:t>
            </w:r>
          </w:p>
        </w:tc>
        <w:tc>
          <w:tcPr>
            <w:tcW w:type="dxa" w:w="2522"/>
          </w:tcPr>
          <w:p>
            <w:pPr>
              <w:pStyle w:val="Compact"/>
              <w:jc w:val="left"/>
            </w:pPr>
            <w:r>
              <w:rPr>
                <w:bCs/>
                <w:b/>
                <w:sz w:val="22"/>
              </w:rPr>
              <w:t xml:space="preserve">[CM]</w:t>
            </w:r>
            <w:r>
              <w:rPr>
                <w:sz w:val="22"/>
              </w:rPr>
              <w:t xml:space="preserve"> </w:t>
            </w:r>
            <w:r>
              <w:rPr>
                <w:sz w:val="22"/>
              </w:rPr>
              <w:t xml:space="preserve">Log the mandatory barrier-reason note for Settat’s Desire = 2 (Task 3, Step 2) — type in:</w:t>
            </w:r>
            <w:r>
              <w:rPr>
                <w:sz w:val="22"/>
              </w:rPr>
              <w:t xml:space="preserve"> </w:t>
            </w:r>
            <w:r>
              <w:rPr>
                <w:sz w:val="22"/>
              </w:rPr>
              <w:t xml:space="preserve">“</w:t>
            </w:r>
            <w:r>
              <w:rPr>
                <w:sz w:val="22"/>
              </w:rPr>
              <w:t xml:space="preserve">Settat Plant Operations, Desire = 2. Barrier reason: low visibility into what the new inventory workflow will look like on Line 2 specifically; unresolved concern about post-go-live staffing levels. Auto-escalated.</w:t>
            </w:r>
            <w:r>
              <w:rPr>
                <w:sz w:val="22"/>
              </w:rPr>
              <w:t xml:space="preserve">”</w:t>
            </w:r>
            <w:r>
              <w:rPr>
                <w:sz w:val="22"/>
              </w:rPr>
              <w:t xml:space="preserve"> </w:t>
            </w:r>
            <w:r>
              <w:rPr>
                <w:sz w:val="22"/>
              </w:rPr>
              <w:t xml:space="preserve">Begin Exception E1 (Desire Stall at Settat)’s Recovery Task 1 (cluster barrier notes by root cause).</w:t>
            </w:r>
          </w:p>
        </w:tc>
        <w:tc>
          <w:tcPr>
            <w:tcW w:type="dxa" w:w="3258"/>
          </w:tcPr>
          <w:p>
            <w:pPr>
              <w:pStyle w:val="Compact"/>
              <w:jc w:val="left"/>
            </w:pPr>
            <w:r>
              <w:rPr>
                <w:sz w:val="22"/>
              </w:rPr>
              <w:t xml:space="preserve">M5 (ADKAR Engine) — barrier-reason note attached to the Week 18 Settat entry; auto-escalation flag set.</w:t>
            </w:r>
          </w:p>
        </w:tc>
        <w:tc>
          <w:tcPr>
            <w:tcW w:type="dxa" w:w="1261"/>
          </w:tcPr>
          <w:p>
            <w:pPr>
              <w:pStyle w:val="Compact"/>
              <w:jc w:val="left"/>
            </w:pPr>
            <w:r>
              <w:rPr>
                <w:sz w:val="22"/>
              </w:rPr>
              <w:t xml:space="preserve">E1 (Desire Stall at Settat) — Recovery Task 1</w:t>
            </w:r>
          </w:p>
        </w:tc>
      </w:tr>
      <w:tr>
        <w:tc>
          <w:tcPr>
            <w:tcW w:type="dxa" w:w="946"/>
          </w:tcPr>
          <w:p>
            <w:pPr>
              <w:pStyle w:val="Compact"/>
              <w:jc w:val="left"/>
            </w:pPr>
            <w:r>
              <w:rPr>
                <w:bCs/>
                <w:b/>
                <w:sz w:val="22"/>
              </w:rPr>
              <w:t xml:space="preserve">Week 20</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 unaffected by the Settat exception track.</w:t>
            </w:r>
          </w:p>
        </w:tc>
        <w:tc>
          <w:tcPr>
            <w:tcW w:type="dxa" w:w="2522"/>
          </w:tcPr>
          <w:p>
            <w:pPr>
              <w:pStyle w:val="Compact"/>
              <w:jc w:val="left"/>
            </w:pPr>
            <w:r>
              <w:rPr>
                <w:bCs/>
                <w:b/>
                <w:sz w:val="22"/>
              </w:rPr>
              <w:t xml:space="preserve">[CM]</w:t>
            </w:r>
            <w:r>
              <w:rPr>
                <w:sz w:val="22"/>
              </w:rPr>
              <w:t xml:space="preserve"> </w:t>
            </w:r>
            <w:r>
              <w:rPr>
                <w:sz w:val="22"/>
              </w:rPr>
              <w:t xml:space="preserve">Run E1’s Recovery Task 2 — targeted listening sessions with the Settat plant-floor cohort; confirm position security, not workflow visibility, is the primary driver. See Exception E1 (Section 1B.4) for the full session detail.</w:t>
            </w:r>
          </w:p>
        </w:tc>
        <w:tc>
          <w:tcPr>
            <w:tcW w:type="dxa" w:w="3258"/>
          </w:tcPr>
          <w:p>
            <w:pPr>
              <w:pStyle w:val="Compact"/>
              <w:jc w:val="left"/>
            </w:pPr>
            <w:r>
              <w:rPr>
                <w:sz w:val="22"/>
              </w:rPr>
              <w:t xml:space="preserve">No new journi entry this week — findings feed the Week 21 response design.</w:t>
            </w:r>
          </w:p>
        </w:tc>
        <w:tc>
          <w:tcPr>
            <w:tcW w:type="dxa" w:w="1261"/>
          </w:tcPr>
          <w:p>
            <w:pPr>
              <w:pStyle w:val="Compact"/>
              <w:jc w:val="left"/>
            </w:pPr>
            <w:r>
              <w:rPr>
                <w:sz w:val="22"/>
              </w:rPr>
              <w:t xml:space="preserve">E1 (Desire Stall at Settat) — Recovery Task 2</w:t>
            </w:r>
          </w:p>
        </w:tc>
      </w:tr>
      <w:tr>
        <w:tc>
          <w:tcPr>
            <w:tcW w:type="dxa" w:w="946"/>
          </w:tcPr>
          <w:p>
            <w:pPr>
              <w:pStyle w:val="Compact"/>
              <w:jc w:val="left"/>
            </w:pPr>
            <w:r>
              <w:rPr>
                <w:bCs/>
                <w:b/>
                <w:sz w:val="22"/>
              </w:rPr>
              <w:t xml:space="preserve">Week 21</w:t>
            </w:r>
          </w:p>
        </w:tc>
        <w:tc>
          <w:tcPr>
            <w:tcW w:type="dxa" w:w="2522"/>
          </w:tcPr>
          <w:p>
            <w:pPr>
              <w:pStyle w:val="Compact"/>
              <w:jc w:val="left"/>
            </w:pPr>
            <w:r>
              <w:rPr>
                <w:bCs/>
                <w:b/>
                <w:sz w:val="22"/>
              </w:rPr>
              <w:t xml:space="preserve">[PM]</w:t>
            </w:r>
            <w:r>
              <w:rPr>
                <w:sz w:val="22"/>
              </w:rPr>
              <w:t xml:space="preserve"> </w:t>
            </w:r>
            <w:r>
              <w:rPr>
                <w:sz w:val="22"/>
              </w:rPr>
              <w:t xml:space="preserve">Configuration sprint 3 closes.</w:t>
            </w:r>
          </w:p>
        </w:tc>
        <w:tc>
          <w:tcPr>
            <w:tcW w:type="dxa" w:w="2522"/>
          </w:tcPr>
          <w:p>
            <w:pPr>
              <w:pStyle w:val="Compact"/>
              <w:jc w:val="left"/>
            </w:pPr>
            <w:r>
              <w:rPr>
                <w:bCs/>
                <w:b/>
                <w:sz w:val="22"/>
              </w:rPr>
              <w:t xml:space="preserve">[CM]</w:t>
            </w:r>
            <w:r>
              <w:rPr>
                <w:sz w:val="22"/>
              </w:rPr>
              <w:t xml:space="preserve"> </w:t>
            </w:r>
            <w:r>
              <w:rPr>
                <w:sz w:val="22"/>
              </w:rPr>
              <w:t xml:space="preserve">Run E1’s Recovery Task 3 — design a specific, credible staffing commitment with the CFO.</w:t>
            </w:r>
          </w:p>
        </w:tc>
        <w:tc>
          <w:tcPr>
            <w:tcW w:type="dxa" w:w="3258"/>
          </w:tcPr>
          <w:p>
            <w:pPr>
              <w:pStyle w:val="Compact"/>
              <w:jc w:val="left"/>
            </w:pPr>
            <w:r>
              <w:rPr>
                <w:sz w:val="22"/>
              </w:rPr>
              <w:t xml:space="preserve">No new journi entry this week.</w:t>
            </w:r>
          </w:p>
        </w:tc>
        <w:tc>
          <w:tcPr>
            <w:tcW w:type="dxa" w:w="1261"/>
          </w:tcPr>
          <w:p>
            <w:pPr>
              <w:pStyle w:val="Compact"/>
              <w:jc w:val="left"/>
            </w:pPr>
            <w:r>
              <w:rPr>
                <w:sz w:val="22"/>
              </w:rPr>
              <w:t xml:space="preserve">E1 (Desire Stall at Settat) — Recovery Task 3</w:t>
            </w:r>
          </w:p>
        </w:tc>
      </w:tr>
      <w:tr>
        <w:tc>
          <w:tcPr>
            <w:tcW w:type="dxa" w:w="946"/>
          </w:tcPr>
          <w:p>
            <w:pPr>
              <w:pStyle w:val="Compact"/>
              <w:jc w:val="left"/>
            </w:pPr>
            <w:r>
              <w:rPr>
                <w:bCs/>
                <w:b/>
                <w:sz w:val="22"/>
              </w:rPr>
              <w:t xml:space="preserve">Week 22</w:t>
            </w:r>
          </w:p>
        </w:tc>
        <w:tc>
          <w:tcPr>
            <w:tcW w:type="dxa" w:w="2522"/>
          </w:tcPr>
          <w:p>
            <w:pPr>
              <w:pStyle w:val="Compact"/>
              <w:jc w:val="left"/>
            </w:pPr>
            <w:r>
              <w:rPr>
                <w:bCs/>
                <w:b/>
                <w:sz w:val="22"/>
              </w:rPr>
              <w:t xml:space="preserve">[PM]</w:t>
            </w:r>
            <w:r>
              <w:rPr>
                <w:sz w:val="22"/>
              </w:rPr>
              <w:t xml:space="preserve"> </w:t>
            </w:r>
            <w:r>
              <w:rPr>
                <w:sz w:val="22"/>
              </w:rPr>
              <w:t xml:space="preserve">Configuration sprint 4 begins — integration testing prep.</w:t>
            </w:r>
          </w:p>
        </w:tc>
        <w:tc>
          <w:tcPr>
            <w:tcW w:type="dxa" w:w="2522"/>
          </w:tcPr>
          <w:p>
            <w:pPr>
              <w:pStyle w:val="Compact"/>
              <w:jc w:val="left"/>
            </w:pPr>
            <w:r>
              <w:rPr>
                <w:bCs/>
                <w:b/>
                <w:sz w:val="22"/>
              </w:rPr>
              <w:t xml:space="preserve">[CM]</w:t>
            </w:r>
            <w:r>
              <w:rPr>
                <w:sz w:val="22"/>
              </w:rPr>
              <w:t xml:space="preserve"> </w:t>
            </w:r>
            <w:r>
              <w:rPr>
                <w:sz w:val="22"/>
              </w:rPr>
              <w:t xml:space="preserve">Run E1’s Recovery Task 4 — the CFO delivers the staffing commitment in person to the Settat cohort.</w:t>
            </w:r>
          </w:p>
        </w:tc>
        <w:tc>
          <w:tcPr>
            <w:tcW w:type="dxa" w:w="3258"/>
          </w:tcPr>
          <w:p>
            <w:pPr>
              <w:pStyle w:val="Compact"/>
              <w:jc w:val="left"/>
            </w:pPr>
            <w:r>
              <w:rPr>
                <w:sz w:val="22"/>
              </w:rPr>
              <w:t xml:space="preserve">No new journi entry this week — the CFO’s action is logged on M7 (Sponsor &amp; Coalition) as a sponsor action, cross-referenced from E1.</w:t>
            </w:r>
          </w:p>
        </w:tc>
        <w:tc>
          <w:tcPr>
            <w:tcW w:type="dxa" w:w="1261"/>
          </w:tcPr>
          <w:p>
            <w:pPr>
              <w:pStyle w:val="Compact"/>
              <w:jc w:val="left"/>
            </w:pPr>
            <w:r>
              <w:rPr>
                <w:sz w:val="22"/>
              </w:rPr>
              <w:t xml:space="preserve">E1 (Desire Stall at Settat) — Recovery Task 4</w:t>
            </w:r>
          </w:p>
        </w:tc>
      </w:tr>
      <w:tr>
        <w:tc>
          <w:tcPr>
            <w:tcW w:type="dxa" w:w="946"/>
          </w:tcPr>
          <w:p>
            <w:pPr>
              <w:pStyle w:val="Compact"/>
              <w:jc w:val="left"/>
            </w:pPr>
            <w:r>
              <w:rPr>
                <w:bCs/>
                <w:b/>
                <w:sz w:val="22"/>
              </w:rPr>
              <w:t xml:space="preserve">Week 23</w:t>
            </w:r>
          </w:p>
        </w:tc>
        <w:tc>
          <w:tcPr>
            <w:tcW w:type="dxa" w:w="2522"/>
          </w:tcPr>
          <w:p>
            <w:pPr>
              <w:pStyle w:val="Compact"/>
              <w:jc w:val="left"/>
            </w:pPr>
            <w:r>
              <w:rPr>
                <w:bCs/>
                <w:b/>
                <w:sz w:val="22"/>
              </w:rPr>
              <w:t xml:space="preserve">[PM]</w:t>
            </w:r>
            <w:r>
              <w:rPr>
                <w:sz w:val="22"/>
              </w:rPr>
              <w:t xml:space="preserve"> </w:t>
            </w:r>
            <w:r>
              <w:rPr>
                <w:sz w:val="22"/>
              </w:rPr>
              <w:t xml:space="preserve">Configuration sprint 4 continues.</w:t>
            </w:r>
          </w:p>
        </w:tc>
        <w:tc>
          <w:tcPr>
            <w:tcW w:type="dxa" w:w="2522"/>
          </w:tcPr>
          <w:p>
            <w:pPr>
              <w:pStyle w:val="Compact"/>
              <w:jc w:val="left"/>
            </w:pPr>
            <w:r>
              <w:rPr>
                <w:bCs/>
                <w:b/>
                <w:sz w:val="22"/>
              </w:rPr>
              <w:t xml:space="preserve">[CM]</w:t>
            </w:r>
            <w:r>
              <w:rPr>
                <w:sz w:val="22"/>
              </w:rPr>
              <w:t xml:space="preserve"> </w:t>
            </w:r>
            <w:r>
              <w:rPr>
                <w:sz w:val="22"/>
              </w:rPr>
              <w:t xml:space="preserve">Hold — allow one week for the CFO’s commitment to be felt on the floor before re-scoring.</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24</w:t>
            </w:r>
          </w:p>
        </w:tc>
        <w:tc>
          <w:tcPr>
            <w:tcW w:type="dxa" w:w="2522"/>
          </w:tcPr>
          <w:p>
            <w:pPr>
              <w:pStyle w:val="Compact"/>
              <w:jc w:val="left"/>
            </w:pPr>
            <w:r>
              <w:rPr>
                <w:bCs/>
                <w:b/>
                <w:sz w:val="22"/>
              </w:rPr>
              <w:t xml:space="preserve">[PM]</w:t>
            </w:r>
            <w:r>
              <w:rPr>
                <w:sz w:val="22"/>
              </w:rPr>
              <w:t xml:space="preserve"> </w:t>
            </w:r>
            <w:r>
              <w:rPr>
                <w:sz w:val="22"/>
              </w:rPr>
              <w:t xml:space="preserve">Configuration sprint 4 closes.</w:t>
            </w:r>
          </w:p>
        </w:tc>
        <w:tc>
          <w:tcPr>
            <w:tcW w:type="dxa" w:w="2522"/>
          </w:tcPr>
          <w:p>
            <w:pPr>
              <w:pStyle w:val="Compact"/>
              <w:jc w:val="left"/>
            </w:pPr>
            <w:r>
              <w:rPr>
                <w:bCs/>
                <w:b/>
                <w:sz w:val="22"/>
              </w:rPr>
              <w:t xml:space="preserve">[CM]</w:t>
            </w:r>
            <w:r>
              <w:rPr>
                <w:sz w:val="22"/>
              </w:rPr>
              <w:t xml:space="preserve"> </w:t>
            </w:r>
            <w:r>
              <w:rPr>
                <w:sz w:val="22"/>
              </w:rPr>
              <w:t xml:space="preserve">Run E1’s Recovery Task 5 — re-score Desire and Kübler-Ross sentiment for Settat.</w:t>
            </w:r>
          </w:p>
        </w:tc>
        <w:tc>
          <w:tcPr>
            <w:tcW w:type="dxa" w:w="3258"/>
          </w:tcPr>
          <w:p>
            <w:pPr>
              <w:pStyle w:val="Compact"/>
              <w:jc w:val="left"/>
            </w:pPr>
            <w:r>
              <w:rPr>
                <w:sz w:val="22"/>
              </w:rPr>
              <w:t xml:space="preserve">M5 (ADKAR Engine) — Settat Desire re-scored from 2 to 3, with justification:</w:t>
            </w:r>
            <w:r>
              <w:rPr>
                <w:sz w:val="22"/>
              </w:rPr>
              <w:t xml:space="preserve"> </w:t>
            </w:r>
            <w:r>
              <w:rPr>
                <w:sz w:val="22"/>
              </w:rPr>
              <w:t xml:space="preserve">“</w:t>
            </w:r>
            <w:r>
              <w:rPr>
                <w:sz w:val="22"/>
              </w:rPr>
              <w:t xml:space="preserve">Recovered following CFO staffing commitment (Week 22). Re-scored 2 weeks later per E1 protocol.</w:t>
            </w:r>
            <w:r>
              <w:rPr>
                <w:sz w:val="22"/>
              </w:rPr>
              <w:t xml:space="preserve">”</w:t>
            </w:r>
            <w:r>
              <w:rPr>
                <w:sz w:val="22"/>
              </w:rPr>
              <w:t xml:space="preserve"> </w:t>
            </w:r>
            <w:r>
              <w:rPr>
                <w:sz w:val="22"/>
              </w:rPr>
              <w:t xml:space="preserve">M6 (Emotional &amp; Transition Layer) — Settat Kübler-Ross re-scored from Denial to Resistance/Anger (moving, not yet Exploration).</w:t>
            </w:r>
          </w:p>
        </w:tc>
        <w:tc>
          <w:tcPr>
            <w:tcW w:type="dxa" w:w="1261"/>
          </w:tcPr>
          <w:p>
            <w:pPr>
              <w:pStyle w:val="Compact"/>
              <w:jc w:val="left"/>
            </w:pPr>
            <w:r>
              <w:rPr>
                <w:sz w:val="22"/>
              </w:rPr>
              <w:t xml:space="preserve">E1 (Desire Stall at Settat) — closes</w:t>
            </w:r>
          </w:p>
        </w:tc>
      </w:tr>
      <w:tr>
        <w:tc>
          <w:tcPr>
            <w:tcW w:type="dxa" w:w="946"/>
          </w:tcPr>
          <w:p>
            <w:pPr>
              <w:pStyle w:val="Compact"/>
              <w:jc w:val="left"/>
            </w:pPr>
            <w:r>
              <w:rPr>
                <w:bCs/>
                <w:b/>
                <w:sz w:val="22"/>
              </w:rPr>
              <w:t xml:space="preserve">Week 25</w:t>
            </w:r>
          </w:p>
        </w:tc>
        <w:tc>
          <w:tcPr>
            <w:tcW w:type="dxa" w:w="2522"/>
          </w:tcPr>
          <w:p>
            <w:pPr>
              <w:pStyle w:val="Compact"/>
              <w:jc w:val="left"/>
            </w:pPr>
            <w:r>
              <w:rPr>
                <w:bCs/>
                <w:b/>
                <w:sz w:val="22"/>
              </w:rPr>
              <w:t xml:space="preserve">[PM]</w:t>
            </w:r>
            <w:r>
              <w:rPr>
                <w:sz w:val="22"/>
              </w:rPr>
              <w:t xml:space="preserve"> </w:t>
            </w:r>
            <w:r>
              <w:rPr>
                <w:sz w:val="22"/>
              </w:rPr>
              <w:t xml:space="preserve">Configuration sprint 5 begins — final module: reporting and dashboards.</w:t>
            </w:r>
          </w:p>
        </w:tc>
        <w:tc>
          <w:tcPr>
            <w:tcW w:type="dxa" w:w="2522"/>
          </w:tcPr>
          <w:p>
            <w:pPr>
              <w:pStyle w:val="Compact"/>
              <w:jc w:val="left"/>
            </w:pPr>
            <w:r>
              <w:rPr>
                <w:bCs/>
                <w:b/>
                <w:sz w:val="22"/>
              </w:rPr>
              <w:t xml:space="preserve">[CM]</w:t>
            </w:r>
            <w:r>
              <w:rPr>
                <w:sz w:val="22"/>
              </w:rPr>
              <w:t xml:space="preserve"> </w:t>
            </w:r>
            <w:r>
              <w:rPr>
                <w:sz w:val="22"/>
              </w:rPr>
              <w:t xml:space="preserve">Confirm Settat’s recovery is holding; no further E1 action needed.</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26</w:t>
            </w:r>
          </w:p>
        </w:tc>
        <w:tc>
          <w:tcPr>
            <w:tcW w:type="dxa" w:w="2522"/>
          </w:tcPr>
          <w:p>
            <w:pPr>
              <w:pStyle w:val="Compact"/>
              <w:jc w:val="left"/>
            </w:pPr>
            <w:r>
              <w:rPr>
                <w:bCs/>
                <w:b/>
                <w:sz w:val="22"/>
              </w:rPr>
              <w:t xml:space="preserve">[PM]</w:t>
            </w:r>
            <w:r>
              <w:rPr>
                <w:sz w:val="22"/>
              </w:rPr>
              <w:t xml:space="preserve"> </w:t>
            </w:r>
            <w:r>
              <w:rPr>
                <w:sz w:val="22"/>
              </w:rPr>
              <w:t xml:space="preserve">Configuration sprint 5 closes; internal configuration testing begins ahead of formal SIT in Phase 4.</w:t>
            </w:r>
          </w:p>
        </w:tc>
        <w:tc>
          <w:tcPr>
            <w:tcW w:type="dxa" w:w="2522"/>
          </w:tcPr>
          <w:p>
            <w:pPr>
              <w:pStyle w:val="Compact"/>
              <w:jc w:val="left"/>
            </w:pPr>
            <w:r>
              <w:rPr>
                <w:bCs/>
                <w:b/>
                <w:sz w:val="22"/>
              </w:rPr>
              <w:t xml:space="preserve">[CM]</w:t>
            </w:r>
            <w:r>
              <w:rPr>
                <w:sz w:val="22"/>
              </w:rPr>
              <w:t xml:space="preserve"> </w:t>
            </w:r>
            <w:r>
              <w:rPr>
                <w:sz w:val="22"/>
              </w:rPr>
              <w:t xml:space="preserve">Review the full-phase ADKAR picture across all three sites ahead of the Lewin call.</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27</w:t>
            </w:r>
          </w:p>
        </w:tc>
        <w:tc>
          <w:tcPr>
            <w:tcW w:type="dxa" w:w="2522"/>
          </w:tcPr>
          <w:p>
            <w:pPr>
              <w:pStyle w:val="Compact"/>
              <w:jc w:val="left"/>
            </w:pPr>
            <w:r>
              <w:rPr>
                <w:bCs/>
                <w:b/>
                <w:sz w:val="22"/>
              </w:rPr>
              <w:t xml:space="preserve">[PM]</w:t>
            </w:r>
            <w:r>
              <w:rPr>
                <w:sz w:val="22"/>
              </w:rPr>
              <w:t xml:space="preserve"> </w:t>
            </w:r>
            <w:r>
              <w:rPr>
                <w:sz w:val="22"/>
              </w:rPr>
              <w:t xml:space="preserve">Internal configuration testing continues; defect list compiled for Phase 4’s Task 1.</w:t>
            </w:r>
          </w:p>
        </w:tc>
        <w:tc>
          <w:tcPr>
            <w:tcW w:type="dxa" w:w="2522"/>
          </w:tcPr>
          <w:p>
            <w:pPr>
              <w:pStyle w:val="Compact"/>
              <w:jc w:val="left"/>
            </w:pPr>
            <w:r>
              <w:rPr>
                <w:bCs/>
                <w:b/>
                <w:sz w:val="22"/>
              </w:rPr>
              <w:t xml:space="preserve">[CM]</w:t>
            </w:r>
            <w:r>
              <w:rPr>
                <w:sz w:val="22"/>
              </w:rPr>
              <w:t xml:space="preserve"> </w:t>
            </w:r>
            <w:r>
              <w:rPr>
                <w:sz w:val="22"/>
              </w:rPr>
              <w:t xml:space="preserve">Draft the Lewin phase-call justification for Steering Committee pre-review.</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Configuration functionally complete; hand off to Phase 4’s formal SIT (see Phase 4, Week 28).</w:t>
            </w:r>
          </w:p>
        </w:tc>
        <w:tc>
          <w:tcPr>
            <w:tcW w:type="dxa" w:w="2522"/>
          </w:tcPr>
          <w:p>
            <w:pPr>
              <w:pStyle w:val="Compact"/>
              <w:jc w:val="left"/>
            </w:pPr>
            <w:r>
              <w:rPr>
                <w:bCs/>
                <w:b/>
                <w:sz w:val="22"/>
              </w:rPr>
              <w:t xml:space="preserve">[CM]</w:t>
            </w:r>
            <w:r>
              <w:rPr>
                <w:sz w:val="22"/>
              </w:rPr>
              <w:t xml:space="preserve"> </w:t>
            </w:r>
            <w:r>
              <w:rPr>
                <w:sz w:val="22"/>
              </w:rPr>
              <w:t xml:space="preserve">Review the evidence against Section 1B.1’s signal catalogue (Task 4, Step 1) — confirm configuration sprints landed, Desire trended upward (including Settat’s recovery), and no cohort remains below a Desire of 3.</w:t>
            </w:r>
          </w:p>
        </w:tc>
        <w:tc>
          <w:tcPr>
            <w:tcW w:type="dxa" w:w="3258"/>
          </w:tcPr>
          <w:p>
            <w:pPr>
              <w:pStyle w:val="Compact"/>
              <w:jc w:val="left"/>
            </w:pPr>
            <w:r>
              <w:rPr>
                <w:sz w:val="22"/>
              </w:rPr>
              <w:t xml:space="preserve">No journi entry this week — evidence review is a facilitated session ahead of the Week 29 phase-call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Confirm with the Steering Committee that Build’s technical scope is complete.</w:t>
            </w:r>
          </w:p>
        </w:tc>
        <w:tc>
          <w:tcPr>
            <w:tcW w:type="dxa" w:w="2522"/>
          </w:tcPr>
          <w:p>
            <w:pPr>
              <w:pStyle w:val="Compact"/>
              <w:jc w:val="left"/>
            </w:pPr>
            <w:r>
              <w:rPr>
                <w:bCs/>
                <w:b/>
                <w:sz w:val="22"/>
              </w:rPr>
              <w:t xml:space="preserve">[CM]</w:t>
            </w:r>
            <w:r>
              <w:rPr>
                <w:sz w:val="22"/>
              </w:rPr>
              <w:t xml:space="preserve"> </w:t>
            </w:r>
            <w:r>
              <w:rPr>
                <w:sz w:val="22"/>
              </w:rPr>
              <w:t xml:space="preserve">Set Lewin = Change on M3 (Initiative Registry) with a written justification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Moving Unfreeze → Change. Configuration sprints 1–5 complete against approved design principles; Desire trending upward across all three sites, including Settat’s recovery from the Week 18–24 stall (see E1 log). Evidence reviewed with Steering Committee 29 [date]; no dissent recorded.</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the Phase 3 gate: configuration complete, Lewin = Change on real evidence.</w:t>
            </w:r>
          </w:p>
        </w:tc>
        <w:tc>
          <w:tcPr>
            <w:tcW w:type="dxa" w:w="2522"/>
          </w:tcPr>
          <w:p>
            <w:pPr>
              <w:pStyle w:val="Compact"/>
              <w:jc w:val="left"/>
            </w:pPr>
            <w:r>
              <w:rPr>
                <w:bCs/>
                <w:b/>
                <w:sz w:val="22"/>
              </w:rPr>
              <w:t xml:space="preserve">[CM]</w:t>
            </w:r>
            <w:r>
              <w:rPr>
                <w:sz w:val="22"/>
              </w:rPr>
              <w:t xml:space="preserve"> </w:t>
            </w:r>
            <w:r>
              <w:rPr>
                <w:sz w:val="22"/>
              </w:rPr>
              <w:t xml:space="preserve">Hand off to Phase 5’s Train track, which begins this same week (see Phase 5, Week 30).</w:t>
            </w:r>
          </w:p>
        </w:tc>
        <w:tc>
          <w:tcPr>
            <w:tcW w:type="dxa" w:w="3258"/>
          </w:tcPr>
          <w:p>
            <w:pPr>
              <w:pStyle w:val="Compact"/>
              <w:jc w:val="left"/>
            </w:pPr>
            <w:r>
              <w:rPr>
                <w:sz w:val="22"/>
              </w:rPr>
              <w:t xml:space="preserve">M17 (WBS &amp; Gantt) — Build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pPr>
      <w:r>
        <w:rPr>
          <w:bCs/>
          <w:b/>
          <w:sz w:val="25"/>
        </w:rPr>
        <w:t xml:space="preserve">SIPOC.</w:t>
      </w:r>
      <w:r>
        <w:rPr>
          <w:sz w:val="25"/>
        </w:rPr>
        <w:t xml:space="preserve"> </w:t>
      </w:r>
      <w:r>
        <w:rPr>
          <w:sz w:val="25"/>
        </w:rPr>
        <w:t xml:space="preserve">Suppliers: ITL; configuration sprint teams; the champion network. · Inputs: Signed-off future-state process maps; design principles; Awareness-stage ADKAR data. · Process: this phase’s four Tasks in sequence · Outputs: Functionally complete configured build; briefed champion network; Lewin = Change. · Customers: Program Manager; Change Manager; Test-phase team.</w:t>
      </w:r>
    </w:p>
    <w:p>
      <w:pPr>
        <w:pStyle w:val="BodyText"/>
      </w:pPr>
      <w:r>
        <w:rPr>
          <w:bCs/>
          <w:b/>
          <w:sz w:val="25"/>
        </w:rPr>
        <w:t xml:space="preserve">RACSI for this phase.</w:t>
      </w:r>
      <w:r>
        <w:rPr>
          <w:sz w:val="25"/>
        </w:rPr>
        <w:t xml:space="preserve"> </w:t>
      </w:r>
      <w:r>
        <w:rPr>
          <w:sz w:val="25"/>
        </w:rPr>
        <w:t xml:space="preserve">R = ITL, CM · A = PM · C = FPO, ES · S = SUP · I = EU</w:t>
      </w:r>
    </w:p>
    <w:p>
      <w:pPr>
        <w:pStyle w:val="BodyText"/>
      </w:pPr>
    </w:p>
    <w:bookmarkEnd w:id="39"/>
    <w:bookmarkStart w:id="40" w:name="phase-4-test-w2838"/>
    <w:p>
      <w:pPr>
        <w:pStyle w:val="Heading4"/>
      </w:pPr>
      <w:r>
        <w:rPr>
          <w:b/>
          <w:color w:val="5A8F89"/>
          <w:sz w:val="26"/>
        </w:rPr>
        <w:t xml:space="preserve">Phase 4 — Test (W28–38)</w:t>
      </w:r>
    </w:p>
    <w:p>
      <w:pPr>
        <w:pStyle w:val="FirstParagraph"/>
      </w:pPr>
      <w:r>
        <w:rPr>
          <w:bCs/>
          <w:b/>
          <w:sz w:val="25"/>
        </w:rPr>
        <w:t xml:space="preserve">Framework readings at close:</w:t>
      </w:r>
      <w:r>
        <w:rPr>
          <w:sz w:val="25"/>
        </w:rPr>
        <w:t xml:space="preserve"> </w:t>
      </w:r>
      <w:r>
        <w:rPr>
          <w:sz w:val="25"/>
        </w:rPr>
        <w:t xml:space="preserve">Lewin Change · ADKAR focus Knowledge · Bridges Neutral Zone · Kübler-Ross Resistance/Anger → Exploration.</w:t>
      </w:r>
    </w:p>
    <w:p>
      <w:pPr>
        <w:pStyle w:val="BodyText"/>
      </w:pPr>
      <w:r>
        <w:rPr>
          <w:sz w:val="25"/>
        </w:rPr>
        <w:t xml:space="preserve">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Run the SIT test script against the configured build (Task 1, Step 1) — ITL executes 40 scripted scenarios across Order Management, Inventory, and Finance.</w:t>
            </w:r>
          </w:p>
        </w:tc>
        <w:tc>
          <w:tcPr>
            <w:tcW w:type="dxa" w:w="2522"/>
          </w:tcPr>
          <w:p>
            <w:pPr>
              <w:pStyle w:val="Compact"/>
              <w:jc w:val="left"/>
            </w:pPr>
            <w:r>
              <w:rPr>
                <w:bCs/>
                <w:b/>
                <w:sz w:val="22"/>
              </w:rPr>
              <w:t xml:space="preserve">[CM]</w:t>
            </w:r>
            <w:r>
              <w:rPr>
                <w:sz w:val="22"/>
              </w:rPr>
              <w:t xml:space="preserve"> </w:t>
            </w:r>
            <w:r>
              <w:rPr>
                <w:sz w:val="22"/>
              </w:rPr>
              <w:t xml:space="preserve">Observe SIT results for any defect likely to affect a cohort already flagged sensitive (Settat, per Exception E1 (Desire Stall at Settat)’s recovery).</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System Integration Testing</w:t>
            </w:r>
            <w:r>
              <w:rPr>
                <w:sz w:val="22"/>
              </w:rPr>
              <w:t xml:space="preserve">”</w:t>
            </w:r>
            <w:r>
              <w:rPr>
                <w:sz w:val="22"/>
              </w:rPr>
              <w:t xml:space="preserve"> </w:t>
            </w:r>
            <w:r>
              <w:rPr>
                <w:sz w:val="22"/>
              </w:rPr>
              <w:t xml:space="preserve">logged, actual start date recorded.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Triage and close SIT defects by severity (Task 1, Step 2) — type in, for example:</w:t>
            </w:r>
            <w:r>
              <w:rPr>
                <w:sz w:val="22"/>
              </w:rPr>
              <w:t xml:space="preserve"> </w:t>
            </w:r>
            <w:r>
              <w:rPr>
                <w:sz w:val="22"/>
              </w:rPr>
              <w:t xml:space="preserve">“</w:t>
            </w:r>
            <w:r>
              <w:rPr>
                <w:sz w:val="22"/>
              </w:rPr>
              <w:t xml:space="preserve">Defect #14, Critical: stock-movement record duplicates on split shipment. Closed 29 [date].</w:t>
            </w:r>
            <w:r>
              <w:rPr>
                <w:sz w:val="22"/>
              </w:rPr>
              <w:t xml:space="preserve">”</w:t>
            </w:r>
            <w:r>
              <w:rPr>
                <w:sz w:val="22"/>
              </w:rPr>
              <w:t xml:space="preserve"> </w:t>
            </w:r>
            <w:r>
              <w:rPr>
                <w:sz w:val="22"/>
              </w:rPr>
              <w:t xml:space="preserve">“</w:t>
            </w:r>
            <w:r>
              <w:rPr>
                <w:sz w:val="22"/>
              </w:rPr>
              <w:t xml:space="preserve">Defect #22, Low: report label mismatch. Deferred, not UAT-blocking.</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no open Critical or High defect touches a Settat or Kenitra process step, ahead of UAT recruitment.</w:t>
            </w:r>
          </w:p>
        </w:tc>
        <w:tc>
          <w:tcPr>
            <w:tcW w:type="dxa" w:w="3258"/>
          </w:tcPr>
          <w:p>
            <w:pPr>
              <w:pStyle w:val="Compact"/>
              <w:jc w:val="left"/>
            </w:pPr>
            <w:r>
              <w:rPr>
                <w:sz w:val="22"/>
              </w:rPr>
              <w:t xml:space="preserve">M13 (Risk Register) — log any deferred defect with residual risk (for example, Defect #22) as a low-severity, open Risk Register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SIT sign-off; hand configured build to UAT.</w:t>
            </w:r>
          </w:p>
        </w:tc>
        <w:tc>
          <w:tcPr>
            <w:tcW w:type="dxa" w:w="2522"/>
          </w:tcPr>
          <w:p>
            <w:pPr>
              <w:pStyle w:val="Compact"/>
              <w:jc w:val="left"/>
            </w:pPr>
            <w:r>
              <w:rPr>
                <w:bCs/>
                <w:b/>
                <w:sz w:val="22"/>
              </w:rPr>
              <w:t xml:space="preserve">[CM]</w:t>
            </w:r>
            <w:r>
              <w:rPr>
                <w:sz w:val="22"/>
              </w:rPr>
              <w:t xml:space="preserve"> </w:t>
            </w:r>
            <w:r>
              <w:rPr>
                <w:sz w:val="22"/>
              </w:rPr>
              <w:t xml:space="preserve">Select UAT participants proportionate to each site’s population (Task 2, Step 1) — type in: Casablanca Finance — 5 participants (out of 140 staff); Kenitra Plant Operations — 3 participants; Settat Plant Operations — 3 participants.</w:t>
            </w:r>
          </w:p>
        </w:tc>
        <w:tc>
          <w:tcPr>
            <w:tcW w:type="dxa" w:w="3258"/>
          </w:tcPr>
          <w:p>
            <w:pPr>
              <w:pStyle w:val="Compact"/>
              <w:jc w:val="left"/>
            </w:pPr>
            <w:r>
              <w:rPr>
                <w:sz w:val="22"/>
              </w:rPr>
              <w:t xml:space="preserve">No journi entry yet — names confirmed with site managers before the Week 31 roster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Finalize UAT scripts and acceptance criteria with the recruited cohort’s managers.</w:t>
            </w:r>
          </w:p>
        </w:tc>
        <w:tc>
          <w:tcPr>
            <w:tcW w:type="dxa" w:w="2522"/>
          </w:tcPr>
          <w:p>
            <w:pPr>
              <w:pStyle w:val="Compact"/>
              <w:jc w:val="left"/>
            </w:pPr>
            <w:r>
              <w:rPr>
                <w:bCs/>
                <w:b/>
                <w:sz w:val="22"/>
              </w:rPr>
              <w:t xml:space="preserve">[CM]</w:t>
            </w:r>
            <w:r>
              <w:rPr>
                <w:sz w:val="22"/>
              </w:rPr>
              <w:t xml:space="preserve"> </w:t>
            </w:r>
            <w:r>
              <w:rPr>
                <w:sz w:val="22"/>
              </w:rPr>
              <w:t xml:space="preserve">Log the UAT roster and acceptance criteria (Task 2, Step 2).</w:t>
            </w:r>
          </w:p>
        </w:tc>
        <w:tc>
          <w:tcPr>
            <w:tcW w:type="dxa" w:w="3258"/>
          </w:tcPr>
          <w:p>
            <w:pPr>
              <w:pStyle w:val="Compact"/>
              <w:jc w:val="left"/>
            </w:pPr>
            <w:r>
              <w:rPr>
                <w:sz w:val="22"/>
              </w:rPr>
              <w:t xml:space="preserve">M4 (Stakeholder Mapping) — type in the 11 named UAT participants against their existing cohort entries, tagged</w:t>
            </w:r>
            <w:r>
              <w:rPr>
                <w:sz w:val="22"/>
              </w:rPr>
              <w:t xml:space="preserve"> </w:t>
            </w:r>
            <w:r>
              <w:rPr>
                <w:sz w:val="22"/>
              </w:rPr>
              <w:t xml:space="preserve">“</w:t>
            </w:r>
            <w:r>
              <w:rPr>
                <w:sz w:val="22"/>
              </w:rPr>
              <w:t xml:space="preserve">UAT Cohort — Wave 1</w:t>
            </w:r>
            <w:r>
              <w:rPr>
                <w:sz w:val="22"/>
              </w:rPr>
              <w:t xml:space="preserve">”</w:t>
            </w:r>
            <w:r>
              <w:rPr>
                <w:sz w:val="22"/>
              </w:rPr>
              <w:t xml:space="preserve">; acceptance criteria noted:</w:t>
            </w:r>
            <w:r>
              <w:rPr>
                <w:sz w:val="22"/>
              </w:rPr>
              <w:t xml:space="preserve"> </w:t>
            </w:r>
            <w:r>
              <w:rPr>
                <w:sz w:val="22"/>
              </w:rPr>
              <w:t xml:space="preserve">“</w:t>
            </w:r>
            <w:r>
              <w:rPr>
                <w:sz w:val="22"/>
              </w:rPr>
              <w:t xml:space="preserve">Pass = complete order-to-cash cycle end to end with no Critical defect and a self-reported confidence of 3 or higher.</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UAT session technically — on-site ITL presence at Casablanca HQ for the first session.</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Casablanca Finance cohort (Task 3, Step 1) — observe and coach in real time.</w:t>
            </w:r>
          </w:p>
        </w:tc>
        <w:tc>
          <w:tcPr>
            <w:tcW w:type="dxa" w:w="3258"/>
          </w:tcPr>
          <w:p>
            <w:pPr>
              <w:pStyle w:val="Compact"/>
              <w:jc w:val="left"/>
            </w:pPr>
            <w:r>
              <w:rPr>
                <w:sz w:val="22"/>
              </w:rPr>
              <w:t xml:space="preserve">M5 (ADKAR Engine) — type in real Knowledge scores from the session: Casablanca Finance UAT participants score Knowledge = 4 (average across the 5 participants).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Kenitra and Settat UAT sessions technically.</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Kenitra and Settat cohorts; log defects and usability friction as distinct categories (Task 3, Step 2) — type in:</w:t>
            </w:r>
            <w:r>
              <w:rPr>
                <w:sz w:val="22"/>
              </w:rPr>
              <w:t xml:space="preserve"> </w:t>
            </w:r>
            <w:r>
              <w:rPr>
                <w:sz w:val="22"/>
              </w:rPr>
              <w:t xml:space="preserve">“</w:t>
            </w:r>
            <w:r>
              <w:rPr>
                <w:sz w:val="22"/>
              </w:rPr>
              <w:t xml:space="preserve">Friction — not a defect: Settat participants find the new stock-count screen’s confirm button placement unintuitive; workaround exists (double-click), no data-integrity issue.</w:t>
            </w:r>
            <w:r>
              <w:rPr>
                <w:sz w:val="22"/>
              </w:rPr>
              <w:t xml:space="preserve">”</w:t>
            </w:r>
          </w:p>
        </w:tc>
        <w:tc>
          <w:tcPr>
            <w:tcW w:type="dxa" w:w="3258"/>
          </w:tcPr>
          <w:p>
            <w:pPr>
              <w:pStyle w:val="Compact"/>
              <w:jc w:val="left"/>
            </w:pPr>
            <w:r>
              <w:rPr>
                <w:sz w:val="22"/>
              </w:rPr>
              <w:t xml:space="preserve">M5 (ADKAR Engine) — Kenitra Knowledge = 4; Settat Knowledge = 3 (still building). No new M10 (Resistance) entry — friction logged separately per the Step 2 technique, not escalated as resistance.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Compile the UAT defect and friction log for the Steering Committee.</w:t>
            </w:r>
          </w:p>
        </w:tc>
        <w:tc>
          <w:tcPr>
            <w:tcW w:type="dxa" w:w="2522"/>
          </w:tcPr>
          <w:p>
            <w:pPr>
              <w:pStyle w:val="Compact"/>
              <w:jc w:val="left"/>
            </w:pPr>
            <w:r>
              <w:rPr>
                <w:bCs/>
                <w:b/>
                <w:sz w:val="22"/>
              </w:rPr>
              <w:t xml:space="preserve">[CM]</w:t>
            </w:r>
            <w:r>
              <w:rPr>
                <w:sz w:val="22"/>
              </w:rPr>
              <w:t xml:space="preserve"> </w:t>
            </w:r>
            <w:r>
              <w:rPr>
                <w:sz w:val="22"/>
              </w:rPr>
              <w:t xml:space="preserve">Run the Divergence Pattern review against UAT participants’ latest scores (Task 4, Step 1) — cross-check Knowledge/Ability against each participant’s Bridges reading.</w:t>
            </w:r>
          </w:p>
        </w:tc>
        <w:tc>
          <w:tcPr>
            <w:tcW w:type="dxa" w:w="3258"/>
          </w:tcPr>
          <w:p>
            <w:pPr>
              <w:pStyle w:val="Compact"/>
              <w:jc w:val="left"/>
            </w:pPr>
            <w:r>
              <w:rPr>
                <w:sz w:val="22"/>
              </w:rPr>
              <w:t xml:space="preserve">M6 (Emotional &amp; Transition Layer) — one Casablanca Finance participant reads Knowledge = 4, Ability = 4, but Bridges = Ending. ALT-001 (Divergence Pattern Detected) fires for this individual.</w:t>
            </w:r>
          </w:p>
        </w:tc>
        <w:tc>
          <w:tcPr>
            <w:tcW w:type="dxa" w:w="1261"/>
          </w:tcPr>
          <w:p>
            <w:pPr>
              <w:pStyle w:val="Compact"/>
              <w:jc w:val="left"/>
            </w:pPr>
            <w:r>
              <w:rPr>
                <w:sz w:val="22"/>
              </w:rPr>
              <w:t xml:space="preserve">E2 (Divergence Pattern at UAT) — trigger week</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Continue defect remediation from Week 29’s deferred items, unaffected by the E2 track.</w:t>
            </w:r>
          </w:p>
        </w:tc>
        <w:tc>
          <w:tcPr>
            <w:tcW w:type="dxa" w:w="2522"/>
          </w:tcPr>
          <w:p>
            <w:pPr>
              <w:pStyle w:val="Compact"/>
              <w:jc w:val="left"/>
            </w:pPr>
            <w:r>
              <w:rPr>
                <w:bCs/>
                <w:b/>
                <w:sz w:val="22"/>
              </w:rPr>
              <w:t xml:space="preserve">[CM]</w:t>
            </w:r>
            <w:r>
              <w:rPr>
                <w:sz w:val="22"/>
              </w:rPr>
              <w:t xml:space="preserve"> </w:t>
            </w:r>
            <w:r>
              <w:rPr>
                <w:sz w:val="22"/>
              </w:rPr>
              <w:t xml:space="preserve">Route the flagged case into Exception E2 (Divergence Pattern at UAT)’s Recovery Task 1 and 2 (Task 4, Step 2) — confirm the alert against supervisor observation; hold a loss-focused 1:1. See Exception E2 (Section 1B.4) for the full conversation detail.</w:t>
            </w:r>
          </w:p>
        </w:tc>
        <w:tc>
          <w:tcPr>
            <w:tcW w:type="dxa" w:w="3258"/>
          </w:tcPr>
          <w:p>
            <w:pPr>
              <w:pStyle w:val="Compact"/>
              <w:jc w:val="left"/>
            </w:pPr>
            <w:r>
              <w:rPr>
                <w:sz w:val="22"/>
              </w:rPr>
              <w:t xml:space="preserve">No new journi entry this week — the 1:1 itself is not logged; its outcome is.</w:t>
            </w:r>
          </w:p>
        </w:tc>
        <w:tc>
          <w:tcPr>
            <w:tcW w:type="dxa" w:w="1261"/>
          </w:tcPr>
          <w:p>
            <w:pPr>
              <w:pStyle w:val="Compact"/>
              <w:jc w:val="left"/>
            </w:pPr>
            <w:r>
              <w:rPr>
                <w:sz w:val="22"/>
              </w:rPr>
              <w:t xml:space="preserve">E2 (Divergence Pattern at UAT) — Recovery Tasks 1–3</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E2-related activity — configuration and defect tracks proceed independently.</w:t>
            </w:r>
          </w:p>
        </w:tc>
        <w:tc>
          <w:tcPr>
            <w:tcW w:type="dxa" w:w="2522"/>
          </w:tcPr>
          <w:p>
            <w:pPr>
              <w:pStyle w:val="Compact"/>
              <w:jc w:val="left"/>
            </w:pPr>
            <w:r>
              <w:rPr>
                <w:bCs/>
                <w:b/>
                <w:sz w:val="22"/>
              </w:rPr>
              <w:t xml:space="preserve">[CM]</w:t>
            </w:r>
            <w:r>
              <w:rPr>
                <w:sz w:val="22"/>
              </w:rPr>
              <w:t xml:space="preserve"> </w:t>
            </w:r>
            <w:r>
              <w:rPr>
                <w:sz w:val="22"/>
              </w:rPr>
              <w:t xml:space="preserve">Provide the explicit closure moment if the 1:1 confirmed a genuine loss concern (Recovery Task 4); re-check the Bridges reading only (Recovery Task 5).</w:t>
            </w:r>
          </w:p>
        </w:tc>
        <w:tc>
          <w:tcPr>
            <w:tcW w:type="dxa" w:w="3258"/>
          </w:tcPr>
          <w:p>
            <w:pPr>
              <w:pStyle w:val="Compact"/>
              <w:jc w:val="left"/>
            </w:pPr>
            <w:r>
              <w:rPr>
                <w:sz w:val="22"/>
              </w:rPr>
              <w:t xml:space="preserve">M6 (Emotional &amp; Transition Layer) — the flagged participant’s Bridges reading re-scored from Ending to Neutral Zone, with justification:</w:t>
            </w:r>
            <w:r>
              <w:rPr>
                <w:sz w:val="22"/>
              </w:rPr>
              <w:t xml:space="preserve"> </w:t>
            </w:r>
            <w:r>
              <w:rPr>
                <w:sz w:val="22"/>
              </w:rPr>
              <w:t xml:space="preserve">“</w:t>
            </w:r>
            <w:r>
              <w:rPr>
                <w:sz w:val="22"/>
              </w:rPr>
              <w:t xml:space="preserve">Genuine loss concern (legacy role) acknowledged directly 35 [date]. Re-pulsed per E2 protocol.</w:t>
            </w:r>
            <w:r>
              <w:rPr>
                <w:sz w:val="22"/>
              </w:rPr>
              <w:t xml:space="preserve">”</w:t>
            </w:r>
          </w:p>
        </w:tc>
        <w:tc>
          <w:tcPr>
            <w:tcW w:type="dxa" w:w="1261"/>
          </w:tcPr>
          <w:p>
            <w:pPr>
              <w:pStyle w:val="Compact"/>
              <w:jc w:val="left"/>
            </w:pPr>
            <w:r>
              <w:rPr>
                <w:sz w:val="22"/>
              </w:rPr>
              <w:t xml:space="preserve">E2 (Divergence Pattern at UAT) — closes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Final defect closure; confirm UAT sign-off criteria met for all three sites.</w:t>
            </w:r>
          </w:p>
        </w:tc>
        <w:tc>
          <w:tcPr>
            <w:tcW w:type="dxa" w:w="2522"/>
          </w:tcPr>
          <w:p>
            <w:pPr>
              <w:pStyle w:val="Compact"/>
              <w:jc w:val="left"/>
            </w:pPr>
            <w:r>
              <w:rPr>
                <w:bCs/>
                <w:b/>
                <w:sz w:val="22"/>
              </w:rPr>
              <w:t xml:space="preserve">[CM]</w:t>
            </w:r>
            <w:r>
              <w:rPr>
                <w:sz w:val="22"/>
              </w:rPr>
              <w:t xml:space="preserve"> </w:t>
            </w:r>
            <w:r>
              <w:rPr>
                <w:sz w:val="22"/>
              </w:rPr>
              <w:t xml:space="preserve">Confirm the E2 case is cleared to count toward cohort readiness; compile the Test-phase framework summary for the Phase 4 gate.</w:t>
            </w:r>
          </w:p>
        </w:tc>
        <w:tc>
          <w:tcPr>
            <w:tcW w:type="dxa" w:w="3258"/>
          </w:tcPr>
          <w:p>
            <w:pPr>
              <w:pStyle w:val="Compact"/>
              <w:jc w:val="left"/>
            </w:pPr>
            <w:r>
              <w:rPr>
                <w:sz w:val="22"/>
              </w:rPr>
              <w:t xml:space="preserve">M14 (Analytics) — Composite Readiness Index recalculated, now reflecting the resolved E2 case.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Confirm the Phase 4 gate: SIT and UAT both signed off.</w:t>
            </w:r>
          </w:p>
        </w:tc>
        <w:tc>
          <w:tcPr>
            <w:tcW w:type="dxa" w:w="2522"/>
          </w:tcPr>
          <w:p>
            <w:pPr>
              <w:pStyle w:val="Compact"/>
              <w:jc w:val="left"/>
            </w:pPr>
            <w:r>
              <w:rPr>
                <w:bCs/>
                <w:b/>
                <w:sz w:val="22"/>
              </w:rPr>
              <w:t xml:space="preserve">[CM]</w:t>
            </w:r>
            <w:r>
              <w:rPr>
                <w:sz w:val="22"/>
              </w:rPr>
              <w:t xml:space="preserve"> </w:t>
            </w:r>
            <w:r>
              <w:rPr>
                <w:sz w:val="22"/>
              </w:rPr>
              <w:t xml:space="preserve">Confirm no Divergence Pattern flag remains open; hand off to Phase 5’s Train track, already underway since Week 30.</w:t>
            </w:r>
          </w:p>
        </w:tc>
        <w:tc>
          <w:tcPr>
            <w:tcW w:type="dxa" w:w="3258"/>
          </w:tcPr>
          <w:p>
            <w:pPr>
              <w:pStyle w:val="Compact"/>
              <w:jc w:val="left"/>
            </w:pPr>
            <w:r>
              <w:rPr>
                <w:sz w:val="22"/>
              </w:rPr>
              <w:t xml:space="preserve">M17 (WBS &amp; Gantt) — Test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Test closes once SIT and UAT sign-off are both recorded and any Divergence Pattern flags from Task 4 are resolved or explicitly accepted, not silently ignored.</w:t>
      </w:r>
    </w:p>
    <w:p>
      <w:pPr>
        <w:pStyle w:val="BodyText"/>
      </w:pPr>
      <w:r>
        <w:rPr>
          <w:bCs/>
          <w:b/>
          <w:sz w:val="25"/>
        </w:rPr>
        <w:t xml:space="preserve">SIPOC.</w:t>
      </w:r>
      <w:r>
        <w:rPr>
          <w:sz w:val="25"/>
        </w:rPr>
        <w:t xml:space="preserve"> </w:t>
      </w:r>
      <w:r>
        <w:rPr>
          <w:sz w:val="25"/>
        </w:rPr>
        <w:t xml:space="preserve">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pPr>
      <w:r>
        <w:rPr>
          <w:bCs/>
          <w:b/>
          <w:sz w:val="25"/>
        </w:rPr>
        <w:t xml:space="preserve">RACSI for this phase.</w:t>
      </w:r>
      <w:r>
        <w:rPr>
          <w:sz w:val="25"/>
        </w:rPr>
        <w:t xml:space="preserve"> </w:t>
      </w:r>
      <w:r>
        <w:rPr>
          <w:sz w:val="25"/>
        </w:rPr>
        <w:t xml:space="preserve">R = ITL, FPO · A = PM · C = CM · S = SUP, EU · I = ES</w:t>
      </w:r>
    </w:p>
    <w:p>
      <w:pPr>
        <w:pStyle w:val="BodyText"/>
      </w:pPr>
    </w:p>
    <w:bookmarkEnd w:id="40"/>
    <w:bookmarkStart w:id="41" w:name="phase-5-train-w3042"/>
    <w:p>
      <w:pPr>
        <w:pStyle w:val="Heading4"/>
      </w:pPr>
      <w:r>
        <w:rPr>
          <w:b/>
          <w:color w:val="5A8F89"/>
          <w:sz w:val="26"/>
        </w:rPr>
        <w:t xml:space="preserve">Phase 5 — Train (W30–42)</w:t>
      </w:r>
    </w:p>
    <w:p>
      <w:pPr>
        <w:pStyle w:val="FirstParagraph"/>
      </w:pPr>
      <w:r>
        <w:rPr>
          <w:bCs/>
          <w:b/>
          <w:sz w:val="25"/>
        </w:rPr>
        <w:t xml:space="preserve">Framework readings at close:</w:t>
      </w:r>
      <w:r>
        <w:rPr>
          <w:sz w:val="25"/>
        </w:rPr>
        <w:t xml:space="preserve"> </w:t>
      </w:r>
      <w:r>
        <w:rPr>
          <w:sz w:val="25"/>
        </w:rPr>
        <w:t xml:space="preserve">Lewin Change · ADKAR focus Knowledge → Ability · Bridges Neutral Zone · Kübler-Ross Exploration.</w:t>
      </w:r>
    </w:p>
    <w:p>
      <w:pPr>
        <w:pStyle w:val="BodyText"/>
      </w:pPr>
      <w:r>
        <w:rPr>
          <w:sz w:val="25"/>
        </w:rPr>
        <w:t xml:space="preserve">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training-room and sandbox infrastructure availability at all three sites.</w:t>
            </w:r>
          </w:p>
        </w:tc>
        <w:tc>
          <w:tcPr>
            <w:tcW w:type="dxa" w:w="2522"/>
          </w:tcPr>
          <w:p>
            <w:pPr>
              <w:pStyle w:val="Compact"/>
              <w:jc w:val="left"/>
            </w:pPr>
            <w:r>
              <w:rPr>
                <w:bCs/>
                <w:b/>
                <w:sz w:val="22"/>
              </w:rPr>
              <w:t xml:space="preserve">[CM]</w:t>
            </w:r>
            <w:r>
              <w:rPr>
                <w:sz w:val="22"/>
              </w:rPr>
              <w:t xml:space="preserve"> </w:t>
            </w:r>
            <w:r>
              <w:rPr>
                <w:sz w:val="22"/>
              </w:rPr>
              <w:t xml:space="preserve">Enroll each cohort against its role-based curriculum (Task 1, Step 1) — type in:</w:t>
            </w:r>
            <w:r>
              <w:rPr>
                <w:sz w:val="22"/>
              </w:rPr>
              <w:t xml:space="preserve"> </w:t>
            </w:r>
            <w:r>
              <w:rPr>
                <w:sz w:val="22"/>
              </w:rPr>
              <w:t xml:space="preserve">“</w:t>
            </w:r>
            <w:r>
              <w:rPr>
                <w:sz w:val="22"/>
              </w:rPr>
              <w:t xml:space="preserve">Casablanca Finance — Order-to-Cash Curriculum (5 modules)</w:t>
            </w:r>
            <w:r>
              <w:rPr>
                <w:sz w:val="22"/>
              </w:rPr>
              <w:t xml:space="preserve">”</w:t>
            </w:r>
            <w:r>
              <w:rPr>
                <w:sz w:val="22"/>
              </w:rPr>
              <w:t xml:space="preserve">;</w:t>
            </w:r>
            <w:r>
              <w:rPr>
                <w:sz w:val="22"/>
              </w:rPr>
              <w:t xml:space="preserve"> </w:t>
            </w:r>
            <w:r>
              <w:rPr>
                <w:sz w:val="22"/>
              </w:rPr>
              <w:t xml:space="preserve">“</w:t>
            </w:r>
            <w:r>
              <w:rPr>
                <w:sz w:val="22"/>
              </w:rPr>
              <w:t xml:space="preserve">Kenitra/Settat Plant Operations — Inventory &amp; Shipping Curriculum (4 modules)</w:t>
            </w:r>
            <w:r>
              <w:rPr>
                <w:sz w:val="22"/>
              </w:rPr>
              <w:t xml:space="preserve">”</w:t>
            </w:r>
            <w:r>
              <w:rPr>
                <w:sz w:val="22"/>
              </w:rPr>
              <w:t xml:space="preserve">.</w:t>
            </w:r>
          </w:p>
        </w:tc>
        <w:tc>
          <w:tcPr>
            <w:tcW w:type="dxa" w:w="3258"/>
          </w:tcPr>
          <w:p>
            <w:pPr>
              <w:pStyle w:val="Compact"/>
              <w:jc w:val="left"/>
            </w:pPr>
            <w:r>
              <w:rPr>
                <w:sz w:val="22"/>
              </w:rPr>
              <w:t xml:space="preserve">M9 (Training) — three curriculum entries created, one per cohort, status</w:t>
            </w:r>
            <w:r>
              <w:rPr>
                <w:sz w:val="22"/>
              </w:rPr>
              <w:t xml:space="preserve"> </w:t>
            </w:r>
            <w:r>
              <w:rPr>
                <w:sz w:val="22"/>
              </w:rPr>
              <w:t xml:space="preserve">“</w:t>
            </w:r>
            <w:r>
              <w:rPr>
                <w:sz w:val="22"/>
              </w:rPr>
              <w:t xml:space="preserve">Enrolled</w:t>
            </w:r>
            <w:r>
              <w:rPr>
                <w:sz w:val="22"/>
              </w:rPr>
              <w:t xml:space="preserve">”</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No specific activity this week — infrastructure already confirmed.</w:t>
            </w:r>
          </w:p>
        </w:tc>
        <w:tc>
          <w:tcPr>
            <w:tcW w:type="dxa" w:w="2522"/>
          </w:tcPr>
          <w:p>
            <w:pPr>
              <w:pStyle w:val="Compact"/>
              <w:jc w:val="left"/>
            </w:pPr>
            <w:r>
              <w:rPr>
                <w:bCs/>
                <w:b/>
                <w:sz w:val="22"/>
              </w:rPr>
              <w:t xml:space="preserve">[CM]</w:t>
            </w:r>
            <w:r>
              <w:rPr>
                <w:sz w:val="22"/>
              </w:rPr>
              <w:t xml:space="preserve"> </w:t>
            </w:r>
            <w:r>
              <w:rPr>
                <w:sz w:val="22"/>
              </w:rPr>
              <w:t xml:space="preserve">Deliver training wave 1 to Casablanca Finance.</w:t>
            </w:r>
          </w:p>
        </w:tc>
        <w:tc>
          <w:tcPr>
            <w:tcW w:type="dxa" w:w="3258"/>
          </w:tcPr>
          <w:p>
            <w:pPr>
              <w:pStyle w:val="Compact"/>
              <w:jc w:val="left"/>
            </w:pPr>
            <w:r>
              <w:rPr>
                <w:sz w:val="22"/>
              </w:rPr>
              <w:t xml:space="preserve">M9 (Training) — Casablanca Finance entry completion percentage updated to 40%.</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Kenitra training session technically (sandbox connectivity).</w:t>
            </w:r>
          </w:p>
        </w:tc>
        <w:tc>
          <w:tcPr>
            <w:tcW w:type="dxa" w:w="2522"/>
          </w:tcPr>
          <w:p>
            <w:pPr>
              <w:pStyle w:val="Compact"/>
              <w:jc w:val="left"/>
            </w:pPr>
            <w:r>
              <w:rPr>
                <w:bCs/>
                <w:b/>
                <w:sz w:val="22"/>
              </w:rPr>
              <w:t xml:space="preserve">[CM]</w:t>
            </w:r>
            <w:r>
              <w:rPr>
                <w:sz w:val="22"/>
              </w:rPr>
              <w:t xml:space="preserve"> </w:t>
            </w:r>
            <w:r>
              <w:rPr>
                <w:sz w:val="22"/>
              </w:rPr>
              <w:t xml:space="preserve">Deliver training wave 1 to Kenitra Plant Operations (overlaps Test’s Casablanca UAT session, Week 32).</w:t>
            </w:r>
          </w:p>
        </w:tc>
        <w:tc>
          <w:tcPr>
            <w:tcW w:type="dxa" w:w="3258"/>
          </w:tcPr>
          <w:p>
            <w:pPr>
              <w:pStyle w:val="Compact"/>
              <w:jc w:val="left"/>
            </w:pPr>
            <w:r>
              <w:rPr>
                <w:sz w:val="22"/>
              </w:rPr>
              <w:t xml:space="preserve">M9 (Training) — Kenitra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Settat training session technically.</w:t>
            </w:r>
          </w:p>
        </w:tc>
        <w:tc>
          <w:tcPr>
            <w:tcW w:type="dxa" w:w="2522"/>
          </w:tcPr>
          <w:p>
            <w:pPr>
              <w:pStyle w:val="Compact"/>
              <w:jc w:val="left"/>
            </w:pPr>
            <w:r>
              <w:rPr>
                <w:bCs/>
                <w:b/>
                <w:sz w:val="22"/>
              </w:rPr>
              <w:t xml:space="preserve">[CM]</w:t>
            </w:r>
            <w:r>
              <w:rPr>
                <w:sz w:val="22"/>
              </w:rPr>
              <w:t xml:space="preserve"> </w:t>
            </w:r>
            <w:r>
              <w:rPr>
                <w:sz w:val="22"/>
              </w:rPr>
              <w:t xml:space="preserve">Deliver training wave 1 to Settat Plant Operations (overlaps Test’s Kenitra/Settat UAT sessions, Week 33).</w:t>
            </w:r>
          </w:p>
        </w:tc>
        <w:tc>
          <w:tcPr>
            <w:tcW w:type="dxa" w:w="3258"/>
          </w:tcPr>
          <w:p>
            <w:pPr>
              <w:pStyle w:val="Compact"/>
              <w:jc w:val="left"/>
            </w:pPr>
            <w:r>
              <w:rPr>
                <w:sz w:val="22"/>
              </w:rPr>
              <w:t xml:space="preserve">M9 (Training) — Settat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Publish job aids per role (Task 2, Step 1) — ITL formats and distributes.</w:t>
            </w:r>
          </w:p>
        </w:tc>
        <w:tc>
          <w:tcPr>
            <w:tcW w:type="dxa" w:w="2522"/>
          </w:tcPr>
          <w:p>
            <w:pPr>
              <w:pStyle w:val="Compact"/>
              <w:jc w:val="left"/>
            </w:pPr>
            <w:r>
              <w:rPr>
                <w:bCs/>
                <w:b/>
                <w:sz w:val="22"/>
              </w:rPr>
              <w:t xml:space="preserve">[CM]</w:t>
            </w:r>
            <w:r>
              <w:rPr>
                <w:sz w:val="22"/>
              </w:rPr>
              <w:t xml:space="preserve"> </w:t>
            </w:r>
            <w:r>
              <w:rPr>
                <w:sz w:val="22"/>
              </w:rPr>
              <w:t xml:space="preserve">Review job-aid content for accuracy against the curriculum and the Build-phase design principles.</w:t>
            </w:r>
          </w:p>
        </w:tc>
        <w:tc>
          <w:tcPr>
            <w:tcW w:type="dxa" w:w="3258"/>
          </w:tcPr>
          <w:p>
            <w:pPr>
              <w:pStyle w:val="Compact"/>
              <w:jc w:val="left"/>
            </w:pPr>
            <w:r>
              <w:rPr>
                <w:sz w:val="22"/>
              </w:rPr>
              <w:t xml:space="preserve">No direct journi entry — job aids are distributed as documents, referenced by name in M9 (Training) curriculum notes.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Open the sandbox environment for supervised practice (Task 2, Step 2) — confirm access for all three sites.</w:t>
            </w:r>
          </w:p>
        </w:tc>
        <w:tc>
          <w:tcPr>
            <w:tcW w:type="dxa" w:w="2522"/>
          </w:tcPr>
          <w:p>
            <w:pPr>
              <w:pStyle w:val="Compact"/>
              <w:jc w:val="left"/>
            </w:pPr>
            <w:r>
              <w:rPr>
                <w:bCs/>
                <w:b/>
                <w:sz w:val="22"/>
              </w:rPr>
              <w:t xml:space="preserve">[CM]</w:t>
            </w:r>
            <w:r>
              <w:rPr>
                <w:sz w:val="22"/>
              </w:rPr>
              <w:t xml:space="preserve"> </w:t>
            </w:r>
            <w:r>
              <w:rPr>
                <w:sz w:val="22"/>
              </w:rPr>
              <w:t xml:space="preserve">Schedule supervised sandbox practice slots per cohort (overlaps Exception E2 (Divergence Pattern at UAT)’s resolution week in Test).</w:t>
            </w:r>
          </w:p>
        </w:tc>
        <w:tc>
          <w:tcPr>
            <w:tcW w:type="dxa" w:w="3258"/>
          </w:tcPr>
          <w:p>
            <w:pPr>
              <w:pStyle w:val="Compact"/>
              <w:jc w:val="left"/>
            </w:pPr>
            <w:r>
              <w:rPr>
                <w:sz w:val="22"/>
              </w:rPr>
              <w:t xml:space="preserve">M9 (Training) — sandbox-practice-hours field added to each cohort’s entry, tracked separately from classroom completion.</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Score Knowledge and Ability per cohort (Task 3, Step 1) — type in: Casablanca Finance Knowledge = 4, Ability = 4; Kenitra Knowledge = 4, Ability = 3; Settat Knowledge = 3, Ability = 2.</w:t>
            </w:r>
          </w:p>
        </w:tc>
        <w:tc>
          <w:tcPr>
            <w:tcW w:type="dxa" w:w="3258"/>
          </w:tcPr>
          <w:p>
            <w:pPr>
              <w:pStyle w:val="Compact"/>
              <w:jc w:val="left"/>
            </w:pPr>
            <w:r>
              <w:rPr>
                <w:sz w:val="22"/>
              </w:rPr>
              <w:t xml:space="preserve">M5 (ADKAR Engine) — scores as above. Settat reads meaningfully behind the other two sites — the spread that opens Exception E6 (Cohort Divergence Across Sites).</w:t>
            </w:r>
          </w:p>
        </w:tc>
        <w:tc>
          <w:tcPr>
            <w:tcW w:type="dxa" w:w="1261"/>
          </w:tcPr>
          <w:p>
            <w:pPr>
              <w:pStyle w:val="Compact"/>
              <w:jc w:val="left"/>
            </w:pPr>
            <w:r>
              <w:rPr>
                <w:sz w:val="22"/>
              </w:rPr>
              <w:t xml:space="preserve">E6 (Cohort Divergence Across Sites) — opens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Settat below the benchmark band for a second training wave (Task 3, Step 2); begin E6’s Recovery Task 1 — disaggregate the Composite Readiness Index by site.</w:t>
            </w:r>
          </w:p>
        </w:tc>
        <w:tc>
          <w:tcPr>
            <w:tcW w:type="dxa" w:w="3258"/>
          </w:tcPr>
          <w:p>
            <w:pPr>
              <w:pStyle w:val="Compact"/>
              <w:jc w:val="left"/>
            </w:pPr>
            <w:r>
              <w:rPr>
                <w:sz w:val="22"/>
              </w:rPr>
              <w:t xml:space="preserve">M14 (Analytics) — Composite Readiness Index pulled apart by site: Casablanca 78%, Kenitra 68%, Settat 54%. See Exception E6 (Section 1B.4) for the full disaggregation.</w:t>
            </w:r>
          </w:p>
        </w:tc>
        <w:tc>
          <w:tcPr>
            <w:tcW w:type="dxa" w:w="1261"/>
          </w:tcPr>
          <w:p>
            <w:pPr>
              <w:pStyle w:val="Compact"/>
              <w:jc w:val="left"/>
            </w:pPr>
            <w:r>
              <w:rPr>
                <w:sz w:val="22"/>
              </w:rPr>
              <w:t xml:space="preserve">E6 (Cohort Divergence Across Sites) — Recovery Task 1</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No specific activity this week (overlaps Test’s Phase 4 gate, Week 38).</w:t>
            </w:r>
          </w:p>
        </w:tc>
        <w:tc>
          <w:tcPr>
            <w:tcW w:type="dxa" w:w="2522"/>
          </w:tcPr>
          <w:p>
            <w:pPr>
              <w:pStyle w:val="Compact"/>
              <w:jc w:val="left"/>
            </w:pPr>
            <w:r>
              <w:rPr>
                <w:bCs/>
                <w:b/>
                <w:sz w:val="22"/>
              </w:rPr>
              <w:t xml:space="preserve">[CM]</w:t>
            </w:r>
            <w:r>
              <w:rPr>
                <w:sz w:val="22"/>
              </w:rPr>
              <w:t xml:space="preserve"> </w:t>
            </w:r>
            <w:r>
              <w:rPr>
                <w:sz w:val="22"/>
              </w:rPr>
              <w:t xml:space="preserve">Deliver training wave 2 (remediation) to Settat Plant Operations; run E6’s Recovery Task 3 — investigate what Casablanca did differently.</w:t>
            </w:r>
          </w:p>
        </w:tc>
        <w:tc>
          <w:tcPr>
            <w:tcW w:type="dxa" w:w="3258"/>
          </w:tcPr>
          <w:p>
            <w:pPr>
              <w:pStyle w:val="Compact"/>
              <w:jc w:val="left"/>
            </w:pPr>
            <w:r>
              <w:rPr>
                <w:sz w:val="22"/>
              </w:rPr>
              <w:t xml:space="preserve">M9 (Training) — Settat Plant Operations entry, second wave logged; completion percentage updated to 70%.</w:t>
            </w:r>
          </w:p>
        </w:tc>
        <w:tc>
          <w:tcPr>
            <w:tcW w:type="dxa" w:w="1261"/>
          </w:tcPr>
          <w:p>
            <w:pPr>
              <w:pStyle w:val="Compact"/>
              <w:jc w:val="left"/>
            </w:pPr>
            <w:r>
              <w:rPr>
                <w:sz w:val="22"/>
              </w:rPr>
              <w:t xml:space="preserve">E6 (Cohort Divergence Across Sites) — Recovery Task 3</w:t>
            </w:r>
          </w:p>
        </w:tc>
      </w:tr>
      <w:tr>
        <w:tc>
          <w:tcPr>
            <w:tcW w:type="dxa" w:w="946"/>
          </w:tcPr>
          <w:p>
            <w:pPr>
              <w:pStyle w:val="Compact"/>
              <w:jc w:val="left"/>
            </w:pPr>
            <w:r>
              <w:rPr>
                <w:bCs/>
                <w:b/>
                <w:sz w:val="22"/>
              </w:rPr>
              <w:t xml:space="preserve">Week 39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Transfer Casablanca’s earlier champion-briefing timing to Settat as a concrete practice (E6’s Recovery Task 4); re-score Settat’s Knowledge and Ability.</w:t>
            </w:r>
          </w:p>
        </w:tc>
        <w:tc>
          <w:tcPr>
            <w:tcW w:type="dxa" w:w="3258"/>
          </w:tcPr>
          <w:p>
            <w:pPr>
              <w:pStyle w:val="Compact"/>
              <w:jc w:val="left"/>
            </w:pPr>
            <w:r>
              <w:rPr>
                <w:sz w:val="22"/>
              </w:rPr>
              <w:t xml:space="preserve">M5 (ADKAR Engine) — Settat re-scored: Knowledge = 4, Ability = 3 (improved from Week 36’s 3/2).</w:t>
            </w:r>
          </w:p>
        </w:tc>
        <w:tc>
          <w:tcPr>
            <w:tcW w:type="dxa" w:w="1261"/>
          </w:tcPr>
          <w:p>
            <w:pPr>
              <w:pStyle w:val="Compact"/>
              <w:jc w:val="left"/>
            </w:pPr>
            <w:r>
              <w:rPr>
                <w:sz w:val="22"/>
              </w:rPr>
              <w:t xml:space="preserve">E6 (Cohort Divergence Across Sites) — Recovery Task 4</w:t>
            </w:r>
          </w:p>
        </w:tc>
      </w:tr>
      <w:tr>
        <w:tc>
          <w:tcPr>
            <w:tcW w:type="dxa" w:w="946"/>
          </w:tcPr>
          <w:p>
            <w:pPr>
              <w:pStyle w:val="Compact"/>
              <w:jc w:val="left"/>
            </w:pPr>
            <w:r>
              <w:rPr>
                <w:bCs/>
                <w:b/>
                <w:sz w:val="22"/>
              </w:rPr>
              <w:t xml:space="preserve">Week 40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Walk each People Manager through their team’s M11 (Manager as Coach) heatmap (Task 4, Step 1) — Kenitra and Settat supervisors reviewed individually.</w:t>
            </w:r>
          </w:p>
        </w:tc>
        <w:tc>
          <w:tcPr>
            <w:tcW w:type="dxa" w:w="3258"/>
          </w:tcPr>
          <w:p>
            <w:pPr>
              <w:pStyle w:val="Compact"/>
              <w:jc w:val="left"/>
            </w:pPr>
            <w:r>
              <w:rPr>
                <w:sz w:val="22"/>
              </w:rPr>
              <w:t xml:space="preserve">M11 (Manager as Coach) — heatmap reviewed live with each supervisor; no direct data entry, a computed view.</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41</w:t>
            </w:r>
          </w:p>
        </w:tc>
        <w:tc>
          <w:tcPr>
            <w:tcW w:type="dxa" w:w="2522"/>
          </w:tcPr>
          <w:p>
            <w:pPr>
              <w:pStyle w:val="Compact"/>
              <w:jc w:val="left"/>
            </w:pPr>
            <w:r>
              <w:rPr>
                <w:bCs/>
                <w:b/>
                <w:sz w:val="22"/>
              </w:rPr>
              <w:t xml:space="preserve">[PM]</w:t>
            </w:r>
            <w:r>
              <w:rPr>
                <w:sz w:val="22"/>
              </w:rPr>
              <w:t xml:space="preserve"> </w:t>
            </w:r>
            <w:r>
              <w:rPr>
                <w:sz w:val="22"/>
              </w:rPr>
              <w:t xml:space="preserve">Finalize the go-live runbook draft with Change Management input on coaching readiness.</w:t>
            </w:r>
          </w:p>
        </w:tc>
        <w:tc>
          <w:tcPr>
            <w:tcW w:type="dxa" w:w="2522"/>
          </w:tcPr>
          <w:p>
            <w:pPr>
              <w:pStyle w:val="Compact"/>
              <w:jc w:val="left"/>
            </w:pPr>
            <w:r>
              <w:rPr>
                <w:bCs/>
                <w:b/>
                <w:sz w:val="22"/>
              </w:rPr>
              <w:t xml:space="preserve">[CM]</w:t>
            </w:r>
            <w:r>
              <w:rPr>
                <w:sz w:val="22"/>
              </w:rPr>
              <w:t xml:space="preserve"> </w:t>
            </w:r>
            <w:r>
              <w:rPr>
                <w:sz w:val="22"/>
              </w:rPr>
              <w:t xml:space="preserve">Confirm each supervisor’s go-live-week coaching plan (Task 4, Step 2) — type in, for Kenitra:</w:t>
            </w:r>
            <w:r>
              <w:rPr>
                <w:sz w:val="22"/>
              </w:rPr>
              <w:t xml:space="preserve"> </w:t>
            </w:r>
            <w:r>
              <w:rPr>
                <w:sz w:val="22"/>
              </w:rPr>
              <w:t xml:space="preserve">“</w:t>
            </w:r>
            <w:r>
              <w:rPr>
                <w:sz w:val="22"/>
              </w:rPr>
              <w:t xml:space="preserve">Yassine Bouhali to run a 15-minute floor huddle at shift start, first 2 weeks post-go-live, focused on the stock-movement screen.</w:t>
            </w:r>
            <w:r>
              <w:rPr>
                <w:sz w:val="22"/>
              </w:rPr>
              <w:t xml:space="preserve">”</w:t>
            </w:r>
          </w:p>
        </w:tc>
        <w:tc>
          <w:tcPr>
            <w:tcW w:type="dxa" w:w="3258"/>
          </w:tcPr>
          <w:p>
            <w:pPr>
              <w:pStyle w:val="Compact"/>
              <w:jc w:val="left"/>
            </w:pPr>
            <w:r>
              <w:rPr>
                <w:sz w:val="22"/>
              </w:rPr>
              <w:t xml:space="preserve">M11 (Manager as Coach) — coaching-plan note logged against each supervisor.</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42</w:t>
            </w:r>
          </w:p>
        </w:tc>
        <w:tc>
          <w:tcPr>
            <w:tcW w:type="dxa" w:w="2522"/>
          </w:tcPr>
          <w:p>
            <w:pPr>
              <w:pStyle w:val="Compact"/>
              <w:jc w:val="left"/>
            </w:pPr>
            <w:r>
              <w:rPr>
                <w:bCs/>
                <w:b/>
                <w:sz w:val="22"/>
              </w:rPr>
              <w:t xml:space="preserve">[PM]</w:t>
            </w:r>
            <w:r>
              <w:rPr>
                <w:sz w:val="22"/>
              </w:rPr>
              <w:t xml:space="preserve"> </w:t>
            </w:r>
            <w:r>
              <w:rPr>
                <w:sz w:val="22"/>
              </w:rPr>
              <w:t xml:space="preserve">Confirm the Phase 5 gate alongside Change Management’s cohort-level readiness call.</w:t>
            </w:r>
          </w:p>
        </w:tc>
        <w:tc>
          <w:tcPr>
            <w:tcW w:type="dxa" w:w="2522"/>
          </w:tcPr>
          <w:p>
            <w:pPr>
              <w:pStyle w:val="Compact"/>
              <w:jc w:val="left"/>
            </w:pPr>
            <w:r>
              <w:rPr>
                <w:bCs/>
                <w:b/>
                <w:sz w:val="22"/>
              </w:rPr>
              <w:t xml:space="preserve">[CM]</w:t>
            </w:r>
            <w:r>
              <w:rPr>
                <w:sz w:val="22"/>
              </w:rPr>
              <w:t xml:space="preserve"> </w:t>
            </w:r>
            <w:r>
              <w:rPr>
                <w:sz w:val="22"/>
              </w:rPr>
              <w:t xml:space="preserve">Confirm cohort-level go/no-go readiness against benchmarking bands on M14 (Analytics) — Casablanca and Kenitra clear cleanly; Settat clears with a coaching note attached, reflecting the Week 39 recovery, not full parity.</w:t>
            </w:r>
          </w:p>
        </w:tc>
        <w:tc>
          <w:tcPr>
            <w:tcW w:type="dxa" w:w="3258"/>
          </w:tcPr>
          <w:p>
            <w:pPr>
              <w:pStyle w:val="Compact"/>
              <w:jc w:val="left"/>
            </w:pPr>
            <w:r>
              <w:rPr>
                <w:sz w:val="22"/>
              </w:rPr>
              <w:t xml:space="preserve">M14 (Analytics) — go/no-go status recorded per cohort: Casablanca Go; Kenitra Go; Settat Go with coaching note.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Train closes once cohort-level go/no-go readiness is confirmed against benchmarking bands on M14 (Analytics) — a per-cohort call, not a single project-wide one, since Bouregreg’s three sites are not required to reach readiness on the same week.</w:t>
      </w:r>
    </w:p>
    <w:p>
      <w:pPr>
        <w:pStyle w:val="BodyText"/>
      </w:pPr>
      <w:r>
        <w:rPr>
          <w:bCs/>
          <w:b/>
          <w:sz w:val="25"/>
        </w:rPr>
        <w:t xml:space="preserve">SIPOC.</w:t>
      </w:r>
      <w:r>
        <w:rPr>
          <w:sz w:val="25"/>
        </w:rPr>
        <w:t xml:space="preserve"> </w:t>
      </w:r>
      <w:r>
        <w:rPr>
          <w:sz w:val="25"/>
        </w:rPr>
        <w:t xml:space="preserve">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pPr>
      <w:r>
        <w:rPr>
          <w:bCs/>
          <w:b/>
          <w:sz w:val="25"/>
        </w:rPr>
        <w:t xml:space="preserve">RACSI for this phase.</w:t>
      </w:r>
      <w:r>
        <w:rPr>
          <w:sz w:val="25"/>
        </w:rPr>
        <w:t xml:space="preserve"> </w:t>
      </w:r>
      <w:r>
        <w:rPr>
          <w:sz w:val="25"/>
        </w:rPr>
        <w:t xml:space="preserve">R = CM, SUP · A = CM · C = FPO · S = PM · I = ES, EU</w:t>
      </w:r>
    </w:p>
    <w:p>
      <w:pPr>
        <w:pStyle w:val="BodyText"/>
      </w:pPr>
    </w:p>
    <w:bookmarkEnd w:id="41"/>
    <w:bookmarkStart w:id="42" w:name="phase-6-deploy-w43"/>
    <w:p>
      <w:pPr>
        <w:pStyle w:val="Heading4"/>
      </w:pPr>
      <w:r>
        <w:rPr>
          <w:b/>
          <w:color w:val="5A8F89"/>
          <w:sz w:val="26"/>
        </w:rPr>
        <w:t xml:space="preserve">Phase 6 — Deploy (W43)</w:t>
      </w:r>
    </w:p>
    <w:p>
      <w:pPr>
        <w:pStyle w:val="FirstParagraph"/>
      </w:pPr>
      <w:r>
        <w:rPr>
          <w:bCs/>
          <w:b/>
          <w:sz w:val="25"/>
        </w:rPr>
        <w:t xml:space="preserve">Framework readings at close:</w:t>
      </w:r>
      <w:r>
        <w:rPr>
          <w:sz w:val="25"/>
        </w:rPr>
        <w:t xml:space="preserve"> </w:t>
      </w:r>
      <w:r>
        <w:rPr>
          <w:sz w:val="25"/>
        </w:rPr>
        <w:t xml:space="preserve">Lewin Change (provisional toward Refreeze) · ADKAR focus Ability · Bridges Neutral Zone → New Beginning (provisional) · Kübler-Ross Exploration.</w:t>
      </w:r>
    </w:p>
    <w:p>
      <w:pPr>
        <w:pStyle w:val="BodyText"/>
      </w:pPr>
      <w:r>
        <w:rPr>
          <w:sz w:val="25"/>
        </w:rPr>
        <w:t xml:space="preserve">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Day</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43, Day 1 (Mon)</w:t>
            </w:r>
          </w:p>
        </w:tc>
        <w:tc>
          <w:tcPr>
            <w:tcW w:type="dxa" w:w="2522"/>
          </w:tcPr>
          <w:p>
            <w:pPr>
              <w:pStyle w:val="Compact"/>
              <w:jc w:val="left"/>
            </w:pPr>
            <w:r>
              <w:rPr>
                <w:bCs/>
                <w:b/>
                <w:sz w:val="22"/>
              </w:rPr>
              <w:t xml:space="preserve">[PM]</w:t>
            </w:r>
            <w:r>
              <w:rPr>
                <w:sz w:val="22"/>
              </w:rPr>
              <w:t xml:space="preserve"> </w:t>
            </w:r>
            <w:r>
              <w:rPr>
                <w:sz w:val="22"/>
              </w:rPr>
              <w:t xml:space="preserve">Freeze legacy-system data entry at the agreed cutoff (Task 1, Step 1) — type in the freeze notice:</w:t>
            </w:r>
            <w:r>
              <w:rPr>
                <w:sz w:val="22"/>
              </w:rPr>
              <w:t xml:space="preserve"> </w:t>
            </w:r>
            <w:r>
              <w:rPr>
                <w:sz w:val="22"/>
              </w:rPr>
              <w:t xml:space="preserve">“</w:t>
            </w:r>
            <w:r>
              <w:rPr>
                <w:sz w:val="22"/>
              </w:rPr>
              <w:t xml:space="preserve">Legacy systems locked for data entry as of 06:00, Day 1. All three sites confirmed.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Stand by; confirm all champions and supervisors are on-site and briefed for go-live week.</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Data Freeze</w:t>
            </w:r>
            <w:r>
              <w:rPr>
                <w:sz w:val="22"/>
              </w:rPr>
              <w:t xml:space="preserve">”</w:t>
            </w:r>
            <w:r>
              <w:rPr>
                <w:sz w:val="22"/>
              </w:rPr>
              <w:t xml:space="preserve"> </w:t>
            </w:r>
            <w:r>
              <w:rPr>
                <w:sz w:val="22"/>
              </w:rPr>
              <w:t xml:space="preserve">marked complete, actual date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2 (Tue)</w:t>
            </w:r>
          </w:p>
        </w:tc>
        <w:tc>
          <w:tcPr>
            <w:tcW w:type="dxa" w:w="2522"/>
          </w:tcPr>
          <w:p>
            <w:pPr>
              <w:pStyle w:val="Compact"/>
              <w:jc w:val="left"/>
            </w:pPr>
            <w:r>
              <w:rPr>
                <w:bCs/>
                <w:b/>
                <w:sz w:val="22"/>
              </w:rPr>
              <w:t xml:space="preserve">[PM]</w:t>
            </w:r>
            <w:r>
              <w:rPr>
                <w:sz w:val="22"/>
              </w:rPr>
              <w:t xml:space="preserve"> </w:t>
            </w:r>
            <w:r>
              <w:rPr>
                <w:sz w:val="22"/>
              </w:rPr>
              <w:t xml:space="preserve">Run the final migration and reconcile the result (Task 1, Step 2) — type in:</w:t>
            </w:r>
            <w:r>
              <w:rPr>
                <w:sz w:val="22"/>
              </w:rPr>
              <w:t xml:space="preserve"> </w:t>
            </w:r>
            <w:r>
              <w:rPr>
                <w:sz w:val="22"/>
              </w:rPr>
              <w:t xml:space="preserve">“</w:t>
            </w:r>
            <w:r>
              <w:rPr>
                <w:sz w:val="22"/>
              </w:rPr>
              <w:t xml:space="preserve">Final migration run 02:00–05:00. Reconciliation: 100% of frozen records matched migrated records across Order Management, Inventory, Finance. 0 discrepancies.</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Hold; prepare the go-live confirmation message draft for Day 4.</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Final Migration &amp; Reconciliation</w:t>
            </w:r>
            <w:r>
              <w:rPr>
                <w:sz w:val="22"/>
              </w:rPr>
              <w:t xml:space="preserve">”</w:t>
            </w:r>
            <w:r>
              <w:rPr>
                <w:sz w:val="22"/>
              </w:rPr>
              <w:t xml:space="preserve"> </w:t>
            </w:r>
            <w:r>
              <w:rPr>
                <w:sz w:val="22"/>
              </w:rPr>
              <w:t xml:space="preserve">marked complete.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3 (Wed)</w:t>
            </w:r>
          </w:p>
        </w:tc>
        <w:tc>
          <w:tcPr>
            <w:tcW w:type="dxa" w:w="2522"/>
          </w:tcPr>
          <w:p>
            <w:pPr>
              <w:pStyle w:val="Compact"/>
              <w:jc w:val="left"/>
            </w:pPr>
            <w:r>
              <w:rPr>
                <w:bCs/>
                <w:b/>
                <w:sz w:val="22"/>
              </w:rPr>
              <w:t xml:space="preserve">[PM]</w:t>
            </w:r>
            <w:r>
              <w:rPr>
                <w:sz w:val="22"/>
              </w:rPr>
              <w:t xml:space="preserve"> </w:t>
            </w:r>
            <w:r>
              <w:rPr>
                <w:sz w:val="22"/>
              </w:rPr>
              <w:t xml:space="preserve">Execute the cutover runbook step by step (Task 2, Step 1); validate the live platform against acceptance criteria (Task 2, Step 2).</w:t>
            </w:r>
          </w:p>
        </w:tc>
        <w:tc>
          <w:tcPr>
            <w:tcW w:type="dxa" w:w="2522"/>
          </w:tcPr>
          <w:p>
            <w:pPr>
              <w:pStyle w:val="Compact"/>
              <w:jc w:val="left"/>
            </w:pPr>
            <w:r>
              <w:rPr>
                <w:bCs/>
                <w:b/>
                <w:sz w:val="22"/>
              </w:rPr>
              <w:t xml:space="preserve">[CM]</w:t>
            </w:r>
            <w:r>
              <w:rPr>
                <w:sz w:val="22"/>
              </w:rPr>
              <w:t xml:space="preserve"> </w:t>
            </w:r>
            <w:r>
              <w:rPr>
                <w:sz w:val="22"/>
              </w:rPr>
              <w:t xml:space="preserve">Stand by for the technical validation sign-off before finalizing the Day 4 communication.</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Cutover Runbook &amp; Technical Validation</w:t>
            </w:r>
            <w:r>
              <w:rPr>
                <w:sz w:val="22"/>
              </w:rPr>
              <w:t xml:space="preserve">”</w:t>
            </w:r>
            <w:r>
              <w:rPr>
                <w:sz w:val="22"/>
              </w:rPr>
              <w:t xml:space="preserve"> </w:t>
            </w:r>
            <w:r>
              <w:rPr>
                <w:sz w:val="22"/>
              </w:rPr>
              <w:t xml:space="preserve">marked complete; Phase Gate pre-check recorded as Go.</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4 (Thu)</w:t>
            </w:r>
          </w:p>
        </w:tc>
        <w:tc>
          <w:tcPr>
            <w:tcW w:type="dxa" w:w="2522"/>
          </w:tcPr>
          <w:p>
            <w:pPr>
              <w:pStyle w:val="Compact"/>
              <w:jc w:val="left"/>
            </w:pPr>
            <w:r>
              <w:rPr>
                <w:bCs/>
                <w:b/>
                <w:sz w:val="22"/>
              </w:rPr>
              <w:t xml:space="preserve">[PM]</w:t>
            </w:r>
            <w:r>
              <w:rPr>
                <w:sz w:val="22"/>
              </w:rPr>
              <w:t xml:space="preserve"> </w:t>
            </w:r>
            <w:r>
              <w:rPr>
                <w:sz w:val="22"/>
              </w:rPr>
              <w:t xml:space="preserve">Confirm technical go-live is clean; hand off to Change Management for the go-live announcement.</w:t>
            </w:r>
          </w:p>
        </w:tc>
        <w:tc>
          <w:tcPr>
            <w:tcW w:type="dxa" w:w="2522"/>
          </w:tcPr>
          <w:p>
            <w:pPr>
              <w:pStyle w:val="Compact"/>
              <w:jc w:val="left"/>
            </w:pPr>
            <w:r>
              <w:rPr>
                <w:bCs/>
                <w:b/>
                <w:sz w:val="22"/>
              </w:rPr>
              <w:t xml:space="preserve">[CM]</w:t>
            </w:r>
            <w:r>
              <w:rPr>
                <w:sz w:val="22"/>
              </w:rPr>
              <w:t xml:space="preserve"> </w:t>
            </w:r>
            <w:r>
              <w:rPr>
                <w:sz w:val="22"/>
              </w:rPr>
              <w:t xml:space="preserve">Draft and send the go-live confirmation to all three sites (Task 3, Steps 1–2), timed against M8 (Communications)’s saturation check.</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Bouregreg’s unified platform is live as of today. Your training, job aids, and supervisor support are all in place — use the system for every transaction from now on.</w:t>
            </w:r>
            <w:r>
              <w:rPr>
                <w:sz w:val="22"/>
              </w:rPr>
              <w:t xml:space="preserve">”</w:t>
            </w:r>
            <w:r>
              <w:rPr>
                <w:sz w:val="22"/>
              </w:rPr>
              <w:t xml:space="preserve"> </w:t>
            </w:r>
            <w:r>
              <w:rPr>
                <w:sz w:val="22"/>
              </w:rPr>
              <w:t xml:space="preserve">· Audience: All 3,400 staff · Channel: Email + site noticeboards + supervisor cascade · Timing: Day 4, 07:00, ahead of first shift · Status: Sent. Checked against M8 (Communications)’s saturation detection first — no other communication queued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5 (Fri)</w:t>
            </w:r>
          </w:p>
        </w:tc>
        <w:tc>
          <w:tcPr>
            <w:tcW w:type="dxa" w:w="2522"/>
          </w:tcPr>
          <w:p>
            <w:pPr>
              <w:pStyle w:val="Compact"/>
              <w:jc w:val="left"/>
            </w:pPr>
            <w:r>
              <w:rPr>
                <w:bCs/>
                <w:b/>
                <w:sz w:val="22"/>
              </w:rPr>
              <w:t xml:space="preserve">[PM]</w:t>
            </w:r>
            <w:r>
              <w:rPr>
                <w:sz w:val="22"/>
              </w:rPr>
              <w:t xml:space="preserve"> </w:t>
            </w:r>
            <w:r>
              <w:rPr>
                <w:sz w:val="22"/>
              </w:rPr>
              <w:t xml:space="preserve">Monitor first-week technical stability; log any Day 1–5 defect to the Risk Register.</w:t>
            </w:r>
          </w:p>
        </w:tc>
        <w:tc>
          <w:tcPr>
            <w:tcW w:type="dxa" w:w="2522"/>
          </w:tcPr>
          <w:p>
            <w:pPr>
              <w:pStyle w:val="Compact"/>
              <w:jc w:val="left"/>
            </w:pPr>
            <w:r>
              <w:rPr>
                <w:bCs/>
                <w:b/>
                <w:sz w:val="22"/>
              </w:rPr>
              <w:t xml:space="preserve">[CM]</w:t>
            </w:r>
            <w:r>
              <w:rPr>
                <w:sz w:val="22"/>
              </w:rPr>
              <w:t xml:space="preserve"> </w:t>
            </w:r>
            <w:r>
              <w:rPr>
                <w:sz w:val="22"/>
              </w:rPr>
              <w:t xml:space="preserve">Activate the hypercare support model (Task 4, Step 1); mark Lewin as provisional on M3 (Initiative Registry)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Change → Refreeze (provisional). Technical go-live clean across all three sites (Days 1–4). Emotional-layer evidence (Bridges, Kübler-Ross) still pending re-pulse — see Exception E3 (Two-Clock Problem at Deploy). Not calling confirmed Refreeze on the go-live date alone.</w:t>
            </w:r>
            <w:r>
              <w:rPr>
                <w:sz w:val="22"/>
              </w:rPr>
              <w:t xml:space="preserve">”</w:t>
            </w:r>
          </w:p>
        </w:tc>
        <w:tc>
          <w:tcPr>
            <w:tcW w:type="dxa" w:w="1261"/>
          </w:tcPr>
          <w:p>
            <w:pPr>
              <w:pStyle w:val="Compact"/>
              <w:jc w:val="left"/>
            </w:pPr>
            <w:r>
              <w:rPr>
                <w:sz w:val="22"/>
              </w:rPr>
              <w:t xml:space="preserve">E3 (Two-Clock Problem at Deploy) — opens</w:t>
            </w:r>
          </w:p>
        </w:tc>
      </w:tr>
    </w:tbl>
    <w:p>
      <w:pPr>
        <w:pStyle w:val="BodyText"/>
      </w:pPr>
      <w:r>
        <w:rPr>
          <w:bCs/>
          <w:b/>
          <w:sz w:val="25"/>
        </w:rPr>
        <w:t xml:space="preserve">Phase gate:</w:t>
      </w:r>
      <w:r>
        <w:rPr>
          <w:sz w:val="25"/>
        </w:rPr>
        <w:t xml:space="preserve"> </w:t>
      </w:r>
      <w:r>
        <w:rPr>
          <w:sz w:val="25"/>
        </w:rPr>
        <w:t xml:space="preserve">Deploy closes on a clean technical go-live; the Lewin call explicitly does not close here, and stays provisional into Hypercare.</w:t>
      </w:r>
    </w:p>
    <w:p>
      <w:pPr>
        <w:pStyle w:val="BodyText"/>
      </w:pPr>
      <w:r>
        <w:rPr>
          <w:bCs/>
          <w:b/>
          <w:sz w:val="25"/>
        </w:rPr>
        <w:t xml:space="preserve">SIPOC.</w:t>
      </w:r>
      <w:r>
        <w:rPr>
          <w:sz w:val="25"/>
        </w:rPr>
        <w:t xml:space="preserve"> </w:t>
      </w:r>
      <w:r>
        <w:rPr>
          <w:sz w:val="25"/>
        </w:rPr>
        <w:t xml:space="preserve">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pPr>
      <w:r>
        <w:rPr>
          <w:bCs/>
          <w:b/>
          <w:sz w:val="25"/>
        </w:rPr>
        <w:t xml:space="preserve">RACSI for this phase.</w:t>
      </w:r>
      <w:r>
        <w:rPr>
          <w:sz w:val="25"/>
        </w:rPr>
        <w:t xml:space="preserve"> </w:t>
      </w:r>
      <w:r>
        <w:rPr>
          <w:sz w:val="25"/>
        </w:rPr>
        <w:t xml:space="preserve">R = ITL, PM · A = ES · C = CM · S = SUP · I = EU</w:t>
      </w:r>
    </w:p>
    <w:p>
      <w:pPr>
        <w:pStyle w:val="BodyText"/>
      </w:pPr>
    </w:p>
    <w:bookmarkEnd w:id="42"/>
    <w:bookmarkStart w:id="43" w:name="phase-7-hypercare-w4350"/>
    <w:p>
      <w:pPr>
        <w:pStyle w:val="Heading4"/>
      </w:pPr>
      <w:r>
        <w:rPr>
          <w:b/>
          <w:color w:val="5A8F89"/>
          <w:sz w:val="26"/>
        </w:rPr>
        <w:t xml:space="preserve">Phase 7 — Hypercare (W43–50)</w:t>
      </w:r>
    </w:p>
    <w:p>
      <w:pPr>
        <w:pStyle w:val="FirstParagraph"/>
      </w:pPr>
      <w:r>
        <w:rPr>
          <w:bCs/>
          <w:b/>
          <w:sz w:val="25"/>
        </w:rPr>
        <w:t xml:space="preserve">Framework readings at close:</w:t>
      </w:r>
      <w:r>
        <w:rPr>
          <w:sz w:val="25"/>
        </w:rPr>
        <w:t xml:space="preserve"> </w:t>
      </w:r>
      <w:r>
        <w:rPr>
          <w:sz w:val="25"/>
        </w:rPr>
        <w:t xml:space="preserve">Lewin Change → Refreeze (provisional, confirming) · ADKAR focus Ability → Reinforcement · Bridges New Beginning · Kübler-Ross Exploration → Commitment.</w:t>
      </w:r>
    </w:p>
    <w:p>
      <w:pPr>
        <w:pStyle w:val="BodyText"/>
      </w:pPr>
      <w:r>
        <w:rPr>
          <w:sz w:val="25"/>
        </w:rPr>
        <w:t xml:space="preserve">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44</w:t>
            </w:r>
          </w:p>
        </w:tc>
        <w:tc>
          <w:tcPr>
            <w:tcW w:type="dxa" w:w="2522"/>
          </w:tcPr>
          <w:p>
            <w:pPr>
              <w:pStyle w:val="Compact"/>
              <w:jc w:val="left"/>
            </w:pPr>
            <w:r>
              <w:rPr>
                <w:bCs/>
                <w:b/>
                <w:sz w:val="22"/>
              </w:rPr>
              <w:t xml:space="preserve">[PM]</w:t>
            </w:r>
            <w:r>
              <w:rPr>
                <w:sz w:val="22"/>
              </w:rPr>
              <w:t xml:space="preserve"> </w:t>
            </w:r>
            <w:r>
              <w:rPr>
                <w:sz w:val="22"/>
              </w:rPr>
              <w:t xml:space="preserve">Review the M14 (Analytics) adoption dashboard daily (Task 2, Step 1) — track transaction volume and error rate per site.</w:t>
            </w:r>
          </w:p>
        </w:tc>
        <w:tc>
          <w:tcPr>
            <w:tcW w:type="dxa" w:w="2522"/>
          </w:tcPr>
          <w:p>
            <w:pPr>
              <w:pStyle w:val="Compact"/>
              <w:jc w:val="left"/>
            </w:pPr>
            <w:r>
              <w:rPr>
                <w:bCs/>
                <w:b/>
                <w:sz w:val="22"/>
              </w:rPr>
              <w:t xml:space="preserve">[CM]</w:t>
            </w:r>
            <w:r>
              <w:rPr>
                <w:sz w:val="22"/>
              </w:rPr>
              <w:t xml:space="preserve"> </w:t>
            </w:r>
            <w:r>
              <w:rPr>
                <w:sz w:val="22"/>
              </w:rPr>
              <w:t xml:space="preserve">Continue elevated support desk staffing (Task 1); publish the escalation path to every site (Task 1, Step 2) — type in:</w:t>
            </w:r>
            <w:r>
              <w:rPr>
                <w:sz w:val="22"/>
              </w:rPr>
              <w:t xml:space="preserve"> </w:t>
            </w:r>
            <w:r>
              <w:rPr>
                <w:sz w:val="22"/>
              </w:rPr>
              <w:t xml:space="preserve">“</w:t>
            </w:r>
            <w:r>
              <w:rPr>
                <w:sz w:val="22"/>
              </w:rPr>
              <w:t xml:space="preserve">Escalation: floor issue → supervisor → elevated support desk (ext. 4400) → Driss El Amrani if unresolved in 2 hours.</w:t>
            </w:r>
            <w:r>
              <w:rPr>
                <w:sz w:val="22"/>
              </w:rPr>
              <w:t xml:space="preserve">”</w:t>
            </w:r>
          </w:p>
        </w:tc>
        <w:tc>
          <w:tcPr>
            <w:tcW w:type="dxa" w:w="3258"/>
          </w:tcPr>
          <w:p>
            <w:pPr>
              <w:pStyle w:val="Compact"/>
              <w:jc w:val="left"/>
            </w:pPr>
            <w:r>
              <w:rPr>
                <w:sz w:val="22"/>
              </w:rPr>
              <w:t xml:space="preserve">M13 (Risk Register) — any Day 1–5 defect logged in Week 43 reviewed and triaged; none open above Medium severity.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45</w:t>
            </w:r>
          </w:p>
        </w:tc>
        <w:tc>
          <w:tcPr>
            <w:tcW w:type="dxa" w:w="2522"/>
          </w:tcPr>
          <w:p>
            <w:pPr>
              <w:pStyle w:val="Compact"/>
              <w:jc w:val="left"/>
            </w:pPr>
            <w:r>
              <w:rPr>
                <w:bCs/>
                <w:b/>
                <w:sz w:val="22"/>
              </w:rPr>
              <w:t xml:space="preserve">[PM]</w:t>
            </w:r>
            <w:r>
              <w:rPr>
                <w:sz w:val="22"/>
              </w:rPr>
              <w:t xml:space="preserve"> </w:t>
            </w:r>
            <w:r>
              <w:rPr>
                <w:sz w:val="22"/>
              </w:rPr>
              <w:t xml:space="preserve">Triage any defect by severity and route it (Task 2, Step 2) — type in, for example:</w:t>
            </w:r>
            <w:r>
              <w:rPr>
                <w:sz w:val="22"/>
              </w:rPr>
              <w:t xml:space="preserve"> </w:t>
            </w:r>
            <w:r>
              <w:rPr>
                <w:sz w:val="22"/>
              </w:rPr>
              <w:t xml:space="preserve">“</w:t>
            </w:r>
            <w:r>
              <w:rPr>
                <w:sz w:val="22"/>
              </w:rPr>
              <w:t xml:space="preserve">Defect #31, Medium: inventory-matching logic mismatches a partial shipment at Kenitra. Routed to ITL, target fix Week 46.</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Re-score Bridges and Kübler-Ross at the 2-week mark (Task 3, Step 1) — type in: Casablanca Bridges = New Beginning, KR = Exploration; Kenitra Bridges = Neutral Zone, KR = Resistance/Anger (dip, tied to Defect #31); Settat Bridges = New Beginning, KR = Exploration.</w:t>
            </w:r>
          </w:p>
        </w:tc>
        <w:tc>
          <w:tcPr>
            <w:tcW w:type="dxa" w:w="3258"/>
          </w:tcPr>
          <w:p>
            <w:pPr>
              <w:pStyle w:val="Compact"/>
              <w:jc w:val="left"/>
            </w:pPr>
            <w:r>
              <w:rPr>
                <w:sz w:val="22"/>
              </w:rPr>
              <w:t xml:space="preserve">M6 (Emotional &amp; Transition Layer) — scores as above. Kenitra’s dip is the trigger for Exception E4 (Sentiment Regression During Hypercare).</w:t>
            </w:r>
          </w:p>
        </w:tc>
        <w:tc>
          <w:tcPr>
            <w:tcW w:type="dxa" w:w="1261"/>
          </w:tcPr>
          <w:p>
            <w:pPr>
              <w:pStyle w:val="Compact"/>
              <w:jc w:val="left"/>
            </w:pPr>
            <w:r>
              <w:rPr>
                <w:sz w:val="22"/>
              </w:rPr>
              <w:t xml:space="preserve">E4 (Sentiment Regression During Hypercare) — trigger week</w:t>
            </w:r>
          </w:p>
        </w:tc>
      </w:tr>
      <w:tr>
        <w:tc>
          <w:tcPr>
            <w:tcW w:type="dxa" w:w="946"/>
          </w:tcPr>
          <w:p>
            <w:pPr>
              <w:pStyle w:val="Compact"/>
              <w:jc w:val="left"/>
            </w:pPr>
            <w:r>
              <w:rPr>
                <w:bCs/>
                <w:b/>
                <w:sz w:val="22"/>
              </w:rPr>
              <w:t xml:space="preserve">Week 46</w:t>
            </w:r>
          </w:p>
        </w:tc>
        <w:tc>
          <w:tcPr>
            <w:tcW w:type="dxa" w:w="2522"/>
          </w:tcPr>
          <w:p>
            <w:pPr>
              <w:pStyle w:val="Compact"/>
              <w:jc w:val="left"/>
            </w:pPr>
            <w:r>
              <w:rPr>
                <w:bCs/>
                <w:b/>
                <w:sz w:val="22"/>
              </w:rPr>
              <w:t xml:space="preserve">[PM]</w:t>
            </w:r>
            <w:r>
              <w:rPr>
                <w:sz w:val="22"/>
              </w:rPr>
              <w:t xml:space="preserve"> </w:t>
            </w:r>
            <w:r>
              <w:rPr>
                <w:sz w:val="22"/>
              </w:rPr>
              <w:t xml:space="preserve">Resolve Defect #31 (the inventory-matching mismatch) — type in:</w:t>
            </w:r>
            <w:r>
              <w:rPr>
                <w:sz w:val="22"/>
              </w:rPr>
              <w:t xml:space="preserve"> </w:t>
            </w:r>
            <w:r>
              <w:rPr>
                <w:sz w:val="22"/>
              </w:rPr>
              <w:t xml:space="preserve">“</w:t>
            </w:r>
            <w:r>
              <w:rPr>
                <w:sz w:val="22"/>
              </w:rPr>
              <w:t xml:space="preserve">Defect #31 closed 46 [date]. Root cause: split-shipment edge case not covered in Build’s Principle 2 configuration. Fix deployed and validated.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type="dxa" w:w="3258"/>
          </w:tcPr>
          <w:p>
            <w:pPr>
              <w:pStyle w:val="Compact"/>
              <w:jc w:val="left"/>
            </w:pPr>
            <w:r>
              <w:rPr>
                <w:sz w:val="22"/>
              </w:rPr>
              <w:t xml:space="preserve">M11 (Manager as Coach) — Kenitra supervisor’s coaching action logged:</w:t>
            </w:r>
            <w:r>
              <w:rPr>
                <w:sz w:val="22"/>
              </w:rPr>
              <w:t xml:space="preserve"> </w:t>
            </w:r>
            <w:r>
              <w:rPr>
                <w:sz w:val="22"/>
              </w:rPr>
              <w:t xml:space="preserve">“</w:t>
            </w:r>
            <w:r>
              <w:rPr>
                <w:sz w:val="22"/>
              </w:rPr>
              <w:t xml:space="preserve">Team huddle held 46 [date], Defect #31 fix explained, stock-count step walked through live.</w:t>
            </w:r>
            <w:r>
              <w:rPr>
                <w:sz w:val="22"/>
              </w:rPr>
              <w:t xml:space="preserve">”</w:t>
            </w:r>
          </w:p>
        </w:tc>
        <w:tc>
          <w:tcPr>
            <w:tcW w:type="dxa" w:w="1261"/>
          </w:tcPr>
          <w:p>
            <w:pPr>
              <w:pStyle w:val="Compact"/>
              <w:jc w:val="left"/>
            </w:pPr>
            <w:r>
              <w:rPr>
                <w:sz w:val="22"/>
              </w:rPr>
              <w:t xml:space="preserve">E4 (Sentiment Regression During Hypercare) — Recovery Tasks 1–4</w:t>
            </w:r>
          </w:p>
        </w:tc>
      </w:tr>
      <w:tr>
        <w:tc>
          <w:tcPr>
            <w:tcW w:type="dxa" w:w="946"/>
          </w:tcPr>
          <w:p>
            <w:pPr>
              <w:pStyle w:val="Compact"/>
              <w:jc w:val="left"/>
            </w:pPr>
            <w:r>
              <w:rPr>
                <w:bCs/>
                <w:b/>
                <w:sz w:val="22"/>
              </w:rPr>
              <w:t xml:space="preserve">Week 47</w:t>
            </w:r>
          </w:p>
        </w:tc>
        <w:tc>
          <w:tcPr>
            <w:tcW w:type="dxa" w:w="2522"/>
          </w:tcPr>
          <w:p>
            <w:pPr>
              <w:pStyle w:val="Compact"/>
              <w:jc w:val="left"/>
            </w:pPr>
            <w:r>
              <w:rPr>
                <w:bCs/>
                <w:b/>
                <w:sz w:val="22"/>
              </w:rPr>
              <w:t xml:space="preserve">[PM]</w:t>
            </w:r>
            <w:r>
              <w:rPr>
                <w:sz w:val="22"/>
              </w:rPr>
              <w:t xml:space="preserve"> </w:t>
            </w:r>
            <w:r>
              <w:rPr>
                <w:sz w:val="22"/>
              </w:rPr>
              <w:t xml:space="preserve">Confirm Defect #31’s fix is stable in production; no recurrence.</w:t>
            </w:r>
          </w:p>
        </w:tc>
        <w:tc>
          <w:tcPr>
            <w:tcW w:type="dxa" w:w="2522"/>
          </w:tcPr>
          <w:p>
            <w:pPr>
              <w:pStyle w:val="Compact"/>
              <w:jc w:val="left"/>
            </w:pPr>
            <w:r>
              <w:rPr>
                <w:bCs/>
                <w:b/>
                <w:sz w:val="22"/>
              </w:rPr>
              <w:t xml:space="preserve">[CM]</w:t>
            </w:r>
            <w:r>
              <w:rPr>
                <w:sz w:val="22"/>
              </w:rPr>
              <w:t xml:space="preserve"> </w:t>
            </w:r>
            <w:r>
              <w:rPr>
                <w:sz w:val="22"/>
              </w:rPr>
              <w:t xml:space="preserve">Repeat the re-pulse at the 4-week mark and compare the trend (Task 3, Step 2); re-pulse Kenitra specifically per E4’s Recovery Task 5.</w:t>
            </w:r>
          </w:p>
        </w:tc>
        <w:tc>
          <w:tcPr>
            <w:tcW w:type="dxa" w:w="3258"/>
          </w:tcPr>
          <w:p>
            <w:pPr>
              <w:pStyle w:val="Compact"/>
              <w:jc w:val="left"/>
            </w:pPr>
            <w:r>
              <w:rPr>
                <w:sz w:val="22"/>
              </w:rPr>
              <w:t xml:space="preserve">M6 (Emotional &amp; Transition Layer) — Kenitra re-scored: Bridges = New Beginning, KR = Exploration — recovered. Casablanca and Settat both confirmed stable or improved.</w:t>
            </w:r>
          </w:p>
        </w:tc>
        <w:tc>
          <w:tcPr>
            <w:tcW w:type="dxa" w:w="1261"/>
          </w:tcPr>
          <w:p>
            <w:pPr>
              <w:pStyle w:val="Compact"/>
              <w:jc w:val="left"/>
            </w:pPr>
            <w:r>
              <w:rPr>
                <w:sz w:val="22"/>
              </w:rPr>
              <w:t xml:space="preserve">E4 (Sentiment Regression During Hypercare) — closes</w:t>
            </w:r>
          </w:p>
        </w:tc>
      </w:tr>
      <w:tr>
        <w:tc>
          <w:tcPr>
            <w:tcW w:type="dxa" w:w="946"/>
          </w:tcPr>
          <w:p>
            <w:pPr>
              <w:pStyle w:val="Compact"/>
              <w:jc w:val="left"/>
            </w:pPr>
            <w:r>
              <w:rPr>
                <w:bCs/>
                <w:b/>
                <w:sz w:val="22"/>
              </w:rPr>
              <w:t xml:space="preserve">Week 48</w:t>
            </w:r>
          </w:p>
        </w:tc>
        <w:tc>
          <w:tcPr>
            <w:tcW w:type="dxa" w:w="2522"/>
          </w:tcPr>
          <w:p>
            <w:pPr>
              <w:pStyle w:val="Compact"/>
              <w:jc w:val="left"/>
            </w:pPr>
            <w:r>
              <w:rPr>
                <w:bCs/>
                <w:b/>
                <w:sz w:val="22"/>
              </w:rPr>
              <w:t xml:space="preserve">[PM]</w:t>
            </w:r>
            <w:r>
              <w:rPr>
                <w:sz w:val="22"/>
              </w:rPr>
              <w:t xml:space="preserve"> </w:t>
            </w:r>
            <w:r>
              <w:rPr>
                <w:sz w:val="22"/>
              </w:rPr>
              <w:t xml:space="preserve">Begin early Sustain-phase planning in parallel (see Phase 8, Week 48).</w:t>
            </w:r>
          </w:p>
        </w:tc>
        <w:tc>
          <w:tcPr>
            <w:tcW w:type="dxa" w:w="2522"/>
          </w:tcPr>
          <w:p>
            <w:pPr>
              <w:pStyle w:val="Compact"/>
              <w:jc w:val="left"/>
            </w:pPr>
            <w:r>
              <w:rPr>
                <w:bCs/>
                <w:b/>
                <w:sz w:val="22"/>
              </w:rPr>
              <w:t xml:space="preserve">[CM]</w:t>
            </w:r>
            <w:r>
              <w:rPr>
                <w:sz w:val="22"/>
              </w:rPr>
              <w:t xml:space="preserve"> </w:t>
            </w:r>
            <w:r>
              <w:rPr>
                <w:sz w:val="22"/>
              </w:rPr>
              <w:t xml:space="preserve">Identify any cohort whose re-pulse moved backward (Task 4, Step 1) — confirm none remain, following Week 47’s recovery; close out Exception E6 (Cohort Divergence Across Sites)’s standing disaggregated reporting for this phase.</w:t>
            </w:r>
          </w:p>
        </w:tc>
        <w:tc>
          <w:tcPr>
            <w:tcW w:type="dxa" w:w="3258"/>
          </w:tcPr>
          <w:p>
            <w:pPr>
              <w:pStyle w:val="Compact"/>
              <w:jc w:val="left"/>
            </w:pPr>
            <w:r>
              <w:rPr>
                <w:sz w:val="22"/>
              </w:rPr>
              <w:t xml:space="preserve">M14 (Analytics) — Composite Readiness Index by site: Casablanca 82%, Kenitra 76%, Settat 74% — the gap from Week 37 has narrowed substantially.</w:t>
            </w:r>
          </w:p>
        </w:tc>
        <w:tc>
          <w:tcPr>
            <w:tcW w:type="dxa" w:w="1261"/>
          </w:tcPr>
          <w:p>
            <w:pPr>
              <w:pStyle w:val="Compact"/>
              <w:jc w:val="left"/>
            </w:pPr>
            <w:r>
              <w:rPr>
                <w:sz w:val="22"/>
              </w:rPr>
              <w:t xml:space="preserve">E6 (Cohort Divergence Across Sites) — closes</w:t>
            </w:r>
          </w:p>
        </w:tc>
      </w:tr>
      <w:tr>
        <w:tc>
          <w:tcPr>
            <w:tcW w:type="dxa" w:w="946"/>
          </w:tcPr>
          <w:p>
            <w:pPr>
              <w:pStyle w:val="Compact"/>
              <w:jc w:val="left"/>
            </w:pPr>
            <w:r>
              <w:rPr>
                <w:bCs/>
                <w:b/>
                <w:sz w:val="22"/>
              </w:rPr>
              <w:t xml:space="preserve">Week 49</w:t>
            </w:r>
          </w:p>
        </w:tc>
        <w:tc>
          <w:tcPr>
            <w:tcW w:type="dxa" w:w="2522"/>
          </w:tcPr>
          <w:p>
            <w:pPr>
              <w:pStyle w:val="Compact"/>
              <w:jc w:val="left"/>
            </w:pPr>
            <w:r>
              <w:rPr>
                <w:bCs/>
                <w:b/>
                <w:sz w:val="22"/>
              </w:rPr>
              <w:t xml:space="preserve">[PM]</w:t>
            </w:r>
            <w:r>
              <w:rPr>
                <w:sz w:val="22"/>
              </w:rPr>
              <w:t xml:space="preserve"> </w:t>
            </w:r>
            <w:r>
              <w:rPr>
                <w:sz w:val="22"/>
              </w:rPr>
              <w:t xml:space="preserve">Draft the support-taper plan, moving from elevated staffing toward standard service levels.</w:t>
            </w:r>
          </w:p>
        </w:tc>
        <w:tc>
          <w:tcPr>
            <w:tcW w:type="dxa" w:w="2522"/>
          </w:tcPr>
          <w:p>
            <w:pPr>
              <w:pStyle w:val="Compact"/>
              <w:jc w:val="left"/>
            </w:pPr>
            <w:r>
              <w:rPr>
                <w:bCs/>
                <w:b/>
                <w:sz w:val="22"/>
              </w:rPr>
              <w:t xml:space="preserve">[CM]</w:t>
            </w:r>
            <w:r>
              <w:rPr>
                <w:sz w:val="22"/>
              </w:rPr>
              <w:t xml:space="preserve"> </w:t>
            </w:r>
            <w:r>
              <w:rPr>
                <w:sz w:val="22"/>
              </w:rPr>
              <w:t xml:space="preserve">Run targeted floor coaching on M11 (Manager as Coach) for any residual weak block identified across the three sites’ latest scores.</w:t>
            </w:r>
          </w:p>
        </w:tc>
        <w:tc>
          <w:tcPr>
            <w:tcW w:type="dxa" w:w="3258"/>
          </w:tcPr>
          <w:p>
            <w:pPr>
              <w:pStyle w:val="Compact"/>
              <w:jc w:val="left"/>
            </w:pPr>
            <w:r>
              <w:rPr>
                <w:sz w:val="22"/>
              </w:rPr>
              <w:t xml:space="preserve">M11 (Manager as Coach) — final Hypercare-phase coaching actions logged per site.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50</w:t>
            </w:r>
          </w:p>
        </w:tc>
        <w:tc>
          <w:tcPr>
            <w:tcW w:type="dxa" w:w="2522"/>
          </w:tcPr>
          <w:p>
            <w:pPr>
              <w:pStyle w:val="Compact"/>
              <w:jc w:val="left"/>
            </w:pPr>
            <w:r>
              <w:rPr>
                <w:bCs/>
                <w:b/>
                <w:sz w:val="22"/>
              </w:rPr>
              <w:t xml:space="preserve">[PM]</w:t>
            </w:r>
            <w:r>
              <w:rPr>
                <w:sz w:val="22"/>
              </w:rPr>
              <w:t xml:space="preserve"> </w:t>
            </w:r>
            <w:r>
              <w:rPr>
                <w:sz w:val="22"/>
              </w:rPr>
              <w:t xml:space="preserve">Confirm the Phase 7 gate: adoption metrics stabilized, support taper plan approved.</w:t>
            </w:r>
          </w:p>
        </w:tc>
        <w:tc>
          <w:tcPr>
            <w:tcW w:type="dxa" w:w="2522"/>
          </w:tcPr>
          <w:p>
            <w:pPr>
              <w:pStyle w:val="Compact"/>
              <w:jc w:val="left"/>
            </w:pPr>
            <w:r>
              <w:rPr>
                <w:bCs/>
                <w:b/>
                <w:sz w:val="22"/>
              </w:rPr>
              <w:t xml:space="preserve">[CM]</w:t>
            </w:r>
            <w:r>
              <w:rPr>
                <w:sz w:val="22"/>
              </w:rPr>
              <w:t xml:space="preserve"> </w:t>
            </w:r>
            <w:r>
              <w:rPr>
                <w:sz w:val="22"/>
              </w:rPr>
              <w:t xml:space="preserve">Confirm Bridges reads New Beginning and Kübler-Ross reads Exploration or better across all three sites — Exception E3 (Two-Clock Problem at Deploy)’s confirming evidence is now complete.</w:t>
            </w:r>
          </w:p>
        </w:tc>
        <w:tc>
          <w:tcPr>
            <w:tcW w:type="dxa" w:w="3258"/>
          </w:tcPr>
          <w:p>
            <w:pPr>
              <w:pStyle w:val="Compact"/>
              <w:jc w:val="left"/>
            </w:pPr>
            <w:r>
              <w:rPr>
                <w:sz w:val="22"/>
              </w:rPr>
              <w:t xml:space="preserve">M3 (Initiative Registry) — Lewin justification updated:</w:t>
            </w:r>
            <w:r>
              <w:rPr>
                <w:sz w:val="22"/>
              </w:rPr>
              <w:t xml:space="preserve"> </w:t>
            </w:r>
            <w:r>
              <w:rPr>
                <w:sz w:val="22"/>
              </w:rPr>
              <w:t xml:space="preserve">“</w:t>
            </w:r>
            <w:r>
              <w:rPr>
                <w:sz w:val="22"/>
              </w:rPr>
              <w:t xml:space="preserve">Provisional Refreeze confirmed by Week 45/47 re-pulse trend across all three sites. Confirming Refreeze formally in Sustain once 30-day checkpoint data lands.</w:t>
            </w:r>
            <w:r>
              <w:rPr>
                <w:sz w:val="22"/>
              </w:rPr>
              <w:t xml:space="preserve">”</w:t>
            </w:r>
          </w:p>
        </w:tc>
        <w:tc>
          <w:tcPr>
            <w:tcW w:type="dxa" w:w="1261"/>
          </w:tcPr>
          <w:p>
            <w:pPr>
              <w:pStyle w:val="Compact"/>
              <w:jc w:val="left"/>
            </w:pPr>
            <w:r>
              <w:rPr>
                <w:sz w:val="22"/>
              </w:rPr>
              <w:t xml:space="preserve">E3 (Two-Clock Problem at Deploy) — evidence complete</w:t>
            </w:r>
          </w:p>
        </w:tc>
      </w:tr>
    </w:tbl>
    <w:p>
      <w:pPr>
        <w:pStyle w:val="BodyText"/>
      </w:pPr>
      <w:r>
        <w:rPr>
          <w:bCs/>
          <w:b/>
          <w:sz w:val="25"/>
        </w:rPr>
        <w:t xml:space="preserve">Phase gate:</w:t>
      </w:r>
      <w:r>
        <w:rPr>
          <w:sz w:val="25"/>
        </w:rPr>
        <w:t xml:space="preserve"> </w:t>
      </w:r>
      <w:r>
        <w:rPr>
          <w:sz w:val="25"/>
        </w:rPr>
        <w:t xml:space="preserve">Hypercare closes once the re-pulse confirms Bridges has genuinely moved to New Beginning and Kübler-Ross reads Exploration or better across all three sites — not on the calendar alone.</w:t>
      </w:r>
    </w:p>
    <w:p>
      <w:pPr>
        <w:pStyle w:val="BodyText"/>
      </w:pPr>
      <w:r>
        <w:rPr>
          <w:bCs/>
          <w:b/>
          <w:sz w:val="25"/>
        </w:rPr>
        <w:t xml:space="preserve">SIPOC.</w:t>
      </w:r>
      <w:r>
        <w:rPr>
          <w:sz w:val="25"/>
        </w:rPr>
        <w:t xml:space="preserve"> </w:t>
      </w:r>
      <w:r>
        <w:rPr>
          <w:sz w:val="25"/>
        </w:rPr>
        <w:t xml:space="preserve">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pPr>
      <w:r>
        <w:rPr>
          <w:bCs/>
          <w:b/>
          <w:sz w:val="25"/>
        </w:rPr>
        <w:t xml:space="preserve">RACSI for this phase.</w:t>
      </w:r>
      <w:r>
        <w:rPr>
          <w:sz w:val="25"/>
        </w:rPr>
        <w:t xml:space="preserve"> </w:t>
      </w:r>
      <w:r>
        <w:rPr>
          <w:sz w:val="25"/>
        </w:rPr>
        <w:t xml:space="preserve">R = CM, SUP · A = CM · C = ITL, PM · S = FPO · I = ES, EU</w:t>
      </w:r>
    </w:p>
    <w:p>
      <w:pPr>
        <w:pStyle w:val="BodyText"/>
      </w:pPr>
    </w:p>
    <w:bookmarkEnd w:id="43"/>
    <w:bookmarkStart w:id="44" w:name="phase-8-sustain-w4864"/>
    <w:p>
      <w:pPr>
        <w:pStyle w:val="Heading4"/>
      </w:pPr>
      <w:r>
        <w:rPr>
          <w:b/>
          <w:color w:val="5A8F89"/>
          <w:sz w:val="26"/>
        </w:rPr>
        <w:t xml:space="preserve">Phase 8 — Sustain (W48–64)</w:t>
      </w:r>
    </w:p>
    <w:p>
      <w:pPr>
        <w:pStyle w:val="FirstParagraph"/>
      </w:pPr>
      <w:r>
        <w:rPr>
          <w:bCs/>
          <w:b/>
          <w:sz w:val="25"/>
        </w:rPr>
        <w:t xml:space="preserve">Framework readings at close:</w:t>
      </w:r>
      <w:r>
        <w:rPr>
          <w:sz w:val="25"/>
        </w:rPr>
        <w:t xml:space="preserve"> </w:t>
      </w:r>
      <w:r>
        <w:rPr>
          <w:sz w:val="25"/>
        </w:rPr>
        <w:t xml:space="preserve">Lewin Refreeze (confirmed) · ADKAR focus Reinforcement · Bridges New Beginning · Kübler-Ross Commitment.</w:t>
      </w:r>
    </w:p>
    <w:p>
      <w:pPr>
        <w:pStyle w:val="BodyText"/>
      </w:pPr>
      <w:r>
        <w:rPr>
          <w:sz w:val="25"/>
        </w:rPr>
        <w:t xml:space="preserve">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51</w:t>
            </w:r>
          </w:p>
        </w:tc>
        <w:tc>
          <w:tcPr>
            <w:tcW w:type="dxa" w:w="2522"/>
          </w:tcPr>
          <w:p>
            <w:pPr>
              <w:pStyle w:val="Compact"/>
              <w:jc w:val="left"/>
            </w:pPr>
            <w:r>
              <w:rPr>
                <w:bCs/>
                <w:b/>
                <w:sz w:val="22"/>
              </w:rPr>
              <w:t xml:space="preserve">[PM]</w:t>
            </w:r>
            <w:r>
              <w:rPr>
                <w:sz w:val="22"/>
              </w:rPr>
              <w:t xml:space="preserve"> </w:t>
            </w:r>
            <w:r>
              <w:rPr>
                <w:sz w:val="22"/>
              </w:rPr>
              <w:t xml:space="preserve">Formally hand off the ERP Platform Unification Main Project’s remaining technical backlog to business-as-usual IT support.</w:t>
            </w:r>
          </w:p>
        </w:tc>
        <w:tc>
          <w:tcPr>
            <w:tcW w:type="dxa" w:w="2522"/>
          </w:tcPr>
          <w:p>
            <w:pPr>
              <w:pStyle w:val="Compact"/>
              <w:jc w:val="left"/>
            </w:pPr>
            <w:r>
              <w:rPr>
                <w:bCs/>
                <w:b/>
                <w:sz w:val="22"/>
              </w:rPr>
              <w:t xml:space="preserve">[CM]</w:t>
            </w:r>
            <w:r>
              <w:rPr>
                <w:sz w:val="22"/>
              </w:rPr>
              <w:t xml:space="preserve"> </w:t>
            </w:r>
            <w:r>
              <w:rPr>
                <w:sz w:val="22"/>
              </w:rPr>
              <w:t xml:space="preserve">Agree the new-process metrics with HR (Task 1, Step 1) — type in:</w:t>
            </w:r>
            <w:r>
              <w:rPr>
                <w:sz w:val="22"/>
              </w:rPr>
              <w:t xml:space="preserve"> </w:t>
            </w:r>
            <w:r>
              <w:rPr>
                <w:sz w:val="22"/>
              </w:rPr>
              <w:t xml:space="preserve">“</w:t>
            </w:r>
            <w:r>
              <w:rPr>
                <w:sz w:val="22"/>
              </w:rPr>
              <w:t xml:space="preserve">Order-to-cash cycle time (target: under 3 days); inventory reconciliation accuracy (target: 99%); duplicate-entry incidents (target: 0/month).</w:t>
            </w:r>
            <w:r>
              <w:rPr>
                <w:sz w:val="22"/>
              </w:rPr>
              <w:t xml:space="preserve">”</w:t>
            </w:r>
          </w:p>
        </w:tc>
        <w:tc>
          <w:tcPr>
            <w:tcW w:type="dxa" w:w="3258"/>
          </w:tcPr>
          <w:p>
            <w:pPr>
              <w:pStyle w:val="Compact"/>
              <w:jc w:val="left"/>
            </w:pPr>
            <w:r>
              <w:rPr>
                <w:sz w:val="22"/>
              </w:rPr>
              <w:t xml:space="preserve">No direct journi entry — metrics agreed with HR outside journi, referenced in the Week 52 confirmation.</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52</w:t>
            </w:r>
          </w:p>
        </w:tc>
        <w:tc>
          <w:tcPr>
            <w:tcW w:type="dxa" w:w="2522"/>
          </w:tcPr>
          <w:p>
            <w:pPr>
              <w:pStyle w:val="Compact"/>
              <w:jc w:val="left"/>
            </w:pPr>
            <w:r>
              <w:rPr>
                <w:bCs/>
                <w:b/>
                <w:sz w:val="22"/>
              </w:rPr>
              <w:t xml:space="preserve">[PM]</w:t>
            </w:r>
            <w:r>
              <w:rPr>
                <w:sz w:val="22"/>
              </w:rPr>
              <w:t xml:space="preserve"> </w:t>
            </w:r>
            <w:r>
              <w:rPr>
                <w:sz w:val="22"/>
              </w:rPr>
              <w:t xml:space="preserve">Support HR’s integration of the new metrics into the performance-management system.</w:t>
            </w:r>
          </w:p>
        </w:tc>
        <w:tc>
          <w:tcPr>
            <w:tcW w:type="dxa" w:w="2522"/>
          </w:tcPr>
          <w:p>
            <w:pPr>
              <w:pStyle w:val="Compact"/>
              <w:jc w:val="left"/>
            </w:pPr>
            <w:r>
              <w:rPr>
                <w:bCs/>
                <w:b/>
                <w:sz w:val="22"/>
              </w:rPr>
              <w:t xml:space="preserve">[CM]</w:t>
            </w:r>
            <w:r>
              <w:rPr>
                <w:sz w:val="22"/>
              </w:rPr>
              <w:t xml:space="preserve"> </w:t>
            </w:r>
            <w:r>
              <w:rPr>
                <w:sz w:val="22"/>
              </w:rPr>
              <w:t xml:space="preserve">Confirm the metrics are live in the next review cycle (Task 1, Step 2); run the 60-day checkpoint review.</w:t>
            </w:r>
          </w:p>
        </w:tc>
        <w:tc>
          <w:tcPr>
            <w:tcW w:type="dxa" w:w="3258"/>
          </w:tcPr>
          <w:p>
            <w:pPr>
              <w:pStyle w:val="Compact"/>
              <w:jc w:val="left"/>
            </w:pPr>
            <w:r>
              <w:rPr>
                <w:sz w:val="22"/>
              </w:rPr>
              <w:t xml:space="preserve">M12 (Sustainment) — 60-day checkpoint entry: type in status</w:t>
            </w:r>
            <w:r>
              <w:rPr>
                <w:sz w:val="22"/>
              </w:rPr>
              <w:t xml:space="preserve"> </w:t>
            </w:r>
            <w:r>
              <w:rPr>
                <w:sz w:val="22"/>
              </w:rPr>
              <w:t xml:space="preserve">“</w:t>
            </w:r>
            <w:r>
              <w:rPr>
                <w:sz w:val="22"/>
              </w:rPr>
              <w:t xml:space="preserve">Complete</w:t>
            </w:r>
            <w:r>
              <w:rPr>
                <w:sz w:val="22"/>
              </w:rPr>
              <w:t xml:space="preserve">”</w:t>
            </w:r>
            <w:r>
              <w:rPr>
                <w:sz w:val="22"/>
              </w:rPr>
              <w:t xml:space="preserve">, regression risk</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Casablanca and Kenitra,</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Settat (recovered per Weeks 20–24 and 38–39).</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Confirm recognition and manager check-in mechanisms are running (Task 2, Step 1) — type in:</w:t>
            </w:r>
            <w:r>
              <w:rPr>
                <w:sz w:val="22"/>
              </w:rPr>
              <w:t xml:space="preserve"> </w:t>
            </w:r>
            <w:r>
              <w:rPr>
                <w:sz w:val="22"/>
              </w:rPr>
              <w:t xml:space="preserve">“</w:t>
            </w:r>
            <w:r>
              <w:rPr>
                <w:sz w:val="22"/>
              </w:rPr>
              <w:t xml:space="preserve">Verified: monthly recognition email active at all 3 sites; weekly manager check-ins confirmed via supervisor sign-off log.</w:t>
            </w:r>
            <w:r>
              <w:rPr>
                <w:sz w:val="22"/>
              </w:rPr>
              <w:t xml:space="preserve">”</w:t>
            </w:r>
          </w:p>
        </w:tc>
        <w:tc>
          <w:tcPr>
            <w:tcW w:type="dxa" w:w="3258"/>
          </w:tcPr>
          <w:p>
            <w:pPr>
              <w:pStyle w:val="Compact"/>
              <w:jc w:val="left"/>
            </w:pPr>
            <w:r>
              <w:rPr>
                <w:sz w:val="22"/>
              </w:rPr>
              <w:t xml:space="preserve">M12 (Sustainment) — reinforcement-mechanism confirmation logged against the 60-day checkpoint.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54</w:t>
            </w:r>
          </w:p>
        </w:tc>
        <w:tc>
          <w:tcPr>
            <w:tcW w:type="dxa" w:w="2522"/>
          </w:tcPr>
          <w:p>
            <w:pPr>
              <w:pStyle w:val="Compact"/>
              <w:jc w:val="left"/>
            </w:pPr>
            <w:r>
              <w:rPr>
                <w:bCs/>
                <w:b/>
                <w:sz w:val="22"/>
              </w:rPr>
              <w:t xml:space="preserve">[PM]</w:t>
            </w:r>
            <w:r>
              <w:rPr>
                <w:sz w:val="22"/>
              </w:rPr>
              <w:t xml:space="preserve"> </w:t>
            </w:r>
            <w:r>
              <w:rPr>
                <w:sz w:val="22"/>
              </w:rPr>
              <w:t xml:space="preserve">Confirm with ITL that legacy-system licenses are scheduled for formal decommission.</w:t>
            </w:r>
          </w:p>
        </w:tc>
        <w:tc>
          <w:tcPr>
            <w:tcW w:type="dxa" w:w="2522"/>
          </w:tcPr>
          <w:p>
            <w:pPr>
              <w:pStyle w:val="Compact"/>
              <w:jc w:val="left"/>
            </w:pPr>
            <w:r>
              <w:rPr>
                <w:bCs/>
                <w:b/>
                <w:sz w:val="22"/>
              </w:rPr>
              <w:t xml:space="preserve">[CM]</w:t>
            </w:r>
            <w:r>
              <w:rPr>
                <w:sz w:val="22"/>
              </w:rPr>
              <w:t xml:space="preserve"> </w:t>
            </w:r>
            <w:r>
              <w:rPr>
                <w:sz w:val="22"/>
              </w:rPr>
              <w:t xml:space="preserve">Confirm legacy-system access is genuinely revoked (Task 2, Step 2) — type in:</w:t>
            </w:r>
            <w:r>
              <w:rPr>
                <w:sz w:val="22"/>
              </w:rPr>
              <w:t xml:space="preserve"> </w:t>
            </w:r>
            <w:r>
              <w:rPr>
                <w:sz w:val="22"/>
              </w:rPr>
              <w:t xml:space="preserve">“</w:t>
            </w:r>
            <w:r>
              <w:rPr>
                <w:sz w:val="22"/>
              </w:rPr>
              <w:t xml:space="preserve">Legacy system access revoked for all 3,400 users as of 54 [date]. Verified via ITL access log — 0 active legacy sessions.</w:t>
            </w:r>
            <w:r>
              <w:rPr>
                <w:sz w:val="22"/>
              </w:rPr>
              <w:t xml:space="preserve">”</w:t>
            </w:r>
          </w:p>
        </w:tc>
        <w:tc>
          <w:tcPr>
            <w:tcW w:type="dxa" w:w="3258"/>
          </w:tcPr>
          <w:p>
            <w:pPr>
              <w:pStyle w:val="Compact"/>
              <w:jc w:val="left"/>
            </w:pPr>
            <w:r>
              <w:rPr>
                <w:sz w:val="22"/>
              </w:rPr>
              <w:t xml:space="preserve">M12 (Sustainment) — fallback-access-closure confirmation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55</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Monitor adoption metrics ahead of the 90-day checkpoint.</w:t>
            </w:r>
          </w:p>
        </w:tc>
        <w:tc>
          <w:tcPr>
            <w:tcW w:type="dxa" w:w="3258"/>
          </w:tcPr>
          <w:p>
            <w:pPr>
              <w:pStyle w:val="Compact"/>
              <w:jc w:val="left"/>
            </w:pPr>
            <w:r>
              <w:rPr>
                <w:sz w:val="22"/>
              </w:rPr>
              <w:t xml:space="preserve">M14 (Analytics) — Composite Readiness Index tracked weekly, no entry change.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90-day checkpoint review (Task 3, Step 1) — type in checkpoint result.</w:t>
            </w:r>
          </w:p>
        </w:tc>
        <w:tc>
          <w:tcPr>
            <w:tcW w:type="dxa" w:w="3258"/>
          </w:tcPr>
          <w:p>
            <w:pPr>
              <w:pStyle w:val="Compact"/>
              <w:jc w:val="left"/>
            </w:pPr>
            <w:r>
              <w:rPr>
                <w:sz w:val="22"/>
              </w:rPr>
              <w:t xml:space="preserve">M12 (Sustainment) — 90-day checkpoint entry: status</w:t>
            </w:r>
            <w:r>
              <w:rPr>
                <w:sz w:val="22"/>
              </w:rPr>
              <w:t xml:space="preserve"> </w:t>
            </w:r>
            <w:r>
              <w:rPr>
                <w:sz w:val="22"/>
              </w:rPr>
              <w:t xml:space="preserve">“</w:t>
            </w:r>
            <w:r>
              <w:rPr>
                <w:sz w:val="22"/>
              </w:rPr>
              <w:t xml:space="preserve">Complete</w:t>
            </w:r>
            <w:r>
              <w:rPr>
                <w:sz w:val="22"/>
              </w:rPr>
              <w:t xml:space="preserve">”</w:t>
            </w:r>
            <w:r>
              <w:rPr>
                <w:sz w:val="22"/>
              </w:rPr>
              <w:t xml:space="preserve">; ADKAR Reinforcement score entered as 2.6, below the 3.0 target across all three sites.</w:t>
            </w:r>
          </w:p>
        </w:tc>
        <w:tc>
          <w:tcPr>
            <w:tcW w:type="dxa" w:w="1261"/>
          </w:tcPr>
          <w:p>
            <w:pPr>
              <w:pStyle w:val="Compact"/>
              <w:jc w:val="left"/>
            </w:pPr>
            <w:r>
              <w:rPr>
                <w:sz w:val="22"/>
              </w:rPr>
              <w:t xml:space="preserve">E5 (Reinforcement Gap at Sustain) — trigger week</w:t>
            </w:r>
          </w:p>
        </w:tc>
      </w:tr>
      <w:tr>
        <w:tc>
          <w:tcPr>
            <w:tcW w:type="dxa" w:w="946"/>
          </w:tcPr>
          <w:p>
            <w:pPr>
              <w:pStyle w:val="Compact"/>
              <w:jc w:val="left"/>
            </w:pPr>
            <w:r>
              <w:rPr>
                <w:bCs/>
                <w:b/>
                <w:sz w:val="22"/>
              </w:rPr>
              <w:t xml:space="preserve">Week 57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the Reinforcement stall explicitly (E5’s Recovery Task 1) rather than letting Task 4’s closure proceed on schedule.</w:t>
            </w:r>
          </w:p>
        </w:tc>
        <w:tc>
          <w:tcPr>
            <w:tcW w:type="dxa" w:w="3258"/>
          </w:tcPr>
          <w:p>
            <w:pPr>
              <w:pStyle w:val="Compact"/>
              <w:jc w:val="left"/>
            </w:pPr>
            <w:r>
              <w:rPr>
                <w:sz w:val="22"/>
              </w:rPr>
              <w:t xml:space="preserve">M5 (ADKAR Engine) — Reinforcement flag logged with justification:</w:t>
            </w:r>
            <w:r>
              <w:rPr>
                <w:sz w:val="22"/>
              </w:rPr>
              <w:t xml:space="preserve"> </w:t>
            </w:r>
            <w:r>
              <w:rPr>
                <w:sz w:val="22"/>
              </w:rPr>
              <w:t xml:space="preserve">“</w:t>
            </w:r>
            <w:r>
              <w:rPr>
                <w:sz w:val="22"/>
              </w:rPr>
              <w:t xml:space="preserve">Score 2.6, below target. Root cause: manager check-ins tapered off after the 60-day checkpoint once daily hypercare tracking ended. Not proceeding to Refreeze/closure until resolved.</w:t>
            </w:r>
            <w:r>
              <w:rPr>
                <w:sz w:val="22"/>
              </w:rPr>
              <w:t xml:space="preserve">”</w:t>
            </w:r>
          </w:p>
        </w:tc>
        <w:tc>
          <w:tcPr>
            <w:tcW w:type="dxa" w:w="1261"/>
          </w:tcPr>
          <w:p>
            <w:pPr>
              <w:pStyle w:val="Compact"/>
              <w:jc w:val="left"/>
            </w:pPr>
            <w:r>
              <w:rPr>
                <w:sz w:val="22"/>
              </w:rPr>
              <w:t xml:space="preserve">E5 (Reinforcement Gap at Sustain) — Recovery Task 1</w:t>
            </w:r>
          </w:p>
        </w:tc>
      </w:tr>
      <w:tr>
        <w:tc>
          <w:tcPr>
            <w:tcW w:type="dxa" w:w="946"/>
          </w:tcPr>
          <w:p>
            <w:pPr>
              <w:pStyle w:val="Compact"/>
              <w:jc w:val="left"/>
            </w:pPr>
            <w:r>
              <w:rPr>
                <w:bCs/>
                <w:b/>
                <w:sz w:val="22"/>
              </w:rPr>
              <w:t xml:space="preserve">Week 58</w:t>
            </w:r>
          </w:p>
        </w:tc>
        <w:tc>
          <w:tcPr>
            <w:tcW w:type="dxa" w:w="2522"/>
          </w:tcPr>
          <w:p>
            <w:pPr>
              <w:pStyle w:val="Compact"/>
              <w:jc w:val="left"/>
            </w:pPr>
            <w:r>
              <w:rPr>
                <w:bCs/>
                <w:b/>
                <w:sz w:val="22"/>
              </w:rPr>
              <w:t xml:space="preserve">[PM]</w:t>
            </w:r>
            <w:r>
              <w:rPr>
                <w:sz w:val="22"/>
              </w:rPr>
              <w:t xml:space="preserve"> </w:t>
            </w:r>
            <w:r>
              <w:rPr>
                <w:sz w:val="22"/>
              </w:rPr>
              <w:t xml:space="preserve">Adjust the program closure timeline to reflect the delayed Refreeze call.</w:t>
            </w:r>
          </w:p>
        </w:tc>
        <w:tc>
          <w:tcPr>
            <w:tcW w:type="dxa" w:w="2522"/>
          </w:tcPr>
          <w:p>
            <w:pPr>
              <w:pStyle w:val="Compact"/>
              <w:jc w:val="left"/>
            </w:pPr>
            <w:r>
              <w:rPr>
                <w:bCs/>
                <w:b/>
                <w:sz w:val="22"/>
              </w:rPr>
              <w:t xml:space="preserve">[CM]</w:t>
            </w:r>
            <w:r>
              <w:rPr>
                <w:sz w:val="22"/>
              </w:rPr>
              <w:t xml:space="preserve"> </w:t>
            </w:r>
            <w:r>
              <w:rPr>
                <w:sz w:val="22"/>
              </w:rPr>
              <w:t xml:space="preserve">Reconvene the CFO to re-authorize a further checkpoint cadence (E5’s Recovery Task 2) — type in:</w:t>
            </w:r>
            <w:r>
              <w:rPr>
                <w:sz w:val="22"/>
              </w:rPr>
              <w:t xml:space="preserve"> </w:t>
            </w:r>
            <w:r>
              <w:rPr>
                <w:sz w:val="22"/>
              </w:rPr>
              <w:t xml:space="preserve">“</w:t>
            </w:r>
            <w:r>
              <w:rPr>
                <w:sz w:val="22"/>
              </w:rPr>
              <w:t xml:space="preserve">CFO re-authorized checkpoints at Weeks 61 and 64, extending beyond the original Week 56 close.</w:t>
            </w:r>
            <w:r>
              <w:rPr>
                <w:sz w:val="22"/>
              </w:rPr>
              <w:t xml:space="preserve">”</w:t>
            </w:r>
          </w:p>
        </w:tc>
        <w:tc>
          <w:tcPr>
            <w:tcW w:type="dxa" w:w="3258"/>
          </w:tcPr>
          <w:p>
            <w:pPr>
              <w:pStyle w:val="Compact"/>
              <w:jc w:val="left"/>
            </w:pPr>
            <w:r>
              <w:rPr>
                <w:sz w:val="22"/>
              </w:rPr>
              <w:t xml:space="preserve">M7 (Sponsor &amp; Coalition) — new sponsor action logged:</w:t>
            </w:r>
            <w:r>
              <w:rPr>
                <w:sz w:val="22"/>
              </w:rPr>
              <w:t xml:space="preserve"> </w:t>
            </w:r>
            <w:r>
              <w:rPr>
                <w:sz w:val="22"/>
              </w:rPr>
              <w:t xml:space="preserve">“</w:t>
            </w:r>
            <w:r>
              <w:rPr>
                <w:sz w:val="22"/>
              </w:rPr>
              <w:t xml:space="preserve">Re-authorize extended checkpoint cadence — 58 [date], CFO.</w:t>
            </w:r>
            <w:r>
              <w:rPr>
                <w:sz w:val="22"/>
              </w:rPr>
              <w:t xml:space="preserve">”</w:t>
            </w:r>
          </w:p>
        </w:tc>
        <w:tc>
          <w:tcPr>
            <w:tcW w:type="dxa" w:w="1261"/>
          </w:tcPr>
          <w:p>
            <w:pPr>
              <w:pStyle w:val="Compact"/>
              <w:jc w:val="left"/>
            </w:pPr>
            <w:r>
              <w:rPr>
                <w:sz w:val="22"/>
              </w:rPr>
              <w:t xml:space="preserve">E5 (Reinforcement Gap at Sustain) — Recovery Task 2</w:t>
            </w:r>
          </w:p>
        </w:tc>
      </w:tr>
      <w:tr>
        <w:tc>
          <w:tcPr>
            <w:tcW w:type="dxa" w:w="946"/>
          </w:tcPr>
          <w:p>
            <w:pPr>
              <w:pStyle w:val="Compact"/>
              <w:jc w:val="left"/>
            </w:pPr>
            <w:r>
              <w:rPr>
                <w:bCs/>
                <w:b/>
                <w:sz w:val="22"/>
              </w:rPr>
              <w:t xml:space="preserve">Week 59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Re-activate the champion network specifically for reinforcement (E5’s Recovery Task 3) — type in:</w:t>
            </w:r>
            <w:r>
              <w:rPr>
                <w:sz w:val="22"/>
              </w:rPr>
              <w:t xml:space="preserve"> </w:t>
            </w:r>
            <w:r>
              <w:rPr>
                <w:sz w:val="22"/>
              </w:rPr>
              <w:t xml:space="preserve">“</w:t>
            </w:r>
            <w:r>
              <w:rPr>
                <w:sz w:val="22"/>
              </w:rPr>
              <w:t xml:space="preserve">Amal Ferhati, Yassine Bouhali, and Rania Idrissi re-briefed on reinforcement-specific floor observation — manager check-in consistency, not adoption friction.</w:t>
            </w:r>
            <w:r>
              <w:rPr>
                <w:sz w:val="22"/>
              </w:rPr>
              <w:t xml:space="preserve">”</w:t>
            </w:r>
          </w:p>
        </w:tc>
        <w:tc>
          <w:tcPr>
            <w:tcW w:type="dxa" w:w="3258"/>
          </w:tcPr>
          <w:p>
            <w:pPr>
              <w:pStyle w:val="Compact"/>
              <w:jc w:val="left"/>
            </w:pPr>
            <w:r>
              <w:rPr>
                <w:sz w:val="22"/>
              </w:rPr>
              <w:t xml:space="preserve">M4 (Stakeholder Mapping) — champion entries updated with the re-activation note.</w:t>
            </w:r>
          </w:p>
        </w:tc>
        <w:tc>
          <w:tcPr>
            <w:tcW w:type="dxa" w:w="1261"/>
          </w:tcPr>
          <w:p>
            <w:pPr>
              <w:pStyle w:val="Compact"/>
              <w:jc w:val="left"/>
            </w:pPr>
            <w:r>
              <w:rPr>
                <w:sz w:val="22"/>
              </w:rPr>
              <w:t xml:space="preserve">E5 (Reinforcement Gap at Sustain) — Recovery Task 3</w:t>
            </w:r>
          </w:p>
        </w:tc>
      </w:tr>
      <w:tr>
        <w:tc>
          <w:tcPr>
            <w:tcW w:type="dxa" w:w="946"/>
          </w:tcPr>
          <w:p>
            <w:pPr>
              <w:pStyle w:val="Compact"/>
              <w:jc w:val="left"/>
            </w:pPr>
            <w:r>
              <w:rPr>
                <w:bCs/>
                <w:b/>
                <w:sz w:val="22"/>
              </w:rPr>
              <w:t xml:space="preserve">Week 60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Embed adoption metrics into the next performance-review cycle (E5’s Recovery Task 4), giving Reinforcement a structural home in HR’s cycle beyond the CM project’s own lifespan.</w:t>
            </w:r>
          </w:p>
        </w:tc>
        <w:tc>
          <w:tcPr>
            <w:tcW w:type="dxa" w:w="3258"/>
          </w:tcPr>
          <w:p>
            <w:pPr>
              <w:pStyle w:val="Compact"/>
              <w:jc w:val="left"/>
            </w:pPr>
            <w:r>
              <w:rPr>
                <w:sz w:val="22"/>
              </w:rPr>
              <w:t xml:space="preserve">No direct journi entry — coordinated with HR outside journi.</w:t>
            </w:r>
          </w:p>
        </w:tc>
        <w:tc>
          <w:tcPr>
            <w:tcW w:type="dxa" w:w="1261"/>
          </w:tcPr>
          <w:p>
            <w:pPr>
              <w:pStyle w:val="Compact"/>
              <w:jc w:val="left"/>
            </w:pPr>
            <w:r>
              <w:rPr>
                <w:sz w:val="22"/>
              </w:rPr>
              <w:t xml:space="preserve">E5 (Reinforcement Gap at Sustain) — Recovery Task 4</w:t>
            </w:r>
          </w:p>
        </w:tc>
      </w:tr>
      <w:tr>
        <w:tc>
          <w:tcPr>
            <w:tcW w:type="dxa" w:w="946"/>
          </w:tcPr>
          <w:p>
            <w:pPr>
              <w:pStyle w:val="Compact"/>
              <w:jc w:val="left"/>
            </w:pPr>
            <w:r>
              <w:rPr>
                <w:bCs/>
                <w:b/>
                <w:sz w:val="22"/>
              </w:rPr>
              <w:t xml:space="preserve">Week 61</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first extended checkpoint (per Week 58’s re-authorization) — type in checkpoint result.</w:t>
            </w:r>
          </w:p>
        </w:tc>
        <w:tc>
          <w:tcPr>
            <w:tcW w:type="dxa" w:w="3258"/>
          </w:tcPr>
          <w:p>
            <w:pPr>
              <w:pStyle w:val="Compact"/>
              <w:jc w:val="left"/>
            </w:pPr>
            <w:r>
              <w:rPr>
                <w:sz w:val="22"/>
              </w:rPr>
              <w:t xml:space="preserve">M12 (Sustainment) — checkpoint entry: ADKAR Reinforcement re-scored at 3.1 — first healthy reading since the Week 56 stall.</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62</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Continue monitoring; confirm the Week 61 improvement is holding, not a one-off reading.</w:t>
            </w:r>
          </w:p>
        </w:tc>
        <w:tc>
          <w:tcPr>
            <w:tcW w:type="dxa" w:w="3258"/>
          </w:tcPr>
          <w:p>
            <w:pPr>
              <w:pStyle w:val="Compact"/>
              <w:jc w:val="left"/>
            </w:pPr>
            <w:r>
              <w:rPr>
                <w:sz w:val="22"/>
              </w:rPr>
              <w:t xml:space="preserve">M14 (Analytics) — Composite Readiness Index trend confirmed stable across all three sites.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second extended checkpoint (E5’s Recovery Task 5, evidence-gated confirmation) — type in checkpoint result.</w:t>
            </w:r>
          </w:p>
        </w:tc>
        <w:tc>
          <w:tcPr>
            <w:tcW w:type="dxa" w:w="3258"/>
          </w:tcPr>
          <w:p>
            <w:pPr>
              <w:pStyle w:val="Compact"/>
              <w:jc w:val="left"/>
            </w:pPr>
            <w:r>
              <w:rPr>
                <w:sz w:val="22"/>
              </w:rPr>
              <w:t xml:space="preserve">M12 (Sustainment) — checkpoint entry: ADKAR Reinforcement = 3.3. Two consecutive healthy checkpoints (Weeks 61 and 63) now on record — E5 closes.</w:t>
            </w:r>
          </w:p>
        </w:tc>
        <w:tc>
          <w:tcPr>
            <w:tcW w:type="dxa" w:w="1261"/>
          </w:tcPr>
          <w:p>
            <w:pPr>
              <w:pStyle w:val="Compact"/>
              <w:jc w:val="left"/>
            </w:pPr>
            <w:r>
              <w:rPr>
                <w:sz w:val="22"/>
              </w:rPr>
              <w:t xml:space="preserve">E5 (Reinforcement Gap at Sustain) — closes</w:t>
            </w:r>
          </w:p>
        </w:tc>
      </w:tr>
      <w:tr>
        <w:tc>
          <w:tcPr>
            <w:tcW w:type="dxa" w:w="946"/>
          </w:tcPr>
          <w:p>
            <w:pPr>
              <w:pStyle w:val="Compact"/>
              <w:jc w:val="left"/>
            </w:pPr>
            <w:r>
              <w:rPr>
                <w:bCs/>
                <w:b/>
                <w:sz w:val="22"/>
              </w:rPr>
              <w:t xml:space="preserve">Week 64</w:t>
            </w:r>
          </w:p>
        </w:tc>
        <w:tc>
          <w:tcPr>
            <w:tcW w:type="dxa" w:w="2522"/>
          </w:tcPr>
          <w:p>
            <w:pPr>
              <w:pStyle w:val="Compact"/>
              <w:jc w:val="left"/>
            </w:pPr>
            <w:r>
              <w:rPr>
                <w:bCs/>
                <w:b/>
                <w:sz w:val="22"/>
              </w:rPr>
              <w:t xml:space="preserve">[PM]</w:t>
            </w:r>
            <w:r>
              <w:rPr>
                <w:sz w:val="22"/>
              </w:rPr>
              <w:t xml:space="preserve"> </w:t>
            </w:r>
            <w:r>
              <w:rPr>
                <w:sz w:val="22"/>
              </w:rPr>
              <w:t xml:space="preserve">Confirm the Phase 8 gate and formal program closure with the Steering Committee.</w:t>
            </w:r>
          </w:p>
        </w:tc>
        <w:tc>
          <w:tcPr>
            <w:tcW w:type="dxa" w:w="2522"/>
          </w:tcPr>
          <w:p>
            <w:pPr>
              <w:pStyle w:val="Compact"/>
              <w:jc w:val="left"/>
            </w:pPr>
            <w:r>
              <w:rPr>
                <w:bCs/>
                <w:b/>
                <w:sz w:val="22"/>
              </w:rPr>
              <w:t xml:space="preserve">[CM]</w:t>
            </w:r>
            <w:r>
              <w:rPr>
                <w:sz w:val="22"/>
              </w:rPr>
              <w:t xml:space="preserve"> </w:t>
            </w:r>
            <w:r>
              <w:rPr>
                <w:sz w:val="22"/>
              </w:rPr>
              <w:t xml:space="preserve">Review three consecutive healthy checkpoints (Task 4, Step 1); log Refreeze on M3 (Initiative Registry) and toggle sign-off on M12 (Sustainment)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Refreeze (confirmed). Checkpoints at Weeks 52, 61, and 63 all healthy; Week 56’s Reinforcement stall (E5) resolved and closed. Evidence reviewed with Steering Committee 64 [date].</w:t>
            </w:r>
            <w:r>
              <w:rPr>
                <w:sz w:val="22"/>
              </w:rPr>
              <w:t xml:space="preserve">”</w:t>
            </w:r>
            <w:r>
              <w:rPr>
                <w:sz w:val="22"/>
              </w:rPr>
              <w:t xml:space="preserve"> </w:t>
            </w:r>
            <w:r>
              <w:rPr>
                <w:sz w:val="22"/>
              </w:rPr>
              <w:t xml:space="preserve">M12 (Sustainment) — sign-off toggle set to complete; Bouregreg ERP Adoption Program formally closed.</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Sustain — and the program — closes on the sign-off toggle on M12 (Sustainment), blocked by ALT-015 (Part 5) if any checkpoint still carries an open High regression-risk flag.</w:t>
      </w:r>
    </w:p>
    <w:p>
      <w:pPr>
        <w:pStyle w:val="BodyText"/>
      </w:pPr>
      <w:r>
        <w:rPr>
          <w:bCs/>
          <w:b/>
          <w:sz w:val="25"/>
        </w:rPr>
        <w:t xml:space="preserve">SIPOC.</w:t>
      </w:r>
      <w:r>
        <w:rPr>
          <w:sz w:val="25"/>
        </w:rPr>
        <w:t xml:space="preserve"> </w:t>
      </w:r>
      <w:r>
        <w:rPr>
          <w:sz w:val="25"/>
        </w:rPr>
        <w:t xml:space="preserve">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pPr>
      <w:r>
        <w:rPr>
          <w:bCs/>
          <w:b/>
          <w:sz w:val="25"/>
        </w:rPr>
        <w:t xml:space="preserve">RACSI for this phase.</w:t>
      </w:r>
      <w:r>
        <w:rPr>
          <w:sz w:val="25"/>
        </w:rPr>
        <w:t xml:space="preserve"> </w:t>
      </w:r>
      <w:r>
        <w:rPr>
          <w:sz w:val="25"/>
        </w:rPr>
        <w:t xml:space="preserve">R = CM · A = ES · C = PM, FPO · S = SUP · I = EU</w:t>
      </w:r>
    </w:p>
    <w:p>
      <w:pPr>
        <w:pStyle w:val="BodyText"/>
      </w:pPr>
    </w:p>
    <w:bookmarkEnd w:id="44"/>
    <w:bookmarkStart w:id="45" w:name="Xc6b73c5214ce25f3e31cd7181b649bb6e2db9fd"/>
    <w:p>
      <w:pPr>
        <w:pStyle w:val="Heading4"/>
      </w:pPr>
      <w:r>
        <w:rPr>
          <w:b/>
          <w:color w:val="5A8F89"/>
          <w:sz w:val="26"/>
        </w:rPr>
        <w:t xml:space="preserve">Master WBS &amp; Gantt — Every Task and Step, PM and CM Tracks, Across the Four Frameworks</w:t>
      </w:r>
    </w:p>
    <w:p>
      <w:pPr>
        <w:pStyle w:val="FirstParagraph"/>
      </w:pPr>
      <w:r>
        <w:rPr>
          <w:sz w:val="25"/>
        </w:rPr>
        <w:t xml:space="preserve">The table below is the single master schedule for Bouregreg’s 64-week program: every Task and Step from all eight phases above, in one place, exactly as M17 (WBS &amp; Gantt)</w:t>
      </w:r>
      <w:r>
        <w:rPr>
          <w:sz w:val="25"/>
        </w:rPr>
        <w:t xml:space="preserve">‘</w:t>
      </w:r>
      <w:r>
        <w:rPr>
          <w:sz w:val="25"/>
        </w:rPr>
        <w:t xml:space="preserve">s real key fields hold them —</w:t>
      </w:r>
      <w:r>
        <w:rPr>
          <w:sz w:val="25"/>
        </w:rPr>
        <w:t xml:space="preserve"> </w:t>
      </w:r>
      <w:r>
        <w:rPr>
          <w:bCs/>
          <w:b/>
          <w:sz w:val="25"/>
        </w:rPr>
        <w:t xml:space="preserve">Task name; track (PM/CM/framework); baseline start/end date; actual start/end date; status</w:t>
      </w:r>
      <w:r>
        <w:rPr>
          <w:sz w:val="25"/>
        </w:rPr>
        <w:t xml:space="preserve"> </w:t>
      </w:r>
      <w:r>
        <w:rPr>
          <w:sz w:val="25"/>
        </w:rPr>
        <w:t xml:space="preserve">(Part 2, M17). Scope is the normal flow only (1B.3): the six exceptions</w:t>
      </w:r>
      <w:r>
        <w:rPr>
          <w:sz w:val="25"/>
        </w:rPr>
        <w:t xml:space="preserve">’</w:t>
      </w:r>
      <w:r>
        <w:rPr>
          <w:sz w:val="25"/>
        </w:rPr>
        <w:t xml:space="preserve"> </w:t>
      </w:r>
      <w:r>
        <w:rPr>
          <w:sz w:val="25"/>
        </w:rPr>
        <w:t xml:space="preserve">own Recovery Tasks keep their own numbering in 1B.4 and are cross-referenced here by ID, not re-numbered into this WBS, so the two schemes never collide.</w:t>
      </w:r>
    </w:p>
    <w:p>
      <w:pPr>
        <w:pStyle w:val="BodyText"/>
      </w:pPr>
      <w:r>
        <w:rPr>
          <w:bCs/>
          <w:b/>
          <w:sz w:val="25"/>
        </w:rPr>
        <w:t xml:space="preserve">How to read it.</w:t>
      </w:r>
      <w:r>
        <w:rPr>
          <w:sz w:val="25"/>
        </w:rPr>
        <w:t xml:space="preserve"> </w:t>
      </w:r>
      <w:r>
        <w:rPr>
          <w:sz w:val="25"/>
        </w:rPr>
        <w:t xml:space="preserve">Each phase’s four Tasks appear as a bold row (ID</w:t>
      </w:r>
      <w:r>
        <w:rPr>
          <w:sz w:val="25"/>
        </w:rPr>
        <w:t xml:space="preserve"> </w:t>
      </w:r>
      <w:r>
        <w:rPr>
          <w:rStyle w:val="VerbatimChar"/>
          <w:sz w:val="25"/>
        </w:rPr>
        <w:t xml:space="preserve">Pn-Tn</w:t>
      </w:r>
      <w:r>
        <w:rPr>
          <w:sz w:val="25"/>
        </w:rPr>
        <w:t xml:space="preserve">), followed by its Steps (ID</w:t>
      </w:r>
      <w:r>
        <w:rPr>
          <w:sz w:val="25"/>
        </w:rPr>
        <w:t xml:space="preserve"> </w:t>
      </w:r>
      <w:r>
        <w:rPr>
          <w:rStyle w:val="VerbatimChar"/>
          <w:sz w:val="25"/>
        </w:rPr>
        <w:t xml:space="preserve">Pn-Tn-Sn</w:t>
      </w:r>
      <w:r>
        <w:rPr>
          <w:sz w:val="25"/>
        </w:rPr>
        <w:t xml:space="preserve">) indented with</w:t>
      </w:r>
      <w:r>
        <w:rPr>
          <w:sz w:val="25"/>
        </w:rPr>
        <w:t xml:space="preserve"> </w:t>
      </w:r>
      <w:r>
        <w:rPr>
          <w:rStyle w:val="VerbatimChar"/>
          <w:sz w:val="25"/>
        </w:rPr>
        <w:t xml:space="preserve">↳</w:t>
      </w:r>
      <w:r>
        <w:rPr>
          <w:sz w:val="25"/>
        </w:rPr>
        <w:t xml:space="preserve">.</w:t>
      </w:r>
      <w:r>
        <w:rPr>
          <w:sz w:val="25"/>
        </w:rPr>
        <w:t xml:space="preserve"> </w:t>
      </w:r>
      <w:r>
        <w:rPr>
          <w:bCs/>
          <w:b/>
          <w:sz w:val="25"/>
        </w:rPr>
        <w:t xml:space="preserve">Track</w:t>
      </w:r>
      <w:r>
        <w:rPr>
          <w:sz w:val="25"/>
        </w:rPr>
        <w:t xml:space="preserve"> </w:t>
      </w:r>
      <w:r>
        <w:rPr>
          <w:sz w:val="25"/>
        </w:rPr>
        <w:t xml:space="preserve">names who executes it — PM, CM, or PM+CM where a Task’s two Steps split across both.</w:t>
      </w:r>
      <w:r>
        <w:rPr>
          <w:sz w:val="25"/>
        </w:rPr>
        <w:t xml:space="preserve"> </w:t>
      </w:r>
      <w:r>
        <w:rPr>
          <w:bCs/>
          <w:b/>
          <w:sz w:val="25"/>
        </w:rPr>
        <w:t xml:space="preserve">K-R</w:t>
      </w:r>
      <w:r>
        <w:rPr>
          <w:sz w:val="25"/>
        </w:rPr>
        <w:t xml:space="preserve"> </w:t>
      </w:r>
      <w:r>
        <w:rPr>
          <w:sz w:val="25"/>
        </w:rPr>
        <w:t xml:space="preserve">is Kübler-Ross. The four framework columns are populated only on the Step that actually sets or moves that framework’s reading on M3 (Initiative Registry), M5 (ADKAR Engine), or M6 (Emotional &amp; Transition Layer) — a blank cell means that Step doesn’t touch that framework, not that the framework is undefined at that point in time; read the phase’s</w:t>
      </w:r>
      <w:r>
        <w:rPr>
          <w:sz w:val="25"/>
        </w:rPr>
        <w:t xml:space="preserve"> </w:t>
      </w:r>
      <w:r>
        <w:rPr>
          <w:sz w:val="25"/>
        </w:rPr>
        <w:t xml:space="preserve">“</w:t>
      </w:r>
      <w:r>
        <w:rPr>
          <w:sz w:val="25"/>
        </w:rPr>
        <w:t xml:space="preserve">Framework readings at close</w:t>
      </w:r>
      <w:r>
        <w:rPr>
          <w:sz w:val="25"/>
        </w:rPr>
        <w:t xml:space="preserve">”</w:t>
      </w:r>
      <w:r>
        <w:rPr>
          <w:sz w:val="25"/>
        </w:rPr>
        <w:t xml:space="preserve"> </w:t>
      </w:r>
      <w:r>
        <w:rPr>
          <w:sz w:val="25"/>
        </w:rPr>
        <w:t xml:space="preserve">line (1B.3) for the standing value between movements.</w:t>
      </w:r>
    </w:p>
    <w:tbl>
      <w:tblPr>
        <w:tblStyle w:val="Table"/>
        <w:tblW w:type="pct" w:w="5000"/>
        <w:jc w:val="center"/>
        <w:tblLayout w:type="fixed"/>
        <w:tblLook w:firstRow="1" w:lastRow="0" w:firstColumn="0" w:lastColumn="0" w:noHBand="0" w:noVBand="0" w:val="0020"/>
      </w:tblPr>
      <w:tblGrid>
        <w:gridCol w:w="734263"/>
        <w:gridCol w:w="2136038"/>
        <w:gridCol w:w="400507"/>
        <w:gridCol w:w="267004"/>
        <w:gridCol w:w="467258"/>
        <w:gridCol w:w="534009"/>
        <w:gridCol w:w="867765"/>
        <w:gridCol w:w="734263"/>
        <w:gridCol w:w="534009"/>
      </w:tblGrid>
      <w:tr>
        <w:trPr>
          <w:tblHeader w:val="true"/>
          <w:cantSplit/>
        </w:trPr>
        <w:tc>
          <w:tcPr>
            <w:tcW w:type="dxa" w:w="1156"/>
            <w:shd w:val="clear" w:fill="1F4B45"/>
            <w:tcMar>
              <w:top w:w="20" w:type="dxa"/>
              <w:bottom w:w="20" w:type="dxa"/>
              <w:left w:w="40" w:type="dxa"/>
              <w:right w:w="40" w:type="dxa"/>
            </w:tcMar>
          </w:tcPr>
          <w:p>
            <w:pPr>
              <w:pStyle w:val="Compact"/>
              <w:jc w:val="left"/>
            </w:pPr>
            <w:r>
              <w:rPr>
                <w:b/>
                <w:color w:val="FFFFFF"/>
                <w:sz w:val="17"/>
              </w:rPr>
              <w:t xml:space="preserve">ID</w:t>
            </w:r>
          </w:p>
        </w:tc>
        <w:tc>
          <w:tcPr>
            <w:tcW w:type="dxa" w:w="3363"/>
            <w:shd w:val="clear" w:fill="1F4B45"/>
            <w:tcMar>
              <w:top w:w="20" w:type="dxa"/>
              <w:bottom w:w="20" w:type="dxa"/>
              <w:left w:w="40" w:type="dxa"/>
              <w:right w:w="40" w:type="dxa"/>
            </w:tcMar>
          </w:tcPr>
          <w:p>
            <w:pPr>
              <w:pStyle w:val="Compact"/>
              <w:jc w:val="left"/>
            </w:pPr>
            <w:r>
              <w:rPr>
                <w:b/>
                <w:color w:val="FFFFFF"/>
                <w:sz w:val="17"/>
              </w:rPr>
              <w:t xml:space="preserve">Task / Step Name</w:t>
            </w:r>
          </w:p>
        </w:tc>
        <w:tc>
          <w:tcPr>
            <w:tcW w:type="dxa" w:w="630"/>
            <w:shd w:val="clear" w:fill="1F4B45"/>
            <w:tcMar>
              <w:top w:w="20" w:type="dxa"/>
              <w:bottom w:w="20" w:type="dxa"/>
              <w:left w:w="40" w:type="dxa"/>
              <w:right w:w="40" w:type="dxa"/>
            </w:tcMar>
          </w:tcPr>
          <w:p>
            <w:pPr>
              <w:pStyle w:val="Compact"/>
              <w:jc w:val="left"/>
            </w:pPr>
            <w:r>
              <w:rPr>
                <w:b/>
                <w:color w:val="FFFFFF"/>
                <w:sz w:val="17"/>
              </w:rPr>
              <w:t xml:space="preserve">Track</w:t>
            </w:r>
          </w:p>
        </w:tc>
        <w:tc>
          <w:tcPr>
            <w:tcW w:type="dxa" w:w="420"/>
            <w:shd w:val="clear" w:fill="1F4B45"/>
            <w:tcMar>
              <w:top w:w="20" w:type="dxa"/>
              <w:bottom w:w="20" w:type="dxa"/>
              <w:left w:w="40" w:type="dxa"/>
              <w:right w:w="40" w:type="dxa"/>
            </w:tcMar>
          </w:tcPr>
          <w:p>
            <w:pPr>
              <w:pStyle w:val="Compact"/>
              <w:jc w:val="left"/>
            </w:pPr>
            <w:r>
              <w:rPr>
                <w:b/>
                <w:color w:val="FFFFFF"/>
                <w:sz w:val="17"/>
              </w:rPr>
              <w:t xml:space="preserve">Ph.</w:t>
            </w:r>
          </w:p>
        </w:tc>
        <w:tc>
          <w:tcPr>
            <w:tcW w:type="dxa" w:w="735"/>
            <w:shd w:val="clear" w:fill="1F4B45"/>
            <w:tcMar>
              <w:top w:w="20" w:type="dxa"/>
              <w:bottom w:w="20" w:type="dxa"/>
              <w:left w:w="40" w:type="dxa"/>
              <w:right w:w="40" w:type="dxa"/>
            </w:tcMar>
          </w:tcPr>
          <w:p>
            <w:pPr>
              <w:pStyle w:val="Compact"/>
              <w:jc w:val="left"/>
            </w:pPr>
            <w:r>
              <w:rPr>
                <w:b/>
                <w:color w:val="FFFFFF"/>
                <w:sz w:val="17"/>
              </w:rPr>
              <w:t xml:space="preserve">Wk(s)</w:t>
            </w:r>
          </w:p>
        </w:tc>
        <w:tc>
          <w:tcPr>
            <w:tcW w:type="dxa" w:w="840"/>
            <w:shd w:val="clear" w:fill="1F4B45"/>
            <w:tcMar>
              <w:top w:w="20" w:type="dxa"/>
              <w:bottom w:w="20" w:type="dxa"/>
              <w:left w:w="40" w:type="dxa"/>
              <w:right w:w="40" w:type="dxa"/>
            </w:tcMar>
          </w:tcPr>
          <w:p>
            <w:pPr>
              <w:pStyle w:val="Compact"/>
              <w:jc w:val="left"/>
            </w:pPr>
            <w:r>
              <w:rPr>
                <w:b/>
                <w:color w:val="FFFFFF"/>
                <w:sz w:val="17"/>
              </w:rPr>
              <w:t xml:space="preserve">Lewin</w:t>
            </w:r>
          </w:p>
        </w:tc>
        <w:tc>
          <w:tcPr>
            <w:tcW w:type="dxa" w:w="1366"/>
            <w:shd w:val="clear" w:fill="1F4B45"/>
            <w:tcMar>
              <w:top w:w="20" w:type="dxa"/>
              <w:bottom w:w="20" w:type="dxa"/>
              <w:left w:w="40" w:type="dxa"/>
              <w:right w:w="40" w:type="dxa"/>
            </w:tcMar>
          </w:tcPr>
          <w:p>
            <w:pPr>
              <w:pStyle w:val="Compact"/>
              <w:jc w:val="left"/>
            </w:pPr>
            <w:r>
              <w:rPr>
                <w:b/>
                <w:color w:val="FFFFFF"/>
                <w:sz w:val="17"/>
              </w:rPr>
              <w:t xml:space="preserve">ADKAR</w:t>
            </w:r>
          </w:p>
        </w:tc>
        <w:tc>
          <w:tcPr>
            <w:tcW w:type="dxa" w:w="1156"/>
            <w:shd w:val="clear" w:fill="1F4B45"/>
            <w:tcMar>
              <w:top w:w="20" w:type="dxa"/>
              <w:bottom w:w="20" w:type="dxa"/>
              <w:left w:w="40" w:type="dxa"/>
              <w:right w:w="40" w:type="dxa"/>
            </w:tcMar>
          </w:tcPr>
          <w:p>
            <w:pPr>
              <w:pStyle w:val="Compact"/>
              <w:jc w:val="left"/>
            </w:pPr>
            <w:r>
              <w:rPr>
                <w:b/>
                <w:color w:val="FFFFFF"/>
                <w:sz w:val="17"/>
              </w:rPr>
              <w:t xml:space="preserve">Bridges</w:t>
            </w:r>
          </w:p>
        </w:tc>
        <w:tc>
          <w:tcPr>
            <w:tcW w:type="dxa" w:w="840"/>
            <w:shd w:val="clear" w:fill="1F4B45"/>
            <w:tcMar>
              <w:top w:w="20" w:type="dxa"/>
              <w:bottom w:w="20" w:type="dxa"/>
              <w:left w:w="40" w:type="dxa"/>
              <w:right w:w="40" w:type="dxa"/>
            </w:tcMar>
          </w:tcPr>
          <w:p>
            <w:pPr>
              <w:pStyle w:val="Compact"/>
              <w:jc w:val="left"/>
            </w:pPr>
            <w:r>
              <w:rPr>
                <w:b/>
                <w:color w:val="FFFFFF"/>
                <w:sz w:val="17"/>
              </w:rPr>
              <w:t xml:space="preserve">K-R</w:t>
            </w:r>
          </w:p>
        </w:tc>
      </w:tr>
      <w:tr>
        <w:trPr>
          <w:cantSplit/>
        </w:trPr>
        <w:tc>
          <w:tcPr>
            <w:tcW w:type="dxa" w:w="1156"/>
            <w:tcMar>
              <w:top w:w="20" w:type="dxa"/>
              <w:bottom w:w="20" w:type="dxa"/>
              <w:left w:w="40" w:type="dxa"/>
              <w:right w:w="40" w:type="dxa"/>
            </w:tcMar>
          </w:tcPr>
          <w:p>
            <w:pPr>
              <w:pStyle w:val="Compact"/>
              <w:jc w:val="left"/>
            </w:pPr>
            <w:r>
              <w:rPr>
                <w:bCs/>
                <w:b/>
                <w:sz w:val="17"/>
              </w:rPr>
              <w:t xml:space="preserve">P1-T1</w:t>
            </w:r>
          </w:p>
        </w:tc>
        <w:tc>
          <w:tcPr>
            <w:tcW w:type="dxa" w:w="3363"/>
            <w:tcMar>
              <w:top w:w="20" w:type="dxa"/>
              <w:bottom w:w="20" w:type="dxa"/>
              <w:left w:w="40" w:type="dxa"/>
              <w:right w:w="40" w:type="dxa"/>
            </w:tcMar>
          </w:tcPr>
          <w:p>
            <w:pPr>
              <w:pStyle w:val="Compact"/>
              <w:jc w:val="left"/>
            </w:pPr>
            <w:r>
              <w:rPr>
                <w:bCs/>
                <w:b/>
                <w:sz w:val="17"/>
              </w:rPr>
              <w:t xml:space="preserve">Discovery Workshops &amp; Workaround Inventory</w:t>
            </w:r>
          </w:p>
        </w:tc>
        <w:tc>
          <w:tcPr>
            <w:tcW w:type="dxa" w:w="630"/>
            <w:tcMar>
              <w:top w:w="20" w:type="dxa"/>
              <w:bottom w:w="20" w:type="dxa"/>
              <w:left w:w="40" w:type="dxa"/>
              <w:right w:w="40" w:type="dxa"/>
            </w:tcMar>
          </w:tcPr>
          <w:p>
            <w:pPr>
              <w:pStyle w:val="Compact"/>
              <w:jc w:val="left"/>
            </w:pPr>
            <w:r>
              <w:rPr>
                <w:sz w:val="17"/>
              </w:rPr>
              <w:t xml:space="preserve">PM+CM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P1-T1-S1</w:t>
            </w:r>
          </w:p>
        </w:tc>
        <w:tc>
          <w:tcPr>
            <w:tcW w:type="dxa" w:w="3363"/>
            <w:tcMar>
              <w:top w:w="20" w:type="dxa"/>
              <w:bottom w:w="20" w:type="dxa"/>
              <w:left w:w="40" w:type="dxa"/>
              <w:right w:w="40" w:type="dxa"/>
            </w:tcMar>
          </w:tcPr>
          <w:p>
            <w:pPr>
              <w:pStyle w:val="Compact"/>
              <w:jc w:val="left"/>
            </w:pPr>
            <w:r>
              <w:rPr>
                <w:sz w:val="17"/>
              </w:rPr>
              <w:t xml:space="preserve">↳ [PM] Facilitate 3 Discovery Workshops, All Sites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P1-T1-S2</w:t>
            </w:r>
          </w:p>
        </w:tc>
        <w:tc>
          <w:tcPr>
            <w:tcW w:type="dxa" w:w="3363"/>
            <w:tcMar>
              <w:top w:w="20" w:type="dxa"/>
              <w:bottom w:w="20" w:type="dxa"/>
              <w:left w:w="40" w:type="dxa"/>
              <w:right w:w="40" w:type="dxa"/>
            </w:tcMar>
          </w:tcPr>
          <w:p>
            <w:pPr>
              <w:pStyle w:val="Compact"/>
              <w:jc w:val="left"/>
            </w:pPr>
            <w:r>
              <w:rPr>
                <w:sz w:val="17"/>
              </w:rPr>
              <w:t xml:space="preserve">↳ [CM] Compile Workaround Inventory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P1-T2</w:t>
            </w:r>
          </w:p>
        </w:tc>
        <w:tc>
          <w:tcPr>
            <w:tcW w:type="dxa" w:w="3363"/>
            <w:tcMar>
              <w:top w:w="20" w:type="dxa"/>
              <w:bottom w:w="20" w:type="dxa"/>
              <w:left w:w="40" w:type="dxa"/>
              <w:right w:w="40" w:type="dxa"/>
            </w:tcMar>
          </w:tcPr>
          <w:p>
            <w:pPr>
              <w:pStyle w:val="Compact"/>
              <w:jc w:val="left"/>
            </w:pPr>
            <w:r>
              <w:rPr>
                <w:bCs/>
                <w:b/>
                <w:sz w:val="17"/>
              </w:rPr>
              <w:t xml:space="preserve">Business Case Quantification</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W5–6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P1-T2-S1</w:t>
            </w:r>
          </w:p>
        </w:tc>
        <w:tc>
          <w:tcPr>
            <w:tcW w:type="dxa" w:w="3363"/>
            <w:tcMar>
              <w:top w:w="20" w:type="dxa"/>
              <w:bottom w:w="20" w:type="dxa"/>
              <w:left w:w="40" w:type="dxa"/>
              <w:right w:w="40" w:type="dxa"/>
            </w:tcMar>
          </w:tcPr>
          <w:p>
            <w:pPr>
              <w:pStyle w:val="Compact"/>
              <w:jc w:val="left"/>
            </w:pPr>
            <w:r>
              <w:rPr>
                <w:sz w:val="17"/>
              </w:rPr>
              <w:t xml:space="preserve">↳ [PM] Pull Reconciliation Time Logs per Site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P1-T2-S2</w:t>
            </w:r>
          </w:p>
        </w:tc>
        <w:tc>
          <w:tcPr>
            <w:tcW w:type="dxa" w:w="3363"/>
            <w:tcMar>
              <w:top w:w="20" w:type="dxa"/>
              <w:bottom w:w="20" w:type="dxa"/>
              <w:left w:w="40" w:type="dxa"/>
              <w:right w:w="40" w:type="dxa"/>
            </w:tcMar>
          </w:tcPr>
          <w:p>
            <w:pPr>
              <w:pStyle w:val="Compact"/>
              <w:jc w:val="left"/>
            </w:pPr>
            <w:r>
              <w:rPr>
                <w:sz w:val="17"/>
              </w:rPr>
              <w:t xml:space="preserve">↳ [PM] Compute Fully-Loaded Cost</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P1-T3</w:t>
            </w:r>
          </w:p>
        </w:tc>
        <w:tc>
          <w:tcPr>
            <w:tcW w:type="dxa" w:w="3363"/>
            <w:tcMar>
              <w:top w:w="20" w:type="dxa"/>
              <w:bottom w:w="20" w:type="dxa"/>
              <w:left w:w="40" w:type="dxa"/>
              <w:right w:w="40" w:type="dxa"/>
            </w:tcMar>
          </w:tcPr>
          <w:p>
            <w:pPr>
              <w:pStyle w:val="Compact"/>
              <w:jc w:val="left"/>
            </w:pPr>
            <w:r>
              <w:rPr>
                <w:bCs/>
                <w:b/>
                <w:sz w:val="17"/>
              </w:rPr>
              <w:t xml:space="preserve">Stakeholder Map &amp; Impact Severity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W6–7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P1-T3-S1</w:t>
            </w:r>
          </w:p>
        </w:tc>
        <w:tc>
          <w:tcPr>
            <w:tcW w:type="dxa" w:w="3363"/>
            <w:tcMar>
              <w:top w:w="20" w:type="dxa"/>
              <w:bottom w:w="20" w:type="dxa"/>
              <w:left w:w="40" w:type="dxa"/>
              <w:right w:w="40" w:type="dxa"/>
            </w:tcMar>
          </w:tcPr>
          <w:p>
            <w:pPr>
              <w:pStyle w:val="Compact"/>
              <w:jc w:val="left"/>
            </w:pPr>
            <w:r>
              <w:rPr>
                <w:sz w:val="17"/>
              </w:rPr>
              <w:t xml:space="preserve">↳ [CM] Open Stakeholder Map, Enter Cohorts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P1-T3-S2</w:t>
            </w:r>
          </w:p>
        </w:tc>
        <w:tc>
          <w:tcPr>
            <w:tcW w:type="dxa" w:w="3363"/>
            <w:tcMar>
              <w:top w:w="20" w:type="dxa"/>
              <w:bottom w:w="20" w:type="dxa"/>
              <w:left w:w="40" w:type="dxa"/>
              <w:right w:w="40" w:type="dxa"/>
            </w:tcMar>
          </w:tcPr>
          <w:p>
            <w:pPr>
              <w:pStyle w:val="Compact"/>
              <w:jc w:val="left"/>
            </w:pPr>
            <w:r>
              <w:rPr>
                <w:sz w:val="17"/>
              </w:rPr>
              <w:t xml:space="preserve">↳ [CM] Flag High-Impact Cohorts, Finalize Severity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P1-T4</w:t>
            </w:r>
          </w:p>
        </w:tc>
        <w:tc>
          <w:tcPr>
            <w:tcW w:type="dxa" w:w="3363"/>
            <w:tcMar>
              <w:top w:w="20" w:type="dxa"/>
              <w:bottom w:w="20" w:type="dxa"/>
              <w:left w:w="40" w:type="dxa"/>
              <w:right w:w="40" w:type="dxa"/>
            </w:tcMar>
          </w:tcPr>
          <w:p>
            <w:pPr>
              <w:pStyle w:val="Compact"/>
              <w:jc w:val="left"/>
            </w:pPr>
            <w:r>
              <w:rPr>
                <w:bCs/>
                <w:b/>
                <w:sz w:val="17"/>
              </w:rPr>
              <w:t xml:space="preserve">Business Case Sign-Off &amp; Lewin Baseline</w:t>
            </w:r>
          </w:p>
        </w:tc>
        <w:tc>
          <w:tcPr>
            <w:tcW w:type="dxa" w:w="630"/>
            <w:tcMar>
              <w:top w:w="20" w:type="dxa"/>
              <w:bottom w:w="20" w:type="dxa"/>
              <w:left w:w="40" w:type="dxa"/>
              <w:right w:w="40" w:type="dxa"/>
            </w:tcMar>
          </w:tcPr>
          <w:p>
            <w:pPr>
              <w:pStyle w:val="Compact"/>
              <w:jc w:val="left"/>
            </w:pPr>
            <w:r>
              <w:rPr>
                <w:sz w:val="17"/>
              </w:rPr>
              <w:t xml:space="preserve">PM+CM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W7–8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P1-T4-S1</w:t>
            </w:r>
          </w:p>
        </w:tc>
        <w:tc>
          <w:tcPr>
            <w:tcW w:type="dxa" w:w="3363"/>
            <w:tcMar>
              <w:top w:w="20" w:type="dxa"/>
              <w:bottom w:w="20" w:type="dxa"/>
              <w:left w:w="40" w:type="dxa"/>
              <w:right w:w="40" w:type="dxa"/>
            </w:tcMar>
          </w:tcPr>
          <w:p>
            <w:pPr>
              <w:pStyle w:val="Compact"/>
              <w:jc w:val="left"/>
            </w:pPr>
            <w:r>
              <w:rPr>
                <w:sz w:val="17"/>
              </w:rPr>
              <w:t xml:space="preserve">↳ [PM] Review Business Case &amp; Stakeholder Map with Steering Committee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P1-T4-S2</w:t>
            </w:r>
          </w:p>
        </w:tc>
        <w:tc>
          <w:tcPr>
            <w:tcW w:type="dxa" w:w="3363"/>
            <w:tcMar>
              <w:top w:w="20" w:type="dxa"/>
              <w:bottom w:w="20" w:type="dxa"/>
              <w:left w:w="40" w:type="dxa"/>
              <w:right w:w="40" w:type="dxa"/>
            </w:tcMar>
          </w:tcPr>
          <w:p>
            <w:pPr>
              <w:pStyle w:val="Compact"/>
              <w:jc w:val="left"/>
            </w:pPr>
            <w:r>
              <w:rPr>
                <w:sz w:val="17"/>
              </w:rPr>
              <w:t xml:space="preserve">↳ [CM] Set Lewin = Unfreeze, with Justification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W8</w:t>
            </w:r>
          </w:p>
        </w:tc>
        <w:tc>
          <w:tcPr>
            <w:tcW w:type="dxa" w:w="840"/>
            <w:tcMar>
              <w:top w:w="20" w:type="dxa"/>
              <w:bottom w:w="20" w:type="dxa"/>
              <w:left w:w="40" w:type="dxa"/>
              <w:right w:w="40" w:type="dxa"/>
            </w:tcMar>
          </w:tcPr>
          <w:p>
            <w:pPr>
              <w:pStyle w:val="Compact"/>
              <w:jc w:val="left"/>
            </w:pPr>
            <w:r>
              <w:rPr>
                <w:sz w:val="17"/>
              </w:rPr>
              <w:t xml:space="preserve">Unfreeze (baseline)</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jc w:val="left"/>
            </w:pPr>
            <w:r>
              <w:rPr>
                <w:sz w:val="17"/>
              </w:rPr>
              <w:t xml:space="preserve">Denial (baseline)</w:t>
            </w:r>
          </w:p>
        </w:tc>
      </w:tr>
      <w:tr>
        <w:trPr>
          <w:cantSplit/>
        </w:trPr>
        <w:tc>
          <w:tcPr>
            <w:tcW w:type="dxa" w:w="1156"/>
            <w:tcMar>
              <w:top w:w="20" w:type="dxa"/>
              <w:bottom w:w="20" w:type="dxa"/>
              <w:left w:w="40" w:type="dxa"/>
              <w:right w:w="40" w:type="dxa"/>
            </w:tcMar>
          </w:tcPr>
          <w:p>
            <w:pPr>
              <w:pStyle w:val="Compact"/>
              <w:jc w:val="left"/>
            </w:pPr>
            <w:r>
              <w:rPr>
                <w:bCs/>
                <w:b/>
                <w:sz w:val="17"/>
              </w:rPr>
              <w:t xml:space="preserve">P2-T1</w:t>
            </w:r>
          </w:p>
        </w:tc>
        <w:tc>
          <w:tcPr>
            <w:tcW w:type="dxa" w:w="3363"/>
            <w:tcMar>
              <w:top w:w="20" w:type="dxa"/>
              <w:bottom w:w="20" w:type="dxa"/>
              <w:left w:w="40" w:type="dxa"/>
              <w:right w:w="40" w:type="dxa"/>
            </w:tcMar>
          </w:tcPr>
          <w:p>
            <w:pPr>
              <w:pStyle w:val="Compact"/>
              <w:jc w:val="left"/>
            </w:pPr>
            <w:r>
              <w:rPr>
                <w:bCs/>
                <w:b/>
                <w:sz w:val="17"/>
              </w:rPr>
              <w:t xml:space="preserve">Design Principles &amp; Future-State Process Mapping</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W6–8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P2-T1-S1</w:t>
            </w:r>
          </w:p>
        </w:tc>
        <w:tc>
          <w:tcPr>
            <w:tcW w:type="dxa" w:w="3363"/>
            <w:tcMar>
              <w:top w:w="20" w:type="dxa"/>
              <w:bottom w:w="20" w:type="dxa"/>
              <w:left w:w="40" w:type="dxa"/>
              <w:right w:w="40" w:type="dxa"/>
            </w:tcMar>
          </w:tcPr>
          <w:p>
            <w:pPr>
              <w:pStyle w:val="Compact"/>
              <w:jc w:val="left"/>
            </w:pPr>
            <w:r>
              <w:rPr>
                <w:sz w:val="17"/>
              </w:rPr>
              <w:t xml:space="preserve">↳ [PM] Draft Design Principles Workshop</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P2-T1-S2</w:t>
            </w:r>
          </w:p>
        </w:tc>
        <w:tc>
          <w:tcPr>
            <w:tcW w:type="dxa" w:w="3363"/>
            <w:tcMar>
              <w:top w:w="20" w:type="dxa"/>
              <w:bottom w:w="20" w:type="dxa"/>
              <w:left w:w="40" w:type="dxa"/>
              <w:right w:w="40" w:type="dxa"/>
            </w:tcMar>
          </w:tcPr>
          <w:p>
            <w:pPr>
              <w:pStyle w:val="Compact"/>
              <w:jc w:val="left"/>
            </w:pPr>
            <w:r>
              <w:rPr>
                <w:sz w:val="17"/>
              </w:rPr>
              <w:t xml:space="preserve">↳ [PM] Consolidate Principles; Draft Future-State Process Maps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P2-T1-S3</w:t>
            </w:r>
          </w:p>
        </w:tc>
        <w:tc>
          <w:tcPr>
            <w:tcW w:type="dxa" w:w="3363"/>
            <w:tcMar>
              <w:top w:w="20" w:type="dxa"/>
              <w:bottom w:w="20" w:type="dxa"/>
              <w:left w:w="40" w:type="dxa"/>
              <w:right w:w="40" w:type="dxa"/>
            </w:tcMar>
          </w:tcPr>
          <w:p>
            <w:pPr>
              <w:pStyle w:val="Compact"/>
              <w:jc w:val="left"/>
            </w:pPr>
            <w:r>
              <w:rPr>
                <w:sz w:val="17"/>
              </w:rPr>
              <w:t xml:space="preserve">↳ [PM] Circulate Principles &amp; Maps for Steering Committee Sign-Off</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P2-T2</w:t>
            </w:r>
          </w:p>
        </w:tc>
        <w:tc>
          <w:tcPr>
            <w:tcW w:type="dxa" w:w="3363"/>
            <w:tcMar>
              <w:top w:w="20" w:type="dxa"/>
              <w:bottom w:w="20" w:type="dxa"/>
              <w:left w:w="40" w:type="dxa"/>
              <w:right w:w="40" w:type="dxa"/>
            </w:tcMar>
          </w:tcPr>
          <w:p>
            <w:pPr>
              <w:pStyle w:val="Compact"/>
              <w:jc w:val="left"/>
            </w:pPr>
            <w:r>
              <w:rPr>
                <w:bCs/>
                <w:b/>
                <w:sz w:val="17"/>
              </w:rPr>
              <w:t xml:space="preserve">Kickoff Communications &amp; FAQ</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W9–10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P2-T2-S1</w:t>
            </w:r>
          </w:p>
        </w:tc>
        <w:tc>
          <w:tcPr>
            <w:tcW w:type="dxa" w:w="3363"/>
            <w:tcMar>
              <w:top w:w="20" w:type="dxa"/>
              <w:bottom w:w="20" w:type="dxa"/>
              <w:left w:w="40" w:type="dxa"/>
              <w:right w:w="40" w:type="dxa"/>
            </w:tcMar>
          </w:tcPr>
          <w:p>
            <w:pPr>
              <w:pStyle w:val="Compact"/>
              <w:jc w:val="left"/>
            </w:pPr>
            <w:r>
              <w:rPr>
                <w:sz w:val="17"/>
              </w:rPr>
              <w:t xml:space="preserve">↳ [CM] Deliver Kickoff Town Hall, All 3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P2-T2-S2</w:t>
            </w:r>
          </w:p>
        </w:tc>
        <w:tc>
          <w:tcPr>
            <w:tcW w:type="dxa" w:w="3363"/>
            <w:tcMar>
              <w:top w:w="20" w:type="dxa"/>
              <w:bottom w:w="20" w:type="dxa"/>
              <w:left w:w="40" w:type="dxa"/>
              <w:right w:w="40" w:type="dxa"/>
            </w:tcMar>
          </w:tcPr>
          <w:p>
            <w:pPr>
              <w:pStyle w:val="Compact"/>
              <w:jc w:val="left"/>
            </w:pPr>
            <w:r>
              <w:rPr>
                <w:sz w:val="17"/>
              </w:rPr>
              <w:t xml:space="preserve">↳ [CM] Open &amp; Monitor FAQ Channel</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P2-T3</w:t>
            </w:r>
          </w:p>
        </w:tc>
        <w:tc>
          <w:tcPr>
            <w:tcW w:type="dxa" w:w="3363"/>
            <w:tcMar>
              <w:top w:w="20" w:type="dxa"/>
              <w:bottom w:w="20" w:type="dxa"/>
              <w:left w:w="40" w:type="dxa"/>
              <w:right w:w="40" w:type="dxa"/>
            </w:tcMar>
          </w:tcPr>
          <w:p>
            <w:pPr>
              <w:pStyle w:val="Compact"/>
              <w:jc w:val="left"/>
            </w:pPr>
            <w:r>
              <w:rPr>
                <w:bCs/>
                <w:b/>
                <w:sz w:val="17"/>
              </w:rPr>
              <w:t xml:space="preserve">Baseline Awareness Pulse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W11–12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P2-T3-S1</w:t>
            </w:r>
          </w:p>
        </w:tc>
        <w:tc>
          <w:tcPr>
            <w:tcW w:type="dxa" w:w="3363"/>
            <w:tcMar>
              <w:top w:w="20" w:type="dxa"/>
              <w:bottom w:w="20" w:type="dxa"/>
              <w:left w:w="40" w:type="dxa"/>
              <w:right w:w="40" w:type="dxa"/>
            </w:tcMar>
          </w:tcPr>
          <w:p>
            <w:pPr>
              <w:pStyle w:val="Compact"/>
              <w:jc w:val="left"/>
            </w:pPr>
            <w:r>
              <w:rPr>
                <w:sz w:val="17"/>
              </w:rPr>
              <w:t xml:space="preserve">↳ [CM] Run Baseline Awareness Pulse per Cohort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Awareness = 3/2/2/4 (baseline, by cohort)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P2-T3-S2</w:t>
            </w:r>
          </w:p>
        </w:tc>
        <w:tc>
          <w:tcPr>
            <w:tcW w:type="dxa" w:w="3363"/>
            <w:tcMar>
              <w:top w:w="20" w:type="dxa"/>
              <w:bottom w:w="20" w:type="dxa"/>
              <w:left w:w="40" w:type="dxa"/>
              <w:right w:w="40" w:type="dxa"/>
            </w:tcMar>
          </w:tcPr>
          <w:p>
            <w:pPr>
              <w:pStyle w:val="Compact"/>
              <w:jc w:val="left"/>
            </w:pPr>
            <w:r>
              <w:rPr>
                <w:sz w:val="17"/>
              </w:rPr>
              <w:t xml:space="preserve">↳ [CM] Log Barrier-Reason Notes, Auto-Escalated Cohorts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P2-T4</w:t>
            </w:r>
          </w:p>
        </w:tc>
        <w:tc>
          <w:tcPr>
            <w:tcW w:type="dxa" w:w="3363"/>
            <w:tcMar>
              <w:top w:w="20" w:type="dxa"/>
              <w:bottom w:w="20" w:type="dxa"/>
              <w:left w:w="40" w:type="dxa"/>
              <w:right w:w="40" w:type="dxa"/>
            </w:tcMar>
          </w:tcPr>
          <w:p>
            <w:pPr>
              <w:pStyle w:val="Compact"/>
              <w:jc w:val="left"/>
            </w:pPr>
            <w:r>
              <w:rPr>
                <w:bCs/>
                <w:b/>
                <w:sz w:val="17"/>
              </w:rPr>
              <w:t xml:space="preserve">Champion Recruitment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W13–14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P2-T4-S1</w:t>
            </w:r>
          </w:p>
        </w:tc>
        <w:tc>
          <w:tcPr>
            <w:tcW w:type="dxa" w:w="3363"/>
            <w:tcMar>
              <w:top w:w="20" w:type="dxa"/>
              <w:bottom w:w="20" w:type="dxa"/>
              <w:left w:w="40" w:type="dxa"/>
              <w:right w:w="40" w:type="dxa"/>
            </w:tcMar>
          </w:tcPr>
          <w:p>
            <w:pPr>
              <w:pStyle w:val="Compact"/>
              <w:jc w:val="left"/>
            </w:pPr>
            <w:r>
              <w:rPr>
                <w:sz w:val="17"/>
              </w:rPr>
              <w:t xml:space="preserve">↳ [CM] Identify Candidate Champions per Site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P2-T4-S2</w:t>
            </w:r>
          </w:p>
        </w:tc>
        <w:tc>
          <w:tcPr>
            <w:tcW w:type="dxa" w:w="3363"/>
            <w:tcMar>
              <w:top w:w="20" w:type="dxa"/>
              <w:bottom w:w="20" w:type="dxa"/>
              <w:left w:w="40" w:type="dxa"/>
              <w:right w:w="40" w:type="dxa"/>
            </w:tcMar>
          </w:tcPr>
          <w:p>
            <w:pPr>
              <w:pStyle w:val="Compact"/>
              <w:jc w:val="left"/>
            </w:pPr>
            <w:r>
              <w:rPr>
                <w:sz w:val="17"/>
              </w:rPr>
              <w:t xml:space="preserve">↳ [CM] Log Champion Roster Against Stakeholder Map</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P3-T1</w:t>
            </w:r>
          </w:p>
        </w:tc>
        <w:tc>
          <w:tcPr>
            <w:tcW w:type="dxa" w:w="3363"/>
            <w:tcMar>
              <w:top w:w="20" w:type="dxa"/>
              <w:bottom w:w="20" w:type="dxa"/>
              <w:left w:w="40" w:type="dxa"/>
              <w:right w:w="40" w:type="dxa"/>
            </w:tcMar>
          </w:tcPr>
          <w:p>
            <w:pPr>
              <w:pStyle w:val="Compact"/>
              <w:jc w:val="left"/>
            </w:pPr>
            <w:r>
              <w:rPr>
                <w:bCs/>
                <w:b/>
                <w:sz w:val="17"/>
              </w:rPr>
              <w:t xml:space="preserve">Configuration Sprint 1 &amp; Principle Traceability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W12–14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P3-T1-S1</w:t>
            </w:r>
          </w:p>
        </w:tc>
        <w:tc>
          <w:tcPr>
            <w:tcW w:type="dxa" w:w="3363"/>
            <w:tcMar>
              <w:top w:w="20" w:type="dxa"/>
              <w:bottom w:w="20" w:type="dxa"/>
              <w:left w:w="40" w:type="dxa"/>
              <w:right w:w="40" w:type="dxa"/>
            </w:tcMar>
          </w:tcPr>
          <w:p>
            <w:pPr>
              <w:pStyle w:val="Compact"/>
              <w:jc w:val="left"/>
            </w:pPr>
            <w:r>
              <w:rPr>
                <w:sz w:val="17"/>
              </w:rPr>
              <w:t xml:space="preserve">↳ [PM] Stand Up Config Environment; Begin Sprint 1</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P3-T1-S2</w:t>
            </w:r>
          </w:p>
        </w:tc>
        <w:tc>
          <w:tcPr>
            <w:tcW w:type="dxa" w:w="3363"/>
            <w:tcMar>
              <w:top w:w="20" w:type="dxa"/>
              <w:bottom w:w="20" w:type="dxa"/>
              <w:left w:w="40" w:type="dxa"/>
              <w:right w:w="40" w:type="dxa"/>
            </w:tcMar>
          </w:tcPr>
          <w:p>
            <w:pPr>
              <w:pStyle w:val="Compact"/>
              <w:jc w:val="left"/>
            </w:pPr>
            <w:r>
              <w:rPr>
                <w:sz w:val="17"/>
              </w:rPr>
              <w:t xml:space="preserve">↳ [PM] Close Sprint 1; Log Decisions vs. Principles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P3-T2</w:t>
            </w:r>
          </w:p>
        </w:tc>
        <w:tc>
          <w:tcPr>
            <w:tcW w:type="dxa" w:w="3363"/>
            <w:tcMar>
              <w:top w:w="20" w:type="dxa"/>
              <w:bottom w:w="20" w:type="dxa"/>
              <w:left w:w="40" w:type="dxa"/>
              <w:right w:w="40" w:type="dxa"/>
            </w:tcMar>
          </w:tcPr>
          <w:p>
            <w:pPr>
              <w:pStyle w:val="Compact"/>
              <w:jc w:val="left"/>
            </w:pPr>
            <w:r>
              <w:rPr>
                <w:bCs/>
                <w:b/>
                <w:sz w:val="17"/>
              </w:rPr>
              <w:t xml:space="preserve">Champion Briefing &amp; Observation-Logging Path</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W16–17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P3-T2-S1</w:t>
            </w:r>
          </w:p>
        </w:tc>
        <w:tc>
          <w:tcPr>
            <w:tcW w:type="dxa" w:w="3363"/>
            <w:tcMar>
              <w:top w:w="20" w:type="dxa"/>
              <w:bottom w:w="20" w:type="dxa"/>
              <w:left w:w="40" w:type="dxa"/>
              <w:right w:w="40" w:type="dxa"/>
            </w:tcMar>
          </w:tcPr>
          <w:p>
            <w:pPr>
              <w:pStyle w:val="Compact"/>
              <w:jc w:val="left"/>
            </w:pPr>
            <w:r>
              <w:rPr>
                <w:sz w:val="17"/>
              </w:rPr>
              <w:t xml:space="preserve">↳ [CM] Run Champion Briefing per Site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P3-T2-S2</w:t>
            </w:r>
          </w:p>
        </w:tc>
        <w:tc>
          <w:tcPr>
            <w:tcW w:type="dxa" w:w="3363"/>
            <w:tcMar>
              <w:top w:w="20" w:type="dxa"/>
              <w:bottom w:w="20" w:type="dxa"/>
              <w:left w:w="40" w:type="dxa"/>
              <w:right w:w="40" w:type="dxa"/>
            </w:tcMar>
          </w:tcPr>
          <w:p>
            <w:pPr>
              <w:pStyle w:val="Compact"/>
              <w:jc w:val="left"/>
            </w:pPr>
            <w:r>
              <w:rPr>
                <w:sz w:val="17"/>
              </w:rPr>
              <w:t xml:space="preserve">↳ [CM] Confirm Observation-Logging Path per Champion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P3-T3</w:t>
            </w:r>
          </w:p>
        </w:tc>
        <w:tc>
          <w:tcPr>
            <w:tcW w:type="dxa" w:w="3363"/>
            <w:tcMar>
              <w:top w:w="20" w:type="dxa"/>
              <w:bottom w:w="20" w:type="dxa"/>
              <w:left w:w="40" w:type="dxa"/>
              <w:right w:w="40" w:type="dxa"/>
            </w:tcMar>
          </w:tcPr>
          <w:p>
            <w:pPr>
              <w:pStyle w:val="Compact"/>
              <w:jc w:val="left"/>
            </w:pPr>
            <w:r>
              <w:rPr>
                <w:bCs/>
                <w:b/>
                <w:sz w:val="17"/>
              </w:rPr>
              <w:t xml:space="preserve">Desire Re-Scoring &amp; Barrier Response (E1)</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W18–24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P3-T3-S1</w:t>
            </w:r>
          </w:p>
        </w:tc>
        <w:tc>
          <w:tcPr>
            <w:tcW w:type="dxa" w:w="3363"/>
            <w:tcMar>
              <w:top w:w="20" w:type="dxa"/>
              <w:bottom w:w="20" w:type="dxa"/>
              <w:left w:w="40" w:type="dxa"/>
              <w:right w:w="40" w:type="dxa"/>
            </w:tcMar>
          </w:tcPr>
          <w:p>
            <w:pPr>
              <w:pStyle w:val="Compact"/>
              <w:jc w:val="left"/>
            </w:pPr>
            <w:r>
              <w:rPr>
                <w:sz w:val="17"/>
              </w:rPr>
              <w:t xml:space="preserve">↳ [CM] Re-Score Desire per Cohort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Desire = 3/3/2 (Settat auto-escalates)</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P3-T3-S2</w:t>
            </w:r>
          </w:p>
        </w:tc>
        <w:tc>
          <w:tcPr>
            <w:tcW w:type="dxa" w:w="3363"/>
            <w:tcMar>
              <w:top w:w="20" w:type="dxa"/>
              <w:bottom w:w="20" w:type="dxa"/>
              <w:left w:w="40" w:type="dxa"/>
              <w:right w:w="40" w:type="dxa"/>
            </w:tcMar>
          </w:tcPr>
          <w:p>
            <w:pPr>
              <w:pStyle w:val="Compact"/>
              <w:jc w:val="left"/>
            </w:pPr>
            <w:r>
              <w:rPr>
                <w:sz w:val="17"/>
              </w:rPr>
              <w:t xml:space="preserve">↳ [CM] Log Mandatory Barrier-Reason Note, Settat — opens E1 (Recovery Tasks 1–5, 1B.4)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W19–24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Desire Settat 2 → 3 (W24, post-E1)</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jc w:val="left"/>
            </w:pPr>
            <w:r>
              <w:rPr>
                <w:sz w:val="17"/>
              </w:rPr>
              <w:t xml:space="preserve">Settat Denial → Resistance/Anger (W24)</w:t>
            </w:r>
          </w:p>
        </w:tc>
      </w:tr>
      <w:tr>
        <w:trPr>
          <w:cantSplit/>
        </w:trPr>
        <w:tc>
          <w:tcPr>
            <w:tcW w:type="dxa" w:w="1156"/>
            <w:tcMar>
              <w:top w:w="20" w:type="dxa"/>
              <w:bottom w:w="20" w:type="dxa"/>
              <w:left w:w="40" w:type="dxa"/>
              <w:right w:w="40" w:type="dxa"/>
            </w:tcMar>
          </w:tcPr>
          <w:p>
            <w:pPr>
              <w:pStyle w:val="Compact"/>
              <w:jc w:val="left"/>
            </w:pPr>
            <w:r>
              <w:rPr>
                <w:bCs/>
                <w:b/>
                <w:sz w:val="17"/>
              </w:rPr>
              <w:t xml:space="preserve">P3-T4</w:t>
            </w:r>
          </w:p>
        </w:tc>
        <w:tc>
          <w:tcPr>
            <w:tcW w:type="dxa" w:w="3363"/>
            <w:tcMar>
              <w:top w:w="20" w:type="dxa"/>
              <w:bottom w:w="20" w:type="dxa"/>
              <w:left w:w="40" w:type="dxa"/>
              <w:right w:w="40" w:type="dxa"/>
            </w:tcMar>
          </w:tcPr>
          <w:p>
            <w:pPr>
              <w:pStyle w:val="Compact"/>
              <w:jc w:val="left"/>
            </w:pPr>
            <w:r>
              <w:rPr>
                <w:bCs/>
                <w:b/>
                <w:sz w:val="17"/>
              </w:rPr>
              <w:t xml:space="preserve">Evidence Review &amp; Lewin = Change Call</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W28–29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P3-T4-S1</w:t>
            </w:r>
          </w:p>
        </w:tc>
        <w:tc>
          <w:tcPr>
            <w:tcW w:type="dxa" w:w="3363"/>
            <w:tcMar>
              <w:top w:w="20" w:type="dxa"/>
              <w:bottom w:w="20" w:type="dxa"/>
              <w:left w:w="40" w:type="dxa"/>
              <w:right w:w="40" w:type="dxa"/>
            </w:tcMar>
          </w:tcPr>
          <w:p>
            <w:pPr>
              <w:pStyle w:val="Compact"/>
              <w:jc w:val="left"/>
            </w:pPr>
            <w:r>
              <w:rPr>
                <w:sz w:val="17"/>
              </w:rPr>
              <w:t xml:space="preserve">↳ [CM] Review Evidence Against Signal Catalogue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W28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P3-T4-S2</w:t>
            </w:r>
          </w:p>
        </w:tc>
        <w:tc>
          <w:tcPr>
            <w:tcW w:type="dxa" w:w="3363"/>
            <w:tcMar>
              <w:top w:w="20" w:type="dxa"/>
              <w:bottom w:w="20" w:type="dxa"/>
              <w:left w:w="40" w:type="dxa"/>
              <w:right w:w="40" w:type="dxa"/>
            </w:tcMar>
          </w:tcPr>
          <w:p>
            <w:pPr>
              <w:pStyle w:val="Compact"/>
              <w:jc w:val="left"/>
            </w:pPr>
            <w:r>
              <w:rPr>
                <w:sz w:val="17"/>
              </w:rPr>
              <w:t xml:space="preserve">↳ [CM] Set Lewin = Change, with Justification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W29</w:t>
            </w:r>
          </w:p>
        </w:tc>
        <w:tc>
          <w:tcPr>
            <w:tcW w:type="dxa" w:w="840"/>
            <w:tcMar>
              <w:top w:w="20" w:type="dxa"/>
              <w:bottom w:w="20" w:type="dxa"/>
              <w:left w:w="40" w:type="dxa"/>
              <w:right w:w="40" w:type="dxa"/>
            </w:tcMar>
          </w:tcPr>
          <w:p>
            <w:pPr>
              <w:pStyle w:val="Compact"/>
              <w:jc w:val="left"/>
            </w:pPr>
            <w:r>
              <w:rPr>
                <w:sz w:val="17"/>
              </w:rPr>
              <w:t xml:space="preserve">Unfreeze → Change</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P4-T1</w:t>
            </w:r>
          </w:p>
        </w:tc>
        <w:tc>
          <w:tcPr>
            <w:tcW w:type="dxa" w:w="3363"/>
            <w:tcMar>
              <w:top w:w="20" w:type="dxa"/>
              <w:bottom w:w="20" w:type="dxa"/>
              <w:left w:w="40" w:type="dxa"/>
              <w:right w:w="40" w:type="dxa"/>
            </w:tcMar>
          </w:tcPr>
          <w:p>
            <w:pPr>
              <w:pStyle w:val="Compact"/>
              <w:jc w:val="left"/>
            </w:pPr>
            <w:r>
              <w:rPr>
                <w:bCs/>
                <w:b/>
                <w:sz w:val="17"/>
              </w:rPr>
              <w:t xml:space="preserve">SIT Execution &amp; Defect Triage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W28–29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P4-T1-S1</w:t>
            </w:r>
          </w:p>
        </w:tc>
        <w:tc>
          <w:tcPr>
            <w:tcW w:type="dxa" w:w="3363"/>
            <w:tcMar>
              <w:top w:w="20" w:type="dxa"/>
              <w:bottom w:w="20" w:type="dxa"/>
              <w:left w:w="40" w:type="dxa"/>
              <w:right w:w="40" w:type="dxa"/>
            </w:tcMar>
          </w:tcPr>
          <w:p>
            <w:pPr>
              <w:pStyle w:val="Compact"/>
              <w:jc w:val="left"/>
            </w:pPr>
            <w:r>
              <w:rPr>
                <w:sz w:val="17"/>
              </w:rPr>
              <w:t xml:space="preserve">↳ [PM] Run SIT Test Script, 40 Scenarios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W28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P4-T1-S2</w:t>
            </w:r>
          </w:p>
        </w:tc>
        <w:tc>
          <w:tcPr>
            <w:tcW w:type="dxa" w:w="3363"/>
            <w:tcMar>
              <w:top w:w="20" w:type="dxa"/>
              <w:bottom w:w="20" w:type="dxa"/>
              <w:left w:w="40" w:type="dxa"/>
              <w:right w:w="40" w:type="dxa"/>
            </w:tcMar>
          </w:tcPr>
          <w:p>
            <w:pPr>
              <w:pStyle w:val="Compact"/>
              <w:jc w:val="left"/>
            </w:pPr>
            <w:r>
              <w:rPr>
                <w:sz w:val="17"/>
              </w:rPr>
              <w:t xml:space="preserve">↳ [PM] Triage &amp; Close SIT Defects by Severity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W29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P4-T2</w:t>
            </w:r>
          </w:p>
        </w:tc>
        <w:tc>
          <w:tcPr>
            <w:tcW w:type="dxa" w:w="3363"/>
            <w:tcMar>
              <w:top w:w="20" w:type="dxa"/>
              <w:bottom w:w="20" w:type="dxa"/>
              <w:left w:w="40" w:type="dxa"/>
              <w:right w:w="40" w:type="dxa"/>
            </w:tcMar>
          </w:tcPr>
          <w:p>
            <w:pPr>
              <w:pStyle w:val="Compact"/>
              <w:jc w:val="left"/>
            </w:pPr>
            <w:r>
              <w:rPr>
                <w:bCs/>
                <w:b/>
                <w:sz w:val="17"/>
              </w:rPr>
              <w:t xml:space="preserve">UAT Recruitment &amp; Roster</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W30–31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P4-T2-S1</w:t>
            </w:r>
          </w:p>
        </w:tc>
        <w:tc>
          <w:tcPr>
            <w:tcW w:type="dxa" w:w="3363"/>
            <w:tcMar>
              <w:top w:w="20" w:type="dxa"/>
              <w:bottom w:w="20" w:type="dxa"/>
              <w:left w:w="40" w:type="dxa"/>
              <w:right w:w="40" w:type="dxa"/>
            </w:tcMar>
          </w:tcPr>
          <w:p>
            <w:pPr>
              <w:pStyle w:val="Compact"/>
              <w:jc w:val="left"/>
            </w:pPr>
            <w:r>
              <w:rPr>
                <w:sz w:val="17"/>
              </w:rPr>
              <w:t xml:space="preserve">↳ [CM] Select UAT Participants, Proportionate to Site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P4-T2-S2</w:t>
            </w:r>
          </w:p>
        </w:tc>
        <w:tc>
          <w:tcPr>
            <w:tcW w:type="dxa" w:w="3363"/>
            <w:tcMar>
              <w:top w:w="20" w:type="dxa"/>
              <w:bottom w:w="20" w:type="dxa"/>
              <w:left w:w="40" w:type="dxa"/>
              <w:right w:w="40" w:type="dxa"/>
            </w:tcMar>
          </w:tcPr>
          <w:p>
            <w:pPr>
              <w:pStyle w:val="Compact"/>
              <w:jc w:val="left"/>
            </w:pPr>
            <w:r>
              <w:rPr>
                <w:sz w:val="17"/>
              </w:rPr>
              <w:t xml:space="preserve">↳ [CM] Log UAT Roster &amp; Acceptance Criteria</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P4-T3</w:t>
            </w:r>
          </w:p>
        </w:tc>
        <w:tc>
          <w:tcPr>
            <w:tcW w:type="dxa" w:w="3363"/>
            <w:tcMar>
              <w:top w:w="20" w:type="dxa"/>
              <w:bottom w:w="20" w:type="dxa"/>
              <w:left w:w="40" w:type="dxa"/>
              <w:right w:w="40" w:type="dxa"/>
            </w:tcMar>
          </w:tcPr>
          <w:p>
            <w:pPr>
              <w:pStyle w:val="Compact"/>
              <w:jc w:val="left"/>
            </w:pPr>
            <w:r>
              <w:rPr>
                <w:bCs/>
                <w:b/>
                <w:sz w:val="17"/>
              </w:rPr>
              <w:t xml:space="preserve">UAT Execution &amp; Knowledge Scoring</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W32–33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P4-T3-S1</w:t>
            </w:r>
          </w:p>
        </w:tc>
        <w:tc>
          <w:tcPr>
            <w:tcW w:type="dxa" w:w="3363"/>
            <w:tcMar>
              <w:top w:w="20" w:type="dxa"/>
              <w:bottom w:w="20" w:type="dxa"/>
              <w:left w:w="40" w:type="dxa"/>
              <w:right w:w="40" w:type="dxa"/>
            </w:tcMar>
          </w:tcPr>
          <w:p>
            <w:pPr>
              <w:pStyle w:val="Compact"/>
              <w:jc w:val="left"/>
            </w:pPr>
            <w:r>
              <w:rPr>
                <w:sz w:val="17"/>
              </w:rPr>
              <w:t xml:space="preserve">↳ [CM] Run UAT Scenarios, Casablanca Finance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Knowledge = 4 (Casablanca)</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P4-T3-S2</w:t>
            </w:r>
          </w:p>
        </w:tc>
        <w:tc>
          <w:tcPr>
            <w:tcW w:type="dxa" w:w="3363"/>
            <w:tcMar>
              <w:top w:w="20" w:type="dxa"/>
              <w:bottom w:w="20" w:type="dxa"/>
              <w:left w:w="40" w:type="dxa"/>
              <w:right w:w="40" w:type="dxa"/>
            </w:tcMar>
          </w:tcPr>
          <w:p>
            <w:pPr>
              <w:pStyle w:val="Compact"/>
              <w:jc w:val="left"/>
            </w:pPr>
            <w:r>
              <w:rPr>
                <w:sz w:val="17"/>
              </w:rPr>
              <w:t xml:space="preserve">↳ [CM] Run UAT Scenarios, Kenitra/Settat; Log Defects vs. Friction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Knowledge = 4 (Kenitra), 3 (Settat)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P4-T4</w:t>
            </w:r>
          </w:p>
        </w:tc>
        <w:tc>
          <w:tcPr>
            <w:tcW w:type="dxa" w:w="3363"/>
            <w:tcMar>
              <w:top w:w="20" w:type="dxa"/>
              <w:bottom w:w="20" w:type="dxa"/>
              <w:left w:w="40" w:type="dxa"/>
              <w:right w:w="40" w:type="dxa"/>
            </w:tcMar>
          </w:tcPr>
          <w:p>
            <w:pPr>
              <w:pStyle w:val="Compact"/>
              <w:jc w:val="left"/>
            </w:pPr>
            <w:r>
              <w:rPr>
                <w:bCs/>
                <w:b/>
                <w:sz w:val="17"/>
              </w:rPr>
              <w:t xml:space="preserve">Divergence Pattern Review (E2)</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W34–36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P4-T4-S1</w:t>
            </w:r>
          </w:p>
        </w:tc>
        <w:tc>
          <w:tcPr>
            <w:tcW w:type="dxa" w:w="3363"/>
            <w:tcMar>
              <w:top w:w="20" w:type="dxa"/>
              <w:bottom w:w="20" w:type="dxa"/>
              <w:left w:w="40" w:type="dxa"/>
              <w:right w:w="40" w:type="dxa"/>
            </w:tcMar>
          </w:tcPr>
          <w:p>
            <w:pPr>
              <w:pStyle w:val="Compact"/>
              <w:jc w:val="left"/>
            </w:pPr>
            <w:r>
              <w:rPr>
                <w:sz w:val="17"/>
              </w:rPr>
              <w:t xml:space="preserve">↳ [CM] Run Divergence Pattern Review vs. Bridges — ALT-001 fires, opens E2</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Ending (flagged participant, Knowledge/Ability ≥ 4)</w:t>
            </w: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P4-T4-S2</w:t>
            </w:r>
          </w:p>
        </w:tc>
        <w:tc>
          <w:tcPr>
            <w:tcW w:type="dxa" w:w="3363"/>
            <w:tcMar>
              <w:top w:w="20" w:type="dxa"/>
              <w:bottom w:w="20" w:type="dxa"/>
              <w:left w:w="40" w:type="dxa"/>
              <w:right w:w="40" w:type="dxa"/>
            </w:tcMar>
          </w:tcPr>
          <w:p>
            <w:pPr>
              <w:pStyle w:val="Compact"/>
              <w:jc w:val="left"/>
            </w:pPr>
            <w:r>
              <w:rPr>
                <w:sz w:val="17"/>
              </w:rPr>
              <w:t xml:space="preserve">↳ [CM] Route Flagged Case into E2 Recovery Tasks 1–5 (1B.4)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W35–36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Ending → Neutral Zone (W36, post-E2)</w:t>
            </w: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P5-T1</w:t>
            </w:r>
          </w:p>
        </w:tc>
        <w:tc>
          <w:tcPr>
            <w:tcW w:type="dxa" w:w="3363"/>
            <w:tcMar>
              <w:top w:w="20" w:type="dxa"/>
              <w:bottom w:w="20" w:type="dxa"/>
              <w:left w:w="40" w:type="dxa"/>
              <w:right w:w="40" w:type="dxa"/>
            </w:tcMar>
          </w:tcPr>
          <w:p>
            <w:pPr>
              <w:pStyle w:val="Compact"/>
              <w:jc w:val="left"/>
            </w:pPr>
            <w:r>
              <w:rPr>
                <w:bCs/>
                <w:b/>
                <w:sz w:val="17"/>
              </w:rPr>
              <w:t xml:space="preserve">Curriculum Enrollment &amp; Wave-1 Delivery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W30–33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P5-T1-S1</w:t>
            </w:r>
          </w:p>
        </w:tc>
        <w:tc>
          <w:tcPr>
            <w:tcW w:type="dxa" w:w="3363"/>
            <w:tcMar>
              <w:top w:w="20" w:type="dxa"/>
              <w:bottom w:w="20" w:type="dxa"/>
              <w:left w:w="40" w:type="dxa"/>
              <w:right w:w="40" w:type="dxa"/>
            </w:tcMar>
          </w:tcPr>
          <w:p>
            <w:pPr>
              <w:pStyle w:val="Compact"/>
              <w:jc w:val="left"/>
            </w:pPr>
            <w:r>
              <w:rPr>
                <w:sz w:val="17"/>
              </w:rPr>
              <w:t xml:space="preserve">↳ [CM] Enroll Cohorts Against Role-Based Curriculum</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P5-T1-S2</w:t>
            </w:r>
          </w:p>
        </w:tc>
        <w:tc>
          <w:tcPr>
            <w:tcW w:type="dxa" w:w="3363"/>
            <w:tcMar>
              <w:top w:w="20" w:type="dxa"/>
              <w:bottom w:w="20" w:type="dxa"/>
              <w:left w:w="40" w:type="dxa"/>
              <w:right w:w="40" w:type="dxa"/>
            </w:tcMar>
          </w:tcPr>
          <w:p>
            <w:pPr>
              <w:pStyle w:val="Compact"/>
              <w:jc w:val="left"/>
            </w:pPr>
            <w:r>
              <w:rPr>
                <w:sz w:val="17"/>
              </w:rPr>
              <w:t xml:space="preserve">↳ [CM] Deliver Training Wave 1, All 3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W31–33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P5-T2</w:t>
            </w:r>
          </w:p>
        </w:tc>
        <w:tc>
          <w:tcPr>
            <w:tcW w:type="dxa" w:w="3363"/>
            <w:tcMar>
              <w:top w:w="20" w:type="dxa"/>
              <w:bottom w:w="20" w:type="dxa"/>
              <w:left w:w="40" w:type="dxa"/>
              <w:right w:w="40" w:type="dxa"/>
            </w:tcMar>
          </w:tcPr>
          <w:p>
            <w:pPr>
              <w:pStyle w:val="Compact"/>
              <w:jc w:val="left"/>
            </w:pPr>
            <w:r>
              <w:rPr>
                <w:bCs/>
                <w:b/>
                <w:sz w:val="17"/>
              </w:rPr>
              <w:t xml:space="preserve">Job Aids &amp; Sandbox Practice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W34–35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P5-T2-S1</w:t>
            </w:r>
          </w:p>
        </w:tc>
        <w:tc>
          <w:tcPr>
            <w:tcW w:type="dxa" w:w="3363"/>
            <w:tcMar>
              <w:top w:w="20" w:type="dxa"/>
              <w:bottom w:w="20" w:type="dxa"/>
              <w:left w:w="40" w:type="dxa"/>
              <w:right w:w="40" w:type="dxa"/>
            </w:tcMar>
          </w:tcPr>
          <w:p>
            <w:pPr>
              <w:pStyle w:val="Compact"/>
              <w:jc w:val="left"/>
            </w:pPr>
            <w:r>
              <w:rPr>
                <w:sz w:val="17"/>
              </w:rPr>
              <w:t xml:space="preserve">↳ [PM] Publish Job Aids per Role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P5-T2-S2</w:t>
            </w:r>
          </w:p>
        </w:tc>
        <w:tc>
          <w:tcPr>
            <w:tcW w:type="dxa" w:w="3363"/>
            <w:tcMar>
              <w:top w:w="20" w:type="dxa"/>
              <w:bottom w:w="20" w:type="dxa"/>
              <w:left w:w="40" w:type="dxa"/>
              <w:right w:w="40" w:type="dxa"/>
            </w:tcMar>
          </w:tcPr>
          <w:p>
            <w:pPr>
              <w:pStyle w:val="Compact"/>
              <w:jc w:val="left"/>
            </w:pPr>
            <w:r>
              <w:rPr>
                <w:sz w:val="17"/>
              </w:rPr>
              <w:t xml:space="preserve">↳ [PM] Open Sandbox for Supervised Practice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P5-T3</w:t>
            </w:r>
          </w:p>
        </w:tc>
        <w:tc>
          <w:tcPr>
            <w:tcW w:type="dxa" w:w="3363"/>
            <w:tcMar>
              <w:top w:w="20" w:type="dxa"/>
              <w:bottom w:w="20" w:type="dxa"/>
              <w:left w:w="40" w:type="dxa"/>
              <w:right w:w="40" w:type="dxa"/>
            </w:tcMar>
          </w:tcPr>
          <w:p>
            <w:pPr>
              <w:pStyle w:val="Compact"/>
              <w:jc w:val="left"/>
            </w:pPr>
            <w:r>
              <w:rPr>
                <w:bCs/>
                <w:b/>
                <w:sz w:val="17"/>
              </w:rPr>
              <w:t xml:space="preserve">Knowledge/Ability Scoring &amp; Divergence Flag (E6)</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W36–39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P5-T3-S1</w:t>
            </w:r>
          </w:p>
        </w:tc>
        <w:tc>
          <w:tcPr>
            <w:tcW w:type="dxa" w:w="3363"/>
            <w:tcMar>
              <w:top w:w="20" w:type="dxa"/>
              <w:bottom w:w="20" w:type="dxa"/>
              <w:left w:w="40" w:type="dxa"/>
              <w:right w:w="40" w:type="dxa"/>
            </w:tcMar>
          </w:tcPr>
          <w:p>
            <w:pPr>
              <w:pStyle w:val="Compact"/>
              <w:jc w:val="left"/>
            </w:pPr>
            <w:r>
              <w:rPr>
                <w:sz w:val="17"/>
              </w:rPr>
              <w:t xml:space="preserve">↳ [CM] Score Knowledge &amp; Ability per Cohort — opens E6</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Knowledge/Ability = 4/4 (Casa), 4/3 (Kenitra), 3/2 (Settat)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P5-T3-S2</w:t>
            </w:r>
          </w:p>
        </w:tc>
        <w:tc>
          <w:tcPr>
            <w:tcW w:type="dxa" w:w="3363"/>
            <w:tcMar>
              <w:top w:w="20" w:type="dxa"/>
              <w:bottom w:w="20" w:type="dxa"/>
              <w:left w:w="40" w:type="dxa"/>
              <w:right w:w="40" w:type="dxa"/>
            </w:tcMar>
          </w:tcPr>
          <w:p>
            <w:pPr>
              <w:pStyle w:val="Compact"/>
              <w:jc w:val="left"/>
            </w:pPr>
            <w:r>
              <w:rPr>
                <w:sz w:val="17"/>
              </w:rPr>
              <w:t xml:space="preserve">↳ [CM] Flag Settat Below Benchmark for Wave 2 — E6 Recovery Tasks 1–4 (1B.4)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W37–39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Settat Knowledge/Ability 3/2 → 4/3 (W39, post-E6 Recovery Task 4)</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P5-T4</w:t>
            </w:r>
          </w:p>
        </w:tc>
        <w:tc>
          <w:tcPr>
            <w:tcW w:type="dxa" w:w="3363"/>
            <w:tcMar>
              <w:top w:w="20" w:type="dxa"/>
              <w:bottom w:w="20" w:type="dxa"/>
              <w:left w:w="40" w:type="dxa"/>
              <w:right w:w="40" w:type="dxa"/>
            </w:tcMar>
          </w:tcPr>
          <w:p>
            <w:pPr>
              <w:pStyle w:val="Compact"/>
              <w:jc w:val="left"/>
            </w:pPr>
            <w:r>
              <w:rPr>
                <w:bCs/>
                <w:b/>
                <w:sz w:val="17"/>
              </w:rPr>
              <w:t xml:space="preserve">Coach Readiness &amp; Go/No-Go</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W40–42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P5-T4-S1</w:t>
            </w:r>
          </w:p>
        </w:tc>
        <w:tc>
          <w:tcPr>
            <w:tcW w:type="dxa" w:w="3363"/>
            <w:tcMar>
              <w:top w:w="20" w:type="dxa"/>
              <w:bottom w:w="20" w:type="dxa"/>
              <w:left w:w="40" w:type="dxa"/>
              <w:right w:w="40" w:type="dxa"/>
            </w:tcMar>
          </w:tcPr>
          <w:p>
            <w:pPr>
              <w:pStyle w:val="Compact"/>
              <w:jc w:val="left"/>
            </w:pPr>
            <w:r>
              <w:rPr>
                <w:sz w:val="17"/>
              </w:rPr>
              <w:t xml:space="preserve">↳ [CM] Walk People Managers Through M11 Heatmap</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W40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P5-T4-S2</w:t>
            </w:r>
          </w:p>
        </w:tc>
        <w:tc>
          <w:tcPr>
            <w:tcW w:type="dxa" w:w="3363"/>
            <w:tcMar>
              <w:top w:w="20" w:type="dxa"/>
              <w:bottom w:w="20" w:type="dxa"/>
              <w:left w:w="40" w:type="dxa"/>
              <w:right w:w="40" w:type="dxa"/>
            </w:tcMar>
          </w:tcPr>
          <w:p>
            <w:pPr>
              <w:pStyle w:val="Compact"/>
              <w:jc w:val="left"/>
            </w:pPr>
            <w:r>
              <w:rPr>
                <w:sz w:val="17"/>
              </w:rPr>
              <w:t xml:space="preserve">↳ [CM] Confirm Supervisor Go-Live Coaching Plans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W41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P6-T1</w:t>
            </w:r>
          </w:p>
        </w:tc>
        <w:tc>
          <w:tcPr>
            <w:tcW w:type="dxa" w:w="3363"/>
            <w:tcMar>
              <w:top w:w="20" w:type="dxa"/>
              <w:bottom w:w="20" w:type="dxa"/>
              <w:left w:w="40" w:type="dxa"/>
              <w:right w:w="40" w:type="dxa"/>
            </w:tcMar>
          </w:tcPr>
          <w:p>
            <w:pPr>
              <w:pStyle w:val="Compact"/>
              <w:jc w:val="left"/>
            </w:pPr>
            <w:r>
              <w:rPr>
                <w:bCs/>
                <w:b/>
                <w:sz w:val="17"/>
              </w:rPr>
              <w:t xml:space="preserve">Data Freeze &amp; Migration</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P6-T1-S1</w:t>
            </w:r>
          </w:p>
        </w:tc>
        <w:tc>
          <w:tcPr>
            <w:tcW w:type="dxa" w:w="3363"/>
            <w:tcMar>
              <w:top w:w="20" w:type="dxa"/>
              <w:bottom w:w="20" w:type="dxa"/>
              <w:left w:w="40" w:type="dxa"/>
              <w:right w:w="40" w:type="dxa"/>
            </w:tcMar>
          </w:tcPr>
          <w:p>
            <w:pPr>
              <w:pStyle w:val="Compact"/>
              <w:jc w:val="left"/>
            </w:pPr>
            <w:r>
              <w:rPr>
                <w:sz w:val="17"/>
              </w:rPr>
              <w:t xml:space="preserve">↳ [PM] Freeze Legacy-System Data Entry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P6-T1-S2</w:t>
            </w:r>
          </w:p>
        </w:tc>
        <w:tc>
          <w:tcPr>
            <w:tcW w:type="dxa" w:w="3363"/>
            <w:tcMar>
              <w:top w:w="20" w:type="dxa"/>
              <w:bottom w:w="20" w:type="dxa"/>
              <w:left w:w="40" w:type="dxa"/>
              <w:right w:w="40" w:type="dxa"/>
            </w:tcMar>
          </w:tcPr>
          <w:p>
            <w:pPr>
              <w:pStyle w:val="Compact"/>
              <w:jc w:val="left"/>
            </w:pPr>
            <w:r>
              <w:rPr>
                <w:sz w:val="17"/>
              </w:rPr>
              <w:t xml:space="preserve">↳ [PM] Run Final Migration &amp; Reconcile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P6-T2</w:t>
            </w:r>
          </w:p>
        </w:tc>
        <w:tc>
          <w:tcPr>
            <w:tcW w:type="dxa" w:w="3363"/>
            <w:tcMar>
              <w:top w:w="20" w:type="dxa"/>
              <w:bottom w:w="20" w:type="dxa"/>
              <w:left w:w="40" w:type="dxa"/>
              <w:right w:w="40" w:type="dxa"/>
            </w:tcMar>
          </w:tcPr>
          <w:p>
            <w:pPr>
              <w:pStyle w:val="Compact"/>
              <w:jc w:val="left"/>
            </w:pPr>
            <w:r>
              <w:rPr>
                <w:bCs/>
                <w:b/>
                <w:sz w:val="17"/>
              </w:rPr>
              <w:t xml:space="preserve">Cutover &amp; Technical Validation</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P6-T2-S1</w:t>
            </w:r>
          </w:p>
        </w:tc>
        <w:tc>
          <w:tcPr>
            <w:tcW w:type="dxa" w:w="3363"/>
            <w:tcMar>
              <w:top w:w="20" w:type="dxa"/>
              <w:bottom w:w="20" w:type="dxa"/>
              <w:left w:w="40" w:type="dxa"/>
              <w:right w:w="40" w:type="dxa"/>
            </w:tcMar>
          </w:tcPr>
          <w:p>
            <w:pPr>
              <w:pStyle w:val="Compact"/>
              <w:jc w:val="left"/>
            </w:pPr>
            <w:r>
              <w:rPr>
                <w:sz w:val="17"/>
              </w:rPr>
              <w:t xml:space="preserve">↳ [PM] Execute Cutover Runbook</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P6-T2-S2</w:t>
            </w:r>
          </w:p>
        </w:tc>
        <w:tc>
          <w:tcPr>
            <w:tcW w:type="dxa" w:w="3363"/>
            <w:tcMar>
              <w:top w:w="20" w:type="dxa"/>
              <w:bottom w:w="20" w:type="dxa"/>
              <w:left w:w="40" w:type="dxa"/>
              <w:right w:w="40" w:type="dxa"/>
            </w:tcMar>
          </w:tcPr>
          <w:p>
            <w:pPr>
              <w:pStyle w:val="Compact"/>
              <w:jc w:val="left"/>
            </w:pPr>
            <w:r>
              <w:rPr>
                <w:sz w:val="17"/>
              </w:rPr>
              <w:t xml:space="preserve">↳ [PM] Validate Live Platform vs. Acceptance Criteria</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P6-T3</w:t>
            </w:r>
          </w:p>
        </w:tc>
        <w:tc>
          <w:tcPr>
            <w:tcW w:type="dxa" w:w="3363"/>
            <w:tcMar>
              <w:top w:w="20" w:type="dxa"/>
              <w:bottom w:w="20" w:type="dxa"/>
              <w:left w:w="40" w:type="dxa"/>
              <w:right w:w="40" w:type="dxa"/>
            </w:tcMar>
          </w:tcPr>
          <w:p>
            <w:pPr>
              <w:pStyle w:val="Compact"/>
              <w:jc w:val="left"/>
            </w:pPr>
            <w:r>
              <w:rPr>
                <w:bCs/>
                <w:b/>
                <w:sz w:val="17"/>
              </w:rPr>
              <w:t xml:space="preserve">Go-Live Communication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P6-T3-S1</w:t>
            </w:r>
          </w:p>
        </w:tc>
        <w:tc>
          <w:tcPr>
            <w:tcW w:type="dxa" w:w="3363"/>
            <w:tcMar>
              <w:top w:w="20" w:type="dxa"/>
              <w:bottom w:w="20" w:type="dxa"/>
              <w:left w:w="40" w:type="dxa"/>
              <w:right w:w="40" w:type="dxa"/>
            </w:tcMar>
          </w:tcPr>
          <w:p>
            <w:pPr>
              <w:pStyle w:val="Compact"/>
              <w:jc w:val="left"/>
            </w:pPr>
            <w:r>
              <w:rPr>
                <w:sz w:val="17"/>
              </w:rPr>
              <w:t xml:space="preserve">↳ [CM] Draft &amp; Send Go-Live Confirmation, All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P6-T4</w:t>
            </w:r>
          </w:p>
        </w:tc>
        <w:tc>
          <w:tcPr>
            <w:tcW w:type="dxa" w:w="3363"/>
            <w:tcMar>
              <w:top w:w="20" w:type="dxa"/>
              <w:bottom w:w="20" w:type="dxa"/>
              <w:left w:w="40" w:type="dxa"/>
              <w:right w:w="40" w:type="dxa"/>
            </w:tcMar>
          </w:tcPr>
          <w:p>
            <w:pPr>
              <w:pStyle w:val="Compact"/>
              <w:jc w:val="left"/>
            </w:pPr>
            <w:r>
              <w:rPr>
                <w:bCs/>
                <w:b/>
                <w:sz w:val="17"/>
              </w:rPr>
              <w:t xml:space="preserve">Hypercare Activation &amp; Provisional Lewin (opens E3)</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P6-T4-S1</w:t>
            </w:r>
          </w:p>
        </w:tc>
        <w:tc>
          <w:tcPr>
            <w:tcW w:type="dxa" w:w="3363"/>
            <w:tcMar>
              <w:top w:w="20" w:type="dxa"/>
              <w:bottom w:w="20" w:type="dxa"/>
              <w:left w:w="40" w:type="dxa"/>
              <w:right w:w="40" w:type="dxa"/>
            </w:tcMar>
          </w:tcPr>
          <w:p>
            <w:pPr>
              <w:pStyle w:val="Compact"/>
              <w:jc w:val="left"/>
            </w:pPr>
            <w:r>
              <w:rPr>
                <w:sz w:val="17"/>
              </w:rPr>
              <w:t xml:space="preserve">↳ [CM] Activate Hypercare Support Model</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P6-T4-S2</w:t>
            </w:r>
          </w:p>
        </w:tc>
        <w:tc>
          <w:tcPr>
            <w:tcW w:type="dxa" w:w="3363"/>
            <w:tcMar>
              <w:top w:w="20" w:type="dxa"/>
              <w:bottom w:w="20" w:type="dxa"/>
              <w:left w:w="40" w:type="dxa"/>
              <w:right w:w="40" w:type="dxa"/>
            </w:tcMar>
          </w:tcPr>
          <w:p>
            <w:pPr>
              <w:pStyle w:val="Compact"/>
              <w:jc w:val="left"/>
            </w:pPr>
            <w:r>
              <w:rPr>
                <w:sz w:val="17"/>
              </w:rPr>
              <w:t xml:space="preserve">↳ [CM] Mark Lewin Provisional — opens E3</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D5</w:t>
            </w:r>
          </w:p>
        </w:tc>
        <w:tc>
          <w:tcPr>
            <w:tcW w:type="dxa" w:w="840"/>
            <w:tcMar>
              <w:top w:w="20" w:type="dxa"/>
              <w:bottom w:w="20" w:type="dxa"/>
              <w:left w:w="40" w:type="dxa"/>
              <w:right w:w="40" w:type="dxa"/>
            </w:tcMar>
          </w:tcPr>
          <w:p>
            <w:pPr>
              <w:pStyle w:val="Compact"/>
              <w:jc w:val="left"/>
            </w:pPr>
            <w:r>
              <w:rPr>
                <w:sz w:val="17"/>
              </w:rPr>
              <w:t xml:space="preserve">Change → Refreeze (provisional)</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P7-T1</w:t>
            </w:r>
          </w:p>
        </w:tc>
        <w:tc>
          <w:tcPr>
            <w:tcW w:type="dxa" w:w="3363"/>
            <w:tcMar>
              <w:top w:w="20" w:type="dxa"/>
              <w:bottom w:w="20" w:type="dxa"/>
              <w:left w:w="40" w:type="dxa"/>
              <w:right w:w="40" w:type="dxa"/>
            </w:tcMar>
          </w:tcPr>
          <w:p>
            <w:pPr>
              <w:pStyle w:val="Compact"/>
              <w:jc w:val="left"/>
            </w:pPr>
            <w:r>
              <w:rPr>
                <w:bCs/>
                <w:b/>
                <w:sz w:val="17"/>
              </w:rPr>
              <w:t xml:space="preserve">Elevated Support &amp; Escalation Path</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P7-T1-S1</w:t>
            </w:r>
          </w:p>
        </w:tc>
        <w:tc>
          <w:tcPr>
            <w:tcW w:type="dxa" w:w="3363"/>
            <w:tcMar>
              <w:top w:w="20" w:type="dxa"/>
              <w:bottom w:w="20" w:type="dxa"/>
              <w:left w:w="40" w:type="dxa"/>
              <w:right w:w="40" w:type="dxa"/>
            </w:tcMar>
          </w:tcPr>
          <w:p>
            <w:pPr>
              <w:pStyle w:val="Compact"/>
              <w:jc w:val="left"/>
            </w:pPr>
            <w:r>
              <w:rPr>
                <w:sz w:val="17"/>
              </w:rPr>
              <w:t xml:space="preserve">↳ [CM] Continue Elevated Support Desk Staffing</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P7-T1-S2</w:t>
            </w:r>
          </w:p>
        </w:tc>
        <w:tc>
          <w:tcPr>
            <w:tcW w:type="dxa" w:w="3363"/>
            <w:tcMar>
              <w:top w:w="20" w:type="dxa"/>
              <w:bottom w:w="20" w:type="dxa"/>
              <w:left w:w="40" w:type="dxa"/>
              <w:right w:w="40" w:type="dxa"/>
            </w:tcMar>
          </w:tcPr>
          <w:p>
            <w:pPr>
              <w:pStyle w:val="Compact"/>
              <w:jc w:val="left"/>
            </w:pPr>
            <w:r>
              <w:rPr>
                <w:sz w:val="17"/>
              </w:rPr>
              <w:t xml:space="preserve">↳ [CM] Publish Escalation Path, All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P7-T2</w:t>
            </w:r>
          </w:p>
        </w:tc>
        <w:tc>
          <w:tcPr>
            <w:tcW w:type="dxa" w:w="3363"/>
            <w:tcMar>
              <w:top w:w="20" w:type="dxa"/>
              <w:bottom w:w="20" w:type="dxa"/>
              <w:left w:w="40" w:type="dxa"/>
              <w:right w:w="40" w:type="dxa"/>
            </w:tcMar>
          </w:tcPr>
          <w:p>
            <w:pPr>
              <w:pStyle w:val="Compact"/>
              <w:jc w:val="left"/>
            </w:pPr>
            <w:r>
              <w:rPr>
                <w:bCs/>
                <w:b/>
                <w:sz w:val="17"/>
              </w:rPr>
              <w:t xml:space="preserve">Adoption Dashboard &amp; Defect Triage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W44–45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P7-T2-S1</w:t>
            </w:r>
          </w:p>
        </w:tc>
        <w:tc>
          <w:tcPr>
            <w:tcW w:type="dxa" w:w="3363"/>
            <w:tcMar>
              <w:top w:w="20" w:type="dxa"/>
              <w:bottom w:w="20" w:type="dxa"/>
              <w:left w:w="40" w:type="dxa"/>
              <w:right w:w="40" w:type="dxa"/>
            </w:tcMar>
          </w:tcPr>
          <w:p>
            <w:pPr>
              <w:pStyle w:val="Compact"/>
              <w:jc w:val="left"/>
            </w:pPr>
            <w:r>
              <w:rPr>
                <w:sz w:val="17"/>
              </w:rPr>
              <w:t xml:space="preserve">↳ [PM] Review M14 Adoption Dashboard Daily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P7-T2-S2</w:t>
            </w:r>
          </w:p>
        </w:tc>
        <w:tc>
          <w:tcPr>
            <w:tcW w:type="dxa" w:w="3363"/>
            <w:tcMar>
              <w:top w:w="20" w:type="dxa"/>
              <w:bottom w:w="20" w:type="dxa"/>
              <w:left w:w="40" w:type="dxa"/>
              <w:right w:w="40" w:type="dxa"/>
            </w:tcMar>
          </w:tcPr>
          <w:p>
            <w:pPr>
              <w:pStyle w:val="Compact"/>
              <w:jc w:val="left"/>
            </w:pPr>
            <w:r>
              <w:rPr>
                <w:sz w:val="17"/>
              </w:rPr>
              <w:t xml:space="preserve">↳ [PM] Triage &amp; Route Defects by Severity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P7-T3</w:t>
            </w:r>
          </w:p>
        </w:tc>
        <w:tc>
          <w:tcPr>
            <w:tcW w:type="dxa" w:w="3363"/>
            <w:tcMar>
              <w:top w:w="20" w:type="dxa"/>
              <w:bottom w:w="20" w:type="dxa"/>
              <w:left w:w="40" w:type="dxa"/>
              <w:right w:w="40" w:type="dxa"/>
            </w:tcMar>
          </w:tcPr>
          <w:p>
            <w:pPr>
              <w:pStyle w:val="Compact"/>
              <w:jc w:val="left"/>
            </w:pPr>
            <w:r>
              <w:rPr>
                <w:bCs/>
                <w:b/>
                <w:sz w:val="17"/>
              </w:rPr>
              <w:t xml:space="preserve">Bridges/Kübler-Ross Re-Pulse (E4)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W45–47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P7-T3-S1</w:t>
            </w:r>
          </w:p>
        </w:tc>
        <w:tc>
          <w:tcPr>
            <w:tcW w:type="dxa" w:w="3363"/>
            <w:tcMar>
              <w:top w:w="20" w:type="dxa"/>
              <w:bottom w:w="20" w:type="dxa"/>
              <w:left w:w="40" w:type="dxa"/>
              <w:right w:w="40" w:type="dxa"/>
            </w:tcMar>
          </w:tcPr>
          <w:p>
            <w:pPr>
              <w:pStyle w:val="Compact"/>
              <w:jc w:val="left"/>
            </w:pPr>
            <w:r>
              <w:rPr>
                <w:sz w:val="17"/>
              </w:rPr>
              <w:t xml:space="preserve">↳ [CM] Re-Score Bridges &amp; Kübler-Ross, 2-Week Mark — opens E4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Casa/Settat New Beginning; Kenitra Neutral Zone (dip)</w:t>
            </w:r>
          </w:p>
        </w:tc>
        <w:tc>
          <w:tcPr>
            <w:tcW w:type="dxa" w:w="840"/>
            <w:tcMar>
              <w:top w:w="20" w:type="dxa"/>
              <w:bottom w:w="20" w:type="dxa"/>
              <w:left w:w="40" w:type="dxa"/>
              <w:right w:w="40" w:type="dxa"/>
            </w:tcMar>
          </w:tcPr>
          <w:p>
            <w:pPr>
              <w:pStyle w:val="Compact"/>
              <w:jc w:val="left"/>
            </w:pPr>
            <w:r>
              <w:rPr>
                <w:sz w:val="17"/>
              </w:rPr>
              <w:t xml:space="preserve">Casa/Settat Exploration; Kenitra Resistance/Anger (dip)</w:t>
            </w:r>
          </w:p>
        </w:tc>
      </w:tr>
      <w:tr>
        <w:trPr>
          <w:cantSplit/>
        </w:trPr>
        <w:tc>
          <w:tcPr>
            <w:tcW w:type="dxa" w:w="1156"/>
            <w:tcMar>
              <w:top w:w="20" w:type="dxa"/>
              <w:bottom w:w="20" w:type="dxa"/>
              <w:left w:w="40" w:type="dxa"/>
              <w:right w:w="40" w:type="dxa"/>
            </w:tcMar>
          </w:tcPr>
          <w:p>
            <w:pPr>
              <w:pStyle w:val="Compact"/>
              <w:jc w:val="left"/>
            </w:pPr>
            <w:r>
              <w:rPr>
                <w:sz w:val="17"/>
              </w:rPr>
              <w:t xml:space="preserve">P7-T3-S2</w:t>
            </w:r>
          </w:p>
        </w:tc>
        <w:tc>
          <w:tcPr>
            <w:tcW w:type="dxa" w:w="3363"/>
            <w:tcMar>
              <w:top w:w="20" w:type="dxa"/>
              <w:bottom w:w="20" w:type="dxa"/>
              <w:left w:w="40" w:type="dxa"/>
              <w:right w:w="40" w:type="dxa"/>
            </w:tcMar>
          </w:tcPr>
          <w:p>
            <w:pPr>
              <w:pStyle w:val="Compact"/>
              <w:jc w:val="left"/>
            </w:pPr>
            <w:r>
              <w:rPr>
                <w:sz w:val="17"/>
              </w:rPr>
              <w:t xml:space="preserve">↳ [CM] Repeat Re-Pulse, 4-Week Mark — E4 closes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Kenitra Neutral Zone → New Beginning</w:t>
            </w:r>
          </w:p>
        </w:tc>
        <w:tc>
          <w:tcPr>
            <w:tcW w:type="dxa" w:w="840"/>
            <w:tcMar>
              <w:top w:w="20" w:type="dxa"/>
              <w:bottom w:w="20" w:type="dxa"/>
              <w:left w:w="40" w:type="dxa"/>
              <w:right w:w="40" w:type="dxa"/>
            </w:tcMar>
          </w:tcPr>
          <w:p>
            <w:pPr>
              <w:pStyle w:val="Compact"/>
              <w:jc w:val="left"/>
            </w:pPr>
            <w:r>
              <w:rPr>
                <w:sz w:val="17"/>
              </w:rPr>
              <w:t xml:space="preserve">Kenitra Resistance/Anger → Exploration</w:t>
            </w:r>
          </w:p>
        </w:tc>
      </w:tr>
      <w:tr>
        <w:trPr>
          <w:cantSplit/>
        </w:trPr>
        <w:tc>
          <w:tcPr>
            <w:tcW w:type="dxa" w:w="1156"/>
            <w:tcMar>
              <w:top w:w="20" w:type="dxa"/>
              <w:bottom w:w="20" w:type="dxa"/>
              <w:left w:w="40" w:type="dxa"/>
              <w:right w:w="40" w:type="dxa"/>
            </w:tcMar>
          </w:tcPr>
          <w:p>
            <w:pPr>
              <w:pStyle w:val="Compact"/>
              <w:jc w:val="left"/>
            </w:pPr>
            <w:r>
              <w:rPr>
                <w:bCs/>
                <w:b/>
                <w:sz w:val="17"/>
              </w:rPr>
              <w:t xml:space="preserve">P7-T4</w:t>
            </w:r>
          </w:p>
        </w:tc>
        <w:tc>
          <w:tcPr>
            <w:tcW w:type="dxa" w:w="3363"/>
            <w:tcMar>
              <w:top w:w="20" w:type="dxa"/>
              <w:bottom w:w="20" w:type="dxa"/>
              <w:left w:w="40" w:type="dxa"/>
              <w:right w:w="40" w:type="dxa"/>
            </w:tcMar>
          </w:tcPr>
          <w:p>
            <w:pPr>
              <w:pStyle w:val="Compact"/>
              <w:jc w:val="left"/>
            </w:pPr>
            <w:r>
              <w:rPr>
                <w:bCs/>
                <w:b/>
                <w:sz w:val="17"/>
              </w:rPr>
              <w:t xml:space="preserve">Backward-Movement Check &amp; Phase Gate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W48–50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P7-T4-S1</w:t>
            </w:r>
          </w:p>
        </w:tc>
        <w:tc>
          <w:tcPr>
            <w:tcW w:type="dxa" w:w="3363"/>
            <w:tcMar>
              <w:top w:w="20" w:type="dxa"/>
              <w:bottom w:w="20" w:type="dxa"/>
              <w:left w:w="40" w:type="dxa"/>
              <w:right w:w="40" w:type="dxa"/>
            </w:tcMar>
          </w:tcPr>
          <w:p>
            <w:pPr>
              <w:pStyle w:val="Compact"/>
              <w:jc w:val="left"/>
            </w:pPr>
            <w:r>
              <w:rPr>
                <w:sz w:val="17"/>
              </w:rPr>
              <w:t xml:space="preserve">↳ [CM] Identify Any Cohort Moved Backward — E6 closes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P7-T4-S2</w:t>
            </w:r>
          </w:p>
        </w:tc>
        <w:tc>
          <w:tcPr>
            <w:tcW w:type="dxa" w:w="3363"/>
            <w:tcMar>
              <w:top w:w="20" w:type="dxa"/>
              <w:bottom w:w="20" w:type="dxa"/>
              <w:left w:w="40" w:type="dxa"/>
              <w:right w:w="40" w:type="dxa"/>
            </w:tcMar>
          </w:tcPr>
          <w:p>
            <w:pPr>
              <w:pStyle w:val="Compact"/>
              <w:jc w:val="left"/>
            </w:pPr>
            <w:r>
              <w:rPr>
                <w:sz w:val="17"/>
              </w:rPr>
              <w:t xml:space="preserve">↳ [CM] Confirm Bridges/Kübler-Ross, All Sites — E3 evidence complete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W50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New Beginning (all sites, confirmed)</w:t>
            </w:r>
          </w:p>
        </w:tc>
        <w:tc>
          <w:tcPr>
            <w:tcW w:type="dxa" w:w="840"/>
            <w:tcMar>
              <w:top w:w="20" w:type="dxa"/>
              <w:bottom w:w="20" w:type="dxa"/>
              <w:left w:w="40" w:type="dxa"/>
              <w:right w:w="40" w:type="dxa"/>
            </w:tcMar>
          </w:tcPr>
          <w:p>
            <w:pPr>
              <w:pStyle w:val="Compact"/>
              <w:jc w:val="left"/>
            </w:pPr>
            <w:r>
              <w:rPr>
                <w:sz w:val="17"/>
              </w:rPr>
              <w:t xml:space="preserve">Exploration or better (all sites, confirmed)</w:t>
            </w:r>
          </w:p>
        </w:tc>
      </w:tr>
      <w:tr>
        <w:trPr>
          <w:cantSplit/>
        </w:trPr>
        <w:tc>
          <w:tcPr>
            <w:tcW w:type="dxa" w:w="1156"/>
            <w:tcMar>
              <w:top w:w="20" w:type="dxa"/>
              <w:bottom w:w="20" w:type="dxa"/>
              <w:left w:w="40" w:type="dxa"/>
              <w:right w:w="40" w:type="dxa"/>
            </w:tcMar>
          </w:tcPr>
          <w:p>
            <w:pPr>
              <w:pStyle w:val="Compact"/>
              <w:jc w:val="left"/>
            </w:pPr>
            <w:r>
              <w:rPr>
                <w:bCs/>
                <w:b/>
                <w:sz w:val="17"/>
              </w:rPr>
              <w:t xml:space="preserve">P8-T1</w:t>
            </w:r>
          </w:p>
        </w:tc>
        <w:tc>
          <w:tcPr>
            <w:tcW w:type="dxa" w:w="3363"/>
            <w:tcMar>
              <w:top w:w="20" w:type="dxa"/>
              <w:bottom w:w="20" w:type="dxa"/>
              <w:left w:w="40" w:type="dxa"/>
              <w:right w:w="40" w:type="dxa"/>
            </w:tcMar>
          </w:tcPr>
          <w:p>
            <w:pPr>
              <w:pStyle w:val="Compact"/>
              <w:jc w:val="left"/>
            </w:pPr>
            <w:r>
              <w:rPr>
                <w:bCs/>
                <w:b/>
                <w:sz w:val="17"/>
              </w:rPr>
              <w:t xml:space="preserve">New-Process Metrics Agreement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W51–52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P8-T1-S1</w:t>
            </w:r>
          </w:p>
        </w:tc>
        <w:tc>
          <w:tcPr>
            <w:tcW w:type="dxa" w:w="3363"/>
            <w:tcMar>
              <w:top w:w="20" w:type="dxa"/>
              <w:bottom w:w="20" w:type="dxa"/>
              <w:left w:w="40" w:type="dxa"/>
              <w:right w:w="40" w:type="dxa"/>
            </w:tcMar>
          </w:tcPr>
          <w:p>
            <w:pPr>
              <w:pStyle w:val="Compact"/>
              <w:jc w:val="left"/>
            </w:pPr>
            <w:r>
              <w:rPr>
                <w:sz w:val="17"/>
              </w:rPr>
              <w:t xml:space="preserve">↳ [CM] Agree New-Process Metrics with HR</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P8-T1-S2</w:t>
            </w:r>
          </w:p>
        </w:tc>
        <w:tc>
          <w:tcPr>
            <w:tcW w:type="dxa" w:w="3363"/>
            <w:tcMar>
              <w:top w:w="20" w:type="dxa"/>
              <w:bottom w:w="20" w:type="dxa"/>
              <w:left w:w="40" w:type="dxa"/>
              <w:right w:w="40" w:type="dxa"/>
            </w:tcMar>
          </w:tcPr>
          <w:p>
            <w:pPr>
              <w:pStyle w:val="Compact"/>
              <w:jc w:val="left"/>
            </w:pPr>
            <w:r>
              <w:rPr>
                <w:sz w:val="17"/>
              </w:rPr>
              <w:t xml:space="preserve">↳ [CM] Confirm Metrics Live; Run 60-Day Checkpoint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P8-T2</w:t>
            </w:r>
          </w:p>
        </w:tc>
        <w:tc>
          <w:tcPr>
            <w:tcW w:type="dxa" w:w="3363"/>
            <w:tcMar>
              <w:top w:w="20" w:type="dxa"/>
              <w:bottom w:w="20" w:type="dxa"/>
              <w:left w:w="40" w:type="dxa"/>
              <w:right w:w="40" w:type="dxa"/>
            </w:tcMar>
          </w:tcPr>
          <w:p>
            <w:pPr>
              <w:pStyle w:val="Compact"/>
              <w:jc w:val="left"/>
            </w:pPr>
            <w:r>
              <w:rPr>
                <w:bCs/>
                <w:b/>
                <w:sz w:val="17"/>
              </w:rPr>
              <w:t xml:space="preserve">Reinforcement Mechanisms &amp; Legacy Decommission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W53–54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P8-T2-S1</w:t>
            </w:r>
          </w:p>
        </w:tc>
        <w:tc>
          <w:tcPr>
            <w:tcW w:type="dxa" w:w="3363"/>
            <w:tcMar>
              <w:top w:w="20" w:type="dxa"/>
              <w:bottom w:w="20" w:type="dxa"/>
              <w:left w:w="40" w:type="dxa"/>
              <w:right w:w="40" w:type="dxa"/>
            </w:tcMar>
          </w:tcPr>
          <w:p>
            <w:pPr>
              <w:pStyle w:val="Compact"/>
              <w:jc w:val="left"/>
            </w:pPr>
            <w:r>
              <w:rPr>
                <w:sz w:val="17"/>
              </w:rPr>
              <w:t xml:space="preserve">↳ [CM] Confirm Recognition/Check-In Mechanisms Running</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P8-T2-S2</w:t>
            </w:r>
          </w:p>
        </w:tc>
        <w:tc>
          <w:tcPr>
            <w:tcW w:type="dxa" w:w="3363"/>
            <w:tcMar>
              <w:top w:w="20" w:type="dxa"/>
              <w:bottom w:w="20" w:type="dxa"/>
              <w:left w:w="40" w:type="dxa"/>
              <w:right w:w="40" w:type="dxa"/>
            </w:tcMar>
          </w:tcPr>
          <w:p>
            <w:pPr>
              <w:pStyle w:val="Compact"/>
              <w:jc w:val="left"/>
            </w:pPr>
            <w:r>
              <w:rPr>
                <w:sz w:val="17"/>
              </w:rPr>
              <w:t xml:space="preserve">↳ [CM] Confirm Legacy Access Revoked, All Users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P8-T3</w:t>
            </w:r>
          </w:p>
        </w:tc>
        <w:tc>
          <w:tcPr>
            <w:tcW w:type="dxa" w:w="3363"/>
            <w:tcMar>
              <w:top w:w="20" w:type="dxa"/>
              <w:bottom w:w="20" w:type="dxa"/>
              <w:left w:w="40" w:type="dxa"/>
              <w:right w:w="40" w:type="dxa"/>
            </w:tcMar>
          </w:tcPr>
          <w:p>
            <w:pPr>
              <w:pStyle w:val="Compact"/>
              <w:jc w:val="left"/>
            </w:pPr>
            <w:r>
              <w:rPr>
                <w:bCs/>
                <w:b/>
                <w:sz w:val="17"/>
              </w:rPr>
              <w:t xml:space="preserve">90-Day Checkpoint &amp; Reinforcement Gap (E5)</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W56–63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P8-T3-S1</w:t>
            </w:r>
          </w:p>
        </w:tc>
        <w:tc>
          <w:tcPr>
            <w:tcW w:type="dxa" w:w="3363"/>
            <w:tcMar>
              <w:top w:w="20" w:type="dxa"/>
              <w:bottom w:w="20" w:type="dxa"/>
              <w:left w:w="40" w:type="dxa"/>
              <w:right w:w="40" w:type="dxa"/>
            </w:tcMar>
          </w:tcPr>
          <w:p>
            <w:pPr>
              <w:pStyle w:val="Compact"/>
              <w:jc w:val="left"/>
            </w:pPr>
            <w:r>
              <w:rPr>
                <w:sz w:val="17"/>
              </w:rPr>
              <w:t xml:space="preserve">↳ [CM] Run 90-Day Checkpoint Review — opens E5</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Reinforcement = 2.6 (below 3.0 target)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P8-T3-S2</w:t>
            </w:r>
          </w:p>
        </w:tc>
        <w:tc>
          <w:tcPr>
            <w:tcW w:type="dxa" w:w="3363"/>
            <w:tcMar>
              <w:top w:w="20" w:type="dxa"/>
              <w:bottom w:w="20" w:type="dxa"/>
              <w:left w:w="40" w:type="dxa"/>
              <w:right w:w="40" w:type="dxa"/>
            </w:tcMar>
          </w:tcPr>
          <w:p>
            <w:pPr>
              <w:pStyle w:val="Compact"/>
              <w:jc w:val="left"/>
            </w:pPr>
            <w:r>
              <w:rPr>
                <w:sz w:val="17"/>
              </w:rPr>
              <w:t xml:space="preserve">↳ [CM] Second Extended Checkpoint, Evidence-Gated — via E5 Recovery Task 5 (1B.4); E5 closes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Reinforcement = 3.3</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P8-T4</w:t>
            </w:r>
          </w:p>
        </w:tc>
        <w:tc>
          <w:tcPr>
            <w:tcW w:type="dxa" w:w="3363"/>
            <w:tcMar>
              <w:top w:w="20" w:type="dxa"/>
              <w:bottom w:w="20" w:type="dxa"/>
              <w:left w:w="40" w:type="dxa"/>
              <w:right w:w="40" w:type="dxa"/>
            </w:tcMar>
          </w:tcPr>
          <w:p>
            <w:pPr>
              <w:pStyle w:val="Compact"/>
              <w:jc w:val="left"/>
            </w:pPr>
            <w:r>
              <w:rPr>
                <w:bCs/>
                <w:b/>
                <w:sz w:val="17"/>
              </w:rPr>
              <w:t xml:space="preserve">Refreeze Confirmation &amp; Program Closure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P8-T4-S1</w:t>
            </w:r>
          </w:p>
        </w:tc>
        <w:tc>
          <w:tcPr>
            <w:tcW w:type="dxa" w:w="3363"/>
            <w:tcMar>
              <w:top w:w="20" w:type="dxa"/>
              <w:bottom w:w="20" w:type="dxa"/>
              <w:left w:w="40" w:type="dxa"/>
              <w:right w:w="40" w:type="dxa"/>
            </w:tcMar>
          </w:tcPr>
          <w:p>
            <w:pPr>
              <w:pStyle w:val="Compact"/>
              <w:jc w:val="left"/>
            </w:pPr>
            <w:r>
              <w:rPr>
                <w:sz w:val="17"/>
              </w:rPr>
              <w:t xml:space="preserve">↳ [CM] Review Three Consecutive Healthy Checkpoints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P8-T4-S2</w:t>
            </w:r>
          </w:p>
        </w:tc>
        <w:tc>
          <w:tcPr>
            <w:tcW w:type="dxa" w:w="3363"/>
            <w:tcMar>
              <w:top w:w="20" w:type="dxa"/>
              <w:bottom w:w="20" w:type="dxa"/>
              <w:left w:w="40" w:type="dxa"/>
              <w:right w:w="40" w:type="dxa"/>
            </w:tcMar>
          </w:tcPr>
          <w:p>
            <w:pPr>
              <w:pStyle w:val="Compact"/>
              <w:jc w:val="left"/>
            </w:pPr>
            <w:r>
              <w:rPr>
                <w:sz w:val="17"/>
              </w:rPr>
              <w:t xml:space="preserve">↳ [CM] Log Refreeze; Toggle Sustainment Sign-Off</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W64</w:t>
            </w:r>
          </w:p>
        </w:tc>
        <w:tc>
          <w:tcPr>
            <w:tcW w:type="dxa" w:w="840"/>
            <w:tcMar>
              <w:top w:w="20" w:type="dxa"/>
              <w:bottom w:w="20" w:type="dxa"/>
              <w:left w:w="40" w:type="dxa"/>
              <w:right w:w="40" w:type="dxa"/>
            </w:tcMar>
          </w:tcPr>
          <w:p>
            <w:pPr>
              <w:pStyle w:val="Compact"/>
              <w:jc w:val="left"/>
            </w:pPr>
            <w:r>
              <w:rPr>
                <w:sz w:val="17"/>
              </w:rPr>
              <w:t xml:space="preserve">Refreeze (confirmed)</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bl>
    <w:p>
      <w:pPr>
        <w:pStyle w:val="BodyText"/>
      </w:pPr>
    </w:p>
    <w:bookmarkEnd w:id="45"/>
    <w:bookmarkEnd w:id="46"/>
    <w:bookmarkStart w:id="53" w:name="b.4-six-exception-scenarios-in-detail"/>
    <w:p>
      <w:pPr>
        <w:pStyle w:val="Heading3"/>
      </w:pPr>
      <w:r>
        <w:rPr>
          <w:b/>
          <w:color w:val="3F827B"/>
          <w:sz w:val="29"/>
        </w:rPr>
        <w:t xml:space="preserve">1B.4 Six Exception Scenarios, in Detail</w:t>
      </w:r>
    </w:p>
    <w:p>
      <w:pPr>
        <w:pStyle w:val="FirstParagraph"/>
      </w:pPr>
      <w:r>
        <w:rPr>
          <w:sz w:val="25"/>
        </w:rPr>
        <w:t xml:space="preserve">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pPr>
    </w:p>
    <w:bookmarkStart w:id="47" w:name="Xa1621b4e219ab24d722269cde7fd891fa2411a5"/>
    <w:p>
      <w:pPr>
        <w:pStyle w:val="Heading4"/>
      </w:pPr>
      <w:r>
        <w:rPr>
          <w:b/>
          <w:color w:val="5A8F89"/>
          <w:sz w:val="26"/>
        </w:rPr>
        <w:t xml:space="preserve">E1 — Desire Stall at Settat (Related to Phase 3 — Build)</w:t>
      </w:r>
    </w:p>
    <w:p>
      <w:pPr>
        <w:pStyle w:val="FirstParagraph"/>
      </w:pPr>
      <w:r>
        <w:rPr>
          <w:bCs/>
          <w:b/>
          <w:sz w:val="25"/>
        </w:rPr>
        <w:t xml:space="preserve">Trigger:</w:t>
      </w:r>
      <w:r>
        <w:rPr>
          <w:sz w:val="25"/>
        </w:rPr>
        <w:t xml:space="preserve"> </w:t>
      </w:r>
      <w:r>
        <w:rPr>
          <w:sz w:val="25"/>
        </w:rPr>
        <w:t xml:space="preserve">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pPr>
      <w:r>
        <w:rPr>
          <w:bCs/>
          <w:b/>
          <w:sz w:val="25"/>
        </w:rPr>
        <w:t xml:space="preserve">Timeline impact:</w:t>
      </w:r>
      <w:r>
        <w:rPr>
          <w:sz w:val="25"/>
        </w:rPr>
        <w:t xml:space="preserve"> </w:t>
      </w:r>
      <w:r>
        <w:rPr>
          <w:sz w:val="25"/>
        </w:rPr>
        <w:t xml:space="preserve">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pPr>
      <w:r>
        <w:rPr>
          <w:bCs/>
          <w:b/>
          <w:sz w:val="25"/>
        </w:rPr>
        <w:t xml:space="preserve">Recovery Tasks:</w:t>
      </w:r>
    </w:p>
    <w:p>
      <w:pPr>
        <w:numPr>
          <w:ilvl w:val="0"/>
          <w:numId w:val="1014"/>
        </w:numPr>
        <w:pStyle w:val="Compact"/>
      </w:pPr>
      <w:r>
        <w:rPr>
          <w:bCs/>
          <w:b/>
          <w:sz w:val="25"/>
        </w:rPr>
        <w:t xml:space="preserve">Cluster barrier-reason notes by root cause.</w:t>
      </w:r>
      <w:r>
        <w:rPr>
          <w:sz w:val="25"/>
        </w:rPr>
        <w:t xml:space="preserve"> </w:t>
      </w:r>
      <w:r>
        <w:rPr>
          <w:sz w:val="25"/>
        </w:rPr>
        <w:t xml:space="preserve">Houda Zerouali reviews Settat’s logged barrier notes and finds the two recurring themes: workflow visibility and position security, not the system itself.</w:t>
      </w:r>
      <w:r>
        <w:rPr>
          <w:sz w:val="25"/>
        </w:rPr>
        <w:t xml:space="preserve"> </w:t>
      </w:r>
      <w:r>
        <w:rPr>
          <w:iCs/>
          <w:i/>
          <w:sz w:val="25"/>
        </w:rPr>
        <w:t xml:space="preserve">journi: M5 (ADKAR Engine).</w:t>
      </w:r>
      <w:r>
        <w:rPr>
          <w:sz w:val="25"/>
        </w:rPr>
        <w:t xml:space="preserve"> </w:t>
      </w:r>
      <w:r>
        <w:rPr>
          <w:sz w:val="25"/>
        </w:rPr>
        <w:t xml:space="preserve">Technique: root-cause clustering — goal: separate the real driver from the noise before designing any response.</w:t>
      </w:r>
    </w:p>
    <w:p>
      <w:pPr>
        <w:numPr>
          <w:ilvl w:val="0"/>
          <w:numId w:val="1014"/>
        </w:numPr>
        <w:pStyle w:val="Compact"/>
      </w:pPr>
      <w:r>
        <w:rPr>
          <w:bCs/>
          <w:b/>
          <w:sz w:val="25"/>
        </w:rPr>
        <w:t xml:space="preserve">Run targeted listening sessions.</w:t>
      </w:r>
      <w:r>
        <w:rPr>
          <w:sz w:val="25"/>
        </w:rPr>
        <w:t xml:space="preserve"> </w:t>
      </w:r>
      <w:r>
        <w:rPr>
          <w:sz w:val="25"/>
        </w:rPr>
        <w:t xml:space="preserve">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numPr>
          <w:ilvl w:val="0"/>
          <w:numId w:val="1014"/>
        </w:numPr>
        <w:pStyle w:val="Compact"/>
      </w:pPr>
      <w:r>
        <w:rPr>
          <w:bCs/>
          <w:b/>
          <w:sz w:val="25"/>
        </w:rPr>
        <w:t xml:space="preserve">Design a specific, credible response.</w:t>
      </w:r>
      <w:r>
        <w:rPr>
          <w:sz w:val="25"/>
        </w:rPr>
        <w:t xml:space="preserve"> </w:t>
      </w:r>
      <w:r>
        <w:rPr>
          <w:sz w:val="25"/>
        </w:rPr>
        <w:t xml:space="preserve">Driss El Amrani and the CFO agree a concrete, verifiable commitment on staffing levels post-go-live — not a vague reassurance. Technique: credible-response design — goal: a commitment specific and checkable enough that the cohort can hold the Sponsor to it.</w:t>
      </w:r>
    </w:p>
    <w:p>
      <w:pPr>
        <w:numPr>
          <w:ilvl w:val="0"/>
          <w:numId w:val="1014"/>
        </w:numPr>
        <w:pStyle w:val="Compact"/>
      </w:pPr>
      <w:r>
        <w:rPr>
          <w:bCs/>
          <w:b/>
          <w:sz w:val="25"/>
        </w:rPr>
        <w:t xml:space="preserve">Have the Sponsor deliver the response personally.</w:t>
      </w:r>
      <w:r>
        <w:rPr>
          <w:sz w:val="25"/>
        </w:rPr>
        <w:t xml:space="preserve"> </w:t>
      </w:r>
      <w:r>
        <w:rPr>
          <w:sz w:val="25"/>
        </w:rPr>
        <w:t xml:space="preserve">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numPr>
          <w:ilvl w:val="0"/>
          <w:numId w:val="1014"/>
        </w:numPr>
        <w:pStyle w:val="Compact"/>
      </w:pPr>
      <w:r>
        <w:rPr>
          <w:bCs/>
          <w:b/>
          <w:sz w:val="25"/>
        </w:rPr>
        <w:t xml:space="preserve">Re-score Desire and Kübler-Ross sentiment 2–4 weeks later.</w:t>
      </w:r>
      <w:r>
        <w:rPr>
          <w:sz w:val="25"/>
        </w:rPr>
        <w:t xml:space="preserve"> </w:t>
      </w:r>
      <w:r>
        <w:rPr>
          <w:sz w:val="25"/>
        </w:rPr>
        <w:t xml:space="preserve">Both scores are re-read on M5 (ADKAR Engine)/M6 (Emotional &amp; Transition Layer) to confirm the intervention actually worked, not just that it happened.</w:t>
      </w:r>
      <w:r>
        <w:rPr>
          <w:sz w:val="25"/>
        </w:rPr>
        <w:t xml:space="preserve"> </w:t>
      </w:r>
      <w:r>
        <w:rPr>
          <w:iCs/>
          <w:i/>
          <w:sz w:val="25"/>
        </w:rPr>
        <w:t xml:space="preserve">journi: M5 (ADKAR Engine)–M6 (Emotional &amp; Transition Layer).</w:t>
      </w:r>
      <w:r>
        <w:rPr>
          <w:sz w:val="25"/>
        </w:rPr>
        <w:t xml:space="preserve"> </w:t>
      </w:r>
      <w:r>
        <w:rPr>
          <w:sz w:val="25"/>
        </w:rPr>
        <w:t xml:space="preserve">Technique: post-intervention re-scoring — goal: verify the fix worked, not just that it was attempted.</w:t>
      </w:r>
    </w:p>
    <w:p>
      <w:pPr>
        <w:pStyle w:val="FirstParagraph"/>
      </w:pPr>
      <w:r>
        <w:rPr>
          <w:bCs/>
          <w:b/>
          <w:sz w:val="25"/>
        </w:rPr>
        <w:t xml:space="preserve">Outputs:</w:t>
      </w:r>
      <w:r>
        <w:rPr>
          <w:sz w:val="25"/>
        </w:rPr>
        <w:t xml:space="preserve"> </w:t>
      </w:r>
      <w:r>
        <w:rPr>
          <w:sz w:val="25"/>
        </w:rPr>
        <w:t xml:space="preserve">root-cause clustering of the Desire stall; a specific, sponsor-delivered response; updated Desire and Kübler-Ross scores; Settat cleared to enter Train’s Task 1 on schedule.</w:t>
      </w:r>
    </w:p>
    <w:p>
      <w:pPr>
        <w:pStyle w:val="BodyText"/>
      </w:pPr>
      <w:r>
        <w:rPr>
          <w:bCs/>
          <w:b/>
          <w:sz w:val="25"/>
        </w:rPr>
        <w:t xml:space="preserve">RACSI for this exception.</w:t>
      </w:r>
      <w:r>
        <w:rPr>
          <w:sz w:val="25"/>
        </w:rPr>
        <w:t xml:space="preserve"> </w:t>
      </w:r>
      <w:r>
        <w:rPr>
          <w:sz w:val="25"/>
        </w:rPr>
        <w:t xml:space="preserve">R = CM · A = CM · C = ES, SUP · S = PM · I = FPO, EU</w:t>
      </w:r>
    </w:p>
    <w:p>
      <w:pPr>
        <w:pStyle w:val="BodyText"/>
      </w:pPr>
    </w:p>
    <w:bookmarkEnd w:id="47"/>
    <w:bookmarkStart w:id="48" w:name="X15fcfc96c3e84f5dd18edf732f9ecdd378149ad"/>
    <w:p>
      <w:pPr>
        <w:pStyle w:val="Heading4"/>
      </w:pPr>
      <w:r>
        <w:rPr>
          <w:b/>
          <w:color w:val="5A8F89"/>
          <w:sz w:val="26"/>
        </w:rPr>
        <w:t xml:space="preserve">E2 — Divergence Pattern at UAT (Related to Phases 4–5 — Test, Train)</w:t>
      </w:r>
    </w:p>
    <w:p>
      <w:pPr>
        <w:pStyle w:val="FirstParagraph"/>
      </w:pPr>
      <w:r>
        <w:rPr>
          <w:bCs/>
          <w:b/>
          <w:sz w:val="25"/>
        </w:rPr>
        <w:t xml:space="preserve">Trigger:</w:t>
      </w:r>
      <w:r>
        <w:rPr>
          <w:sz w:val="25"/>
        </w:rPr>
        <w:t xml:space="preserve"> </w:t>
      </w:r>
      <w:r>
        <w:rPr>
          <w:sz w:val="25"/>
        </w:rPr>
        <w:t xml:space="preserve">ALT-001 (Divergence Pattern Detected) fires — a UAT participant or cohort logs Knowledge ≥ 4 and Ability ≥ 4 on M5 (ADKAR Engine)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pPr>
      <w:r>
        <w:rPr>
          <w:bCs/>
          <w:b/>
          <w:sz w:val="25"/>
        </w:rPr>
        <w:t xml:space="preserve">Timeline impact:</w:t>
      </w:r>
      <w:r>
        <w:rPr>
          <w:sz w:val="25"/>
        </w:rPr>
        <w:t xml:space="preserve"> </w:t>
      </w:r>
      <w:r>
        <w:rPr>
          <w:sz w:val="25"/>
        </w:rPr>
        <w:t xml:space="preserve">A targeted, individual-level intervention runs alongside Train; the flagged individual does not count toward Train’s Task 3 cohort-readiness call until Bridges moves off Ending.</w:t>
      </w:r>
    </w:p>
    <w:p>
      <w:pPr>
        <w:pStyle w:val="BodyText"/>
      </w:pPr>
      <w:r>
        <w:rPr>
          <w:bCs/>
          <w:b/>
          <w:sz w:val="25"/>
        </w:rPr>
        <w:t xml:space="preserve">Recovery Tasks:</w:t>
      </w:r>
    </w:p>
    <w:p>
      <w:pPr>
        <w:numPr>
          <w:ilvl w:val="0"/>
          <w:numId w:val="1015"/>
        </w:numPr>
        <w:pStyle w:val="Compact"/>
      </w:pPr>
      <w:r>
        <w:rPr>
          <w:bCs/>
          <w:b/>
          <w:sz w:val="25"/>
        </w:rPr>
        <w:t xml:space="preserve">Review the alert and confirm it against supervisor observation.</w:t>
      </w:r>
      <w:r>
        <w:rPr>
          <w:sz w:val="25"/>
        </w:rPr>
        <w:t xml:space="preserve"> </w:t>
      </w:r>
      <w:r>
        <w:rPr>
          <w:sz w:val="25"/>
        </w:rPr>
        <w:t xml:space="preserve">Driss El Amrani checks whether the flagged individual’s supervisor has independently noticed anything — confirming this isn’t a false positive from a single bad Bridges reading.</w:t>
      </w:r>
      <w:r>
        <w:rPr>
          <w:sz w:val="25"/>
        </w:rPr>
        <w:t xml:space="preserve"> </w:t>
      </w:r>
      <w:r>
        <w:rPr>
          <w:iCs/>
          <w:i/>
          <w:sz w:val="25"/>
        </w:rPr>
        <w:t xml:space="preserve">journi: M6 (Emotional &amp; Transition Layer).</w:t>
      </w:r>
      <w:r>
        <w:rPr>
          <w:sz w:val="25"/>
        </w:rPr>
        <w:t xml:space="preserve"> </w:t>
      </w:r>
      <w:r>
        <w:rPr>
          <w:sz w:val="25"/>
        </w:rPr>
        <w:t xml:space="preserve">Technique: cross-source confirmation — goal: rule out a false positive before spending a 1:1 on it.</w:t>
      </w:r>
    </w:p>
    <w:p>
      <w:pPr>
        <w:numPr>
          <w:ilvl w:val="0"/>
          <w:numId w:val="1015"/>
        </w:numPr>
        <w:pStyle w:val="Compact"/>
      </w:pPr>
      <w:r>
        <w:rPr>
          <w:bCs/>
          <w:b/>
          <w:sz w:val="25"/>
        </w:rPr>
        <w:t xml:space="preserve">Hold a 1:1 focused on what is being let go of, not on skills.</w:t>
      </w:r>
      <w:r>
        <w:rPr>
          <w:sz w:val="25"/>
        </w:rPr>
        <w:t xml:space="preserve"> </w:t>
      </w:r>
      <w:r>
        <w:rPr>
          <w:sz w:val="25"/>
        </w:rPr>
        <w:t xml:space="preserve">The conversation deliberately does not revisit training content — the person already scored Knowledge ≥ 4 and Ability ≥ 4; the gap is emotional, not technical. Technique: loss-focused 1:1 — goal: address the actual gap, not the one that’s easier to talk about.</w:t>
      </w:r>
    </w:p>
    <w:p>
      <w:pPr>
        <w:numPr>
          <w:ilvl w:val="0"/>
          <w:numId w:val="1015"/>
        </w:numPr>
        <w:pStyle w:val="Compact"/>
      </w:pPr>
      <w:r>
        <w:rPr>
          <w:bCs/>
          <w:b/>
          <w:sz w:val="25"/>
        </w:rPr>
        <w:t xml:space="preserve">Distinguish a genuine loss concern from simple reluctance.</w:t>
      </w:r>
      <w:r>
        <w:rPr>
          <w:sz w:val="25"/>
        </w:rPr>
        <w:t xml:space="preserve"> </w:t>
      </w:r>
      <w:r>
        <w:rPr>
          <w:sz w:val="25"/>
        </w:rPr>
        <w:t xml:space="preserve">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numPr>
          <w:ilvl w:val="0"/>
          <w:numId w:val="1015"/>
        </w:numPr>
        <w:pStyle w:val="Compact"/>
      </w:pPr>
      <w:r>
        <w:rPr>
          <w:bCs/>
          <w:b/>
          <w:sz w:val="25"/>
        </w:rPr>
        <w:t xml:space="preserve">Provide an explicit closure moment if a genuine loss is identified.</w:t>
      </w:r>
      <w:r>
        <w:rPr>
          <w:sz w:val="25"/>
        </w:rPr>
        <w:t xml:space="preserve"> </w:t>
      </w:r>
      <w:r>
        <w:rPr>
          <w:sz w:val="25"/>
        </w:rPr>
        <w:t xml:space="preserve">If real, the loss is acknowledged explicitly and directly — not talked around. Technique: explicit closure moment — goal: name the loss plainly, since an unacknowledged one lingers longer than an acknowledged one.</w:t>
      </w:r>
    </w:p>
    <w:p>
      <w:pPr>
        <w:numPr>
          <w:ilvl w:val="0"/>
          <w:numId w:val="1015"/>
        </w:numPr>
        <w:pStyle w:val="Compact"/>
      </w:pPr>
      <w:r>
        <w:rPr>
          <w:bCs/>
          <w:b/>
          <w:sz w:val="25"/>
        </w:rPr>
        <w:t xml:space="preserve">Re-check the Bridges reading only, at the next scheduled pulse.</w:t>
      </w:r>
      <w:r>
        <w:rPr>
          <w:sz w:val="25"/>
        </w:rPr>
        <w:t xml:space="preserve"> </w:t>
      </w:r>
      <w:r>
        <w:rPr>
          <w:sz w:val="25"/>
        </w:rPr>
        <w:t xml:space="preserve">Only Bridges is re-scored; Knowledge and Ability are already confirmed and do not need re-testing.</w:t>
      </w:r>
      <w:r>
        <w:rPr>
          <w:sz w:val="25"/>
        </w:rPr>
        <w:t xml:space="preserve"> </w:t>
      </w:r>
      <w:r>
        <w:rPr>
          <w:iCs/>
          <w:i/>
          <w:sz w:val="25"/>
        </w:rPr>
        <w:t xml:space="preserve">journi: M6 (Emotional &amp; Transition Layer).</w:t>
      </w:r>
      <w:r>
        <w:rPr>
          <w:sz w:val="25"/>
        </w:rPr>
        <w:t xml:space="preserve"> </w:t>
      </w:r>
      <w:r>
        <w:rPr>
          <w:sz w:val="25"/>
        </w:rPr>
        <w:t xml:space="preserve">Technique: scoped re-check — goal: confirm movement on the one dimension that was actually in question.</w:t>
      </w:r>
    </w:p>
    <w:p>
      <w:pPr>
        <w:pStyle w:val="FirstParagraph"/>
      </w:pPr>
      <w:r>
        <w:rPr>
          <w:bCs/>
          <w:b/>
          <w:sz w:val="25"/>
        </w:rPr>
        <w:t xml:space="preserve">Outputs:</w:t>
      </w:r>
      <w:r>
        <w:rPr>
          <w:sz w:val="25"/>
        </w:rPr>
        <w:t xml:space="preserve"> </w:t>
      </w:r>
      <w:r>
        <w:rPr>
          <w:sz w:val="25"/>
        </w:rPr>
        <w:t xml:space="preserve">confirmed or dismissed divergence case; documented loss concern if genuine; updated Bridges reading; the individual cleared for Train’s cohort-readiness call once resolved.</w:t>
      </w:r>
    </w:p>
    <w:p>
      <w:pPr>
        <w:pStyle w:val="BodyText"/>
      </w:pPr>
      <w:r>
        <w:rPr>
          <w:bCs/>
          <w:b/>
          <w:sz w:val="25"/>
        </w:rPr>
        <w:t xml:space="preserve">RACSI for this exception.</w:t>
      </w:r>
      <w:r>
        <w:rPr>
          <w:sz w:val="25"/>
        </w:rPr>
        <w:t xml:space="preserve"> </w:t>
      </w:r>
      <w:r>
        <w:rPr>
          <w:sz w:val="25"/>
        </w:rPr>
        <w:t xml:space="preserve">R = CM · A = CM · C = SUP · S = FPO · I = ES, EU</w:t>
      </w:r>
    </w:p>
    <w:p>
      <w:pPr>
        <w:pStyle w:val="BodyText"/>
      </w:pPr>
    </w:p>
    <w:bookmarkEnd w:id="48"/>
    <w:bookmarkStart w:id="49" w:name="X590d2c31bf013a50316d20d550c70ba2b016e68"/>
    <w:p>
      <w:pPr>
        <w:pStyle w:val="Heading4"/>
      </w:pPr>
      <w:r>
        <w:rPr>
          <w:b/>
          <w:color w:val="5A8F89"/>
          <w:sz w:val="26"/>
        </w:rPr>
        <w:t xml:space="preserve">E3 — Two-Clock Problem at Deploy (Related to Phase 6 — Deploy)</w:t>
      </w:r>
    </w:p>
    <w:p>
      <w:pPr>
        <w:pStyle w:val="FirstParagraph"/>
      </w:pPr>
      <w:r>
        <w:rPr>
          <w:bCs/>
          <w:b/>
          <w:sz w:val="25"/>
        </w:rPr>
        <w:t xml:space="preserve">Trigger:</w:t>
      </w:r>
      <w:r>
        <w:rPr>
          <w:sz w:val="25"/>
        </w:rPr>
        <w:t xml:space="preserve"> </w:t>
      </w:r>
      <w:r>
        <w:rPr>
          <w:sz w:val="25"/>
        </w:rPr>
        <w:t xml:space="preserve">Lewin is technically eligible to be called</w:t>
      </w:r>
      <w:r>
        <w:rPr>
          <w:sz w:val="25"/>
        </w:rPr>
        <w:t xml:space="preserve"> </w:t>
      </w:r>
      <w:r>
        <w:rPr>
          <w:sz w:val="25"/>
        </w:rPr>
        <w:t xml:space="preserve">“</w:t>
      </w:r>
      <w:r>
        <w:rPr>
          <w:sz w:val="25"/>
        </w:rPr>
        <w:t xml:space="preserve">Change → Refreeze</w:t>
      </w:r>
      <w:r>
        <w:rPr>
          <w:sz w:val="25"/>
        </w:rPr>
        <w:t xml:space="preserve">”</w:t>
      </w:r>
      <w:r>
        <w:rPr>
          <w:sz w:val="25"/>
        </w:rPr>
        <w:t xml:space="preserve"> </w:t>
      </w:r>
      <w:r>
        <w:rPr>
          <w:sz w:val="25"/>
        </w:rPr>
        <w:t xml:space="preserve">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pPr>
      <w:r>
        <w:rPr>
          <w:bCs/>
          <w:b/>
          <w:sz w:val="25"/>
        </w:rPr>
        <w:t xml:space="preserve">Timeline impact:</w:t>
      </w:r>
      <w:r>
        <w:rPr>
          <w:sz w:val="25"/>
        </w:rPr>
        <w:t xml:space="preserve"> </w:t>
      </w:r>
      <w:r>
        <w:rPr>
          <w:sz w:val="25"/>
        </w:rPr>
        <w:t xml:space="preserve">Does not delay go-live itself; extends the hypercare and reinforcement budget and staffing window by the observed lag — commonly 2–6 weeks past the original Hypercare end date.</w:t>
      </w:r>
    </w:p>
    <w:p>
      <w:pPr>
        <w:pStyle w:val="BodyText"/>
      </w:pPr>
      <w:r>
        <w:rPr>
          <w:bCs/>
          <w:b/>
          <w:sz w:val="25"/>
        </w:rPr>
        <w:t xml:space="preserve">Recovery Tasks:</w:t>
      </w:r>
    </w:p>
    <w:p>
      <w:pPr>
        <w:numPr>
          <w:ilvl w:val="0"/>
          <w:numId w:val="1016"/>
        </w:numPr>
        <w:pStyle w:val="Compact"/>
      </w:pPr>
      <w:r>
        <w:rPr>
          <w:bCs/>
          <w:b/>
          <w:sz w:val="25"/>
        </w:rPr>
        <w:t xml:space="preserve">Separate the technical go-live milestone from the Lewin phase call.</w:t>
      </w:r>
      <w:r>
        <w:rPr>
          <w:sz w:val="25"/>
        </w:rPr>
        <w:t xml:space="preserve"> </w:t>
      </w:r>
      <w:r>
        <w:rPr>
          <w:sz w:val="25"/>
        </w:rPr>
        <w:t xml:space="preserve">Driss El Amrani and the ITL team agree explicitly: a clean technical cutover is not, by itself, evidence for Refreeze.</w:t>
      </w:r>
      <w:r>
        <w:rPr>
          <w:sz w:val="25"/>
        </w:rPr>
        <w:t xml:space="preserve"> </w:t>
      </w:r>
      <w:r>
        <w:rPr>
          <w:iCs/>
          <w:i/>
          <w:sz w:val="25"/>
        </w:rPr>
        <w:t xml:space="preserve">journi: M3 (Initiative Registry).</w:t>
      </w:r>
      <w:r>
        <w:rPr>
          <w:sz w:val="25"/>
        </w:rPr>
        <w:t xml:space="preserve"> </w:t>
      </w:r>
      <w:r>
        <w:rPr>
          <w:sz w:val="25"/>
        </w:rPr>
        <w:t xml:space="preserve">Technique: milestone/phase-call separation — goal: prevent a technical success from being mistaken for an emotional one.</w:t>
      </w:r>
    </w:p>
    <w:p>
      <w:pPr>
        <w:numPr>
          <w:ilvl w:val="0"/>
          <w:numId w:val="1016"/>
        </w:numPr>
        <w:pStyle w:val="Compact"/>
      </w:pPr>
      <w:r>
        <w:rPr>
          <w:bCs/>
          <w:b/>
          <w:sz w:val="25"/>
        </w:rPr>
        <w:t xml:space="preserve">Mark Lewin as</w:t>
      </w:r>
      <w:r>
        <w:rPr>
          <w:bCs/>
          <w:b/>
          <w:sz w:val="25"/>
        </w:rPr>
        <w:t xml:space="preserve"> </w:t>
      </w:r>
      <w:r>
        <w:rPr>
          <w:bCs/>
          <w:b/>
          <w:sz w:val="25"/>
        </w:rPr>
        <w:t xml:space="preserve">“</w:t>
      </w:r>
      <w:r>
        <w:rPr>
          <w:bCs/>
          <w:b/>
          <w:sz w:val="25"/>
        </w:rPr>
        <w:t xml:space="preserve">provisional Refreeze</w:t>
      </w:r>
      <w:r>
        <w:rPr>
          <w:bCs/>
          <w:b/>
          <w:sz w:val="25"/>
        </w:rPr>
        <w:t xml:space="preserve">”</w:t>
      </w:r>
      <w:r>
        <w:rPr>
          <w:bCs/>
          <w:b/>
          <w:sz w:val="25"/>
        </w:rPr>
        <w:t xml:space="preserve"> </w:t>
      </w:r>
      <w:r>
        <w:rPr>
          <w:bCs/>
          <w:b/>
          <w:sz w:val="25"/>
        </w:rPr>
        <w:t xml:space="preserve">pending emotional-layer evidence.</w:t>
      </w:r>
      <w:r>
        <w:rPr>
          <w:sz w:val="25"/>
        </w:rPr>
        <w:t xml:space="preserve"> </w:t>
      </w:r>
      <w:r>
        <w:rPr>
          <w:sz w:val="25"/>
        </w:rPr>
        <w:t xml:space="preserve">Exactly the Phase 6 Task 4 language — logged as provisional, with a justification stating what evidence is still pending.</w:t>
      </w:r>
      <w:r>
        <w:rPr>
          <w:sz w:val="25"/>
        </w:rPr>
        <w:t xml:space="preserve"> </w:t>
      </w:r>
      <w:r>
        <w:rPr>
          <w:iCs/>
          <w:i/>
          <w:sz w:val="25"/>
        </w:rPr>
        <w:t xml:space="preserve">journi: M3 (Initiative Registry).</w:t>
      </w:r>
      <w:r>
        <w:rPr>
          <w:sz w:val="25"/>
        </w:rPr>
        <w:t xml:space="preserve"> </w:t>
      </w:r>
      <w:r>
        <w:rPr>
          <w:sz w:val="25"/>
        </w:rPr>
        <w:t xml:space="preserve">Technique: provisional-state logging — goal: an honest, auditable holding position rather than a premature confirmed one.</w:t>
      </w:r>
    </w:p>
    <w:p>
      <w:pPr>
        <w:numPr>
          <w:ilvl w:val="0"/>
          <w:numId w:val="1016"/>
        </w:numPr>
        <w:pStyle w:val="Compact"/>
      </w:pPr>
      <w:r>
        <w:rPr>
          <w:bCs/>
          <w:b/>
          <w:sz w:val="25"/>
        </w:rPr>
        <w:t xml:space="preserve">Keep Reinforcement and hypercare fully active.</w:t>
      </w:r>
      <w:r>
        <w:rPr>
          <w:sz w:val="25"/>
        </w:rPr>
        <w:t xml:space="preserve"> </w:t>
      </w:r>
      <w:r>
        <w:rPr>
          <w:sz w:val="25"/>
        </w:rPr>
        <w:t xml:space="preserve">The hypercare support model (Phase 7 Task 1) is not tapered down just because the Lewin call is provisional rather than confirmed. Technique: sustained support funding — goal: don’t let a budget conversation force the Lewin call before the evidence is ready.</w:t>
      </w:r>
    </w:p>
    <w:p>
      <w:pPr>
        <w:numPr>
          <w:ilvl w:val="0"/>
          <w:numId w:val="1016"/>
        </w:numPr>
        <w:pStyle w:val="Compact"/>
      </w:pPr>
      <w:r>
        <w:rPr>
          <w:bCs/>
          <w:b/>
          <w:sz w:val="25"/>
        </w:rPr>
        <w:t xml:space="preserve">Re-pulse Bridges/Kübler-Ross at 2 and 4 weeks.</w:t>
      </w:r>
      <w:r>
        <w:rPr>
          <w:sz w:val="25"/>
        </w:rPr>
        <w:t xml:space="preserve"> </w:t>
      </w:r>
      <w:r>
        <w:rPr>
          <w:sz w:val="25"/>
        </w:rPr>
        <w:t xml:space="preserve">Exactly Phase 7’s Task 3, run with this exception’s resolution specifically in mind.</w:t>
      </w:r>
      <w:r>
        <w:rPr>
          <w:sz w:val="25"/>
        </w:rPr>
        <w:t xml:space="preserve"> </w:t>
      </w:r>
      <w:r>
        <w:rPr>
          <w:iCs/>
          <w:i/>
          <w:sz w:val="25"/>
        </w:rPr>
        <w:t xml:space="preserve">journi: M6 (Emotional &amp; Transition Layer).</w:t>
      </w:r>
      <w:r>
        <w:rPr>
          <w:sz w:val="25"/>
        </w:rPr>
        <w:t xml:space="preserve"> </w:t>
      </w:r>
      <w:r>
        <w:rPr>
          <w:sz w:val="25"/>
        </w:rPr>
        <w:t xml:space="preserve">Technique: exception-scoped re-pulse — goal: the same technique as the normal flow, run with this specific open question in mind.</w:t>
      </w:r>
    </w:p>
    <w:p>
      <w:pPr>
        <w:numPr>
          <w:ilvl w:val="0"/>
          <w:numId w:val="1016"/>
        </w:numPr>
        <w:pStyle w:val="Compact"/>
      </w:pPr>
      <w:r>
        <w:rPr>
          <w:bCs/>
          <w:b/>
          <w:sz w:val="25"/>
        </w:rPr>
        <w:t xml:space="preserve">Confirm or walk back the Refreeze call once evidence supports it.</w:t>
      </w:r>
      <w:r>
        <w:rPr>
          <w:sz w:val="25"/>
        </w:rPr>
        <w:t xml:space="preserve"> </w:t>
      </w:r>
      <w:r>
        <w:rPr>
          <w:sz w:val="25"/>
        </w:rPr>
        <w:t xml:space="preserve">If the re-pulse shows genuine movement, Refreeze is confirmed; if not, hypercare extends further and the cycle repeats.</w:t>
      </w:r>
      <w:r>
        <w:rPr>
          <w:sz w:val="25"/>
        </w:rPr>
        <w:t xml:space="preserve"> </w:t>
      </w:r>
      <w:r>
        <w:rPr>
          <w:iCs/>
          <w:i/>
          <w:sz w:val="25"/>
        </w:rPr>
        <w:t xml:space="preserve">journi: M3 (Initiative Registry).</w:t>
      </w:r>
      <w:r>
        <w:rPr>
          <w:sz w:val="25"/>
        </w:rPr>
        <w:t xml:space="preserve"> </w:t>
      </w:r>
      <w:r>
        <w:rPr>
          <w:sz w:val="25"/>
        </w:rPr>
        <w:t xml:space="preserve">Technique: evidence-gated confirmation — goal: no fixed number of cycles guaranteed; the evidence decides when this closes.</w:t>
      </w:r>
    </w:p>
    <w:p>
      <w:pPr>
        <w:pStyle w:val="FirstParagraph"/>
      </w:pPr>
      <w:r>
        <w:rPr>
          <w:bCs/>
          <w:b/>
          <w:sz w:val="25"/>
        </w:rPr>
        <w:t xml:space="preserve">Outputs:</w:t>
      </w:r>
      <w:r>
        <w:rPr>
          <w:sz w:val="25"/>
        </w:rPr>
        <w:t xml:space="preserve"> </w:t>
      </w:r>
      <w:r>
        <w:rPr>
          <w:sz w:val="25"/>
        </w:rPr>
        <w:t xml:space="preserve">an explicit provisional Lewin phase call rather than a premature confirmed one; sustained hypercare funding through the lag; a confirmed or corrected Lewin phase once the re-pulse lands.</w:t>
      </w:r>
    </w:p>
    <w:p>
      <w:pPr>
        <w:pStyle w:val="BodyText"/>
      </w:pPr>
      <w:r>
        <w:rPr>
          <w:bCs/>
          <w:b/>
          <w:sz w:val="25"/>
        </w:rPr>
        <w:t xml:space="preserve">RACSI for this exception.</w:t>
      </w:r>
      <w:r>
        <w:rPr>
          <w:sz w:val="25"/>
        </w:rPr>
        <w:t xml:space="preserve"> </w:t>
      </w:r>
      <w:r>
        <w:rPr>
          <w:sz w:val="25"/>
        </w:rPr>
        <w:t xml:space="preserve">R = CM, ITL · A = ES · C = PM · S = SUP · I = EU</w:t>
      </w:r>
    </w:p>
    <w:p>
      <w:pPr>
        <w:pStyle w:val="BodyText"/>
      </w:pPr>
    </w:p>
    <w:bookmarkEnd w:id="49"/>
    <w:bookmarkStart w:id="50" w:name="X04c6a77e19d61970c25498d16c22f81f68b0f5a"/>
    <w:p>
      <w:pPr>
        <w:pStyle w:val="Heading4"/>
      </w:pPr>
      <w:r>
        <w:rPr>
          <w:b/>
          <w:color w:val="5A8F89"/>
          <w:sz w:val="26"/>
        </w:rPr>
        <w:t xml:space="preserve">E4 — Sentiment Regression During Hypercare (Related to Phase 7 — Hypercare)</w:t>
      </w:r>
    </w:p>
    <w:p>
      <w:pPr>
        <w:pStyle w:val="FirstParagraph"/>
      </w:pPr>
      <w:r>
        <w:rPr>
          <w:bCs/>
          <w:b/>
          <w:sz w:val="25"/>
        </w:rPr>
        <w:t xml:space="preserve">Trigger:</w:t>
      </w:r>
      <w:r>
        <w:rPr>
          <w:sz w:val="25"/>
        </w:rPr>
        <w:t xml:space="preserve"> </w:t>
      </w:r>
      <w:r>
        <w:rPr>
          <w:sz w:val="25"/>
        </w:rPr>
        <w:t xml:space="preserve">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pPr>
      <w:r>
        <w:rPr>
          <w:bCs/>
          <w:b/>
          <w:sz w:val="25"/>
        </w:rPr>
        <w:t xml:space="preserve">Timeline impact:</w:t>
      </w:r>
      <w:r>
        <w:rPr>
          <w:sz w:val="25"/>
        </w:rPr>
        <w:t xml:space="preserve"> </w:t>
      </w:r>
      <w:r>
        <w:rPr>
          <w:sz w:val="25"/>
        </w:rPr>
        <w:t xml:space="preserve">A short, contained recovery cycle of days to roughly two weeks; escalated to Steering Committee only if the pattern recurs across multiple cohorts rather than staying isolated to the one affected.</w:t>
      </w:r>
    </w:p>
    <w:p>
      <w:pPr>
        <w:pStyle w:val="BodyText"/>
      </w:pPr>
      <w:r>
        <w:rPr>
          <w:bCs/>
          <w:b/>
          <w:sz w:val="25"/>
        </w:rPr>
        <w:t xml:space="preserve">Recovery Tasks:</w:t>
      </w:r>
    </w:p>
    <w:p>
      <w:pPr>
        <w:numPr>
          <w:ilvl w:val="0"/>
          <w:numId w:val="1017"/>
        </w:numPr>
        <w:pStyle w:val="Compact"/>
      </w:pPr>
      <w:r>
        <w:rPr>
          <w:bCs/>
          <w:b/>
          <w:sz w:val="25"/>
        </w:rPr>
        <w:t xml:space="preserve">Confirm the regression is tied to a specific incident.</w:t>
      </w:r>
      <w:r>
        <w:rPr>
          <w:sz w:val="25"/>
        </w:rPr>
        <w:t xml:space="preserve"> </w:t>
      </w:r>
      <w:r>
        <w:rPr>
          <w:sz w:val="25"/>
        </w:rPr>
        <w:t xml:space="preserve">Houda Zerouali checks whether this is a one-off reaction to the Kenitra defect or a broader readiness failure — in this case, clearly the former. Technique: incident-scope confirmation — goal: don’t escalate a contained incident into a program-wide panic.</w:t>
      </w:r>
    </w:p>
    <w:p>
      <w:pPr>
        <w:numPr>
          <w:ilvl w:val="0"/>
          <w:numId w:val="1017"/>
        </w:numPr>
        <w:pStyle w:val="Compact"/>
      </w:pPr>
      <w:r>
        <w:rPr>
          <w:bCs/>
          <w:b/>
          <w:sz w:val="25"/>
        </w:rPr>
        <w:t xml:space="preserve">Resolve or clearly communicate the status of the triggering defect.</w:t>
      </w:r>
      <w:r>
        <w:rPr>
          <w:sz w:val="25"/>
        </w:rPr>
        <w:t xml:space="preserve"> </w:t>
      </w:r>
      <w:r>
        <w:rPr>
          <w:sz w:val="25"/>
        </w:rPr>
        <w:t xml:space="preserve">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numPr>
          <w:ilvl w:val="0"/>
          <w:numId w:val="1017"/>
        </w:numPr>
        <w:pStyle w:val="Compact"/>
      </w:pPr>
      <w:r>
        <w:rPr>
          <w:bCs/>
          <w:b/>
          <w:sz w:val="25"/>
        </w:rPr>
        <w:t xml:space="preserve">Have the supervisor directly acknowledge the setback.</w:t>
      </w:r>
      <w:r>
        <w:rPr>
          <w:sz w:val="25"/>
        </w:rPr>
        <w:t xml:space="preserve"> </w:t>
      </w:r>
      <w:r>
        <w:rPr>
          <w:sz w:val="25"/>
        </w:rPr>
        <w:t xml:space="preserve">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numPr>
          <w:ilvl w:val="0"/>
          <w:numId w:val="1017"/>
        </w:numPr>
        <w:pStyle w:val="Compact"/>
      </w:pPr>
      <w:r>
        <w:rPr>
          <w:bCs/>
          <w:b/>
          <w:sz w:val="25"/>
        </w:rPr>
        <w:t xml:space="preserve">Provide targeted, in-context coaching on the specific process step affected.</w:t>
      </w:r>
      <w:r>
        <w:rPr>
          <w:sz w:val="25"/>
        </w:rPr>
        <w:t xml:space="preserve"> </w:t>
      </w:r>
      <w:r>
        <w:rPr>
          <w:sz w:val="25"/>
        </w:rPr>
        <w:t xml:space="preserve">Coaching is scoped narrowly to the exact inventory-matching step that failed, not a general refresher. Technique: in-context, scoped coaching — goal: rebuild confidence on the specific step, not a diluted general refresher.</w:t>
      </w:r>
    </w:p>
    <w:p>
      <w:pPr>
        <w:numPr>
          <w:ilvl w:val="0"/>
          <w:numId w:val="1017"/>
        </w:numPr>
        <w:pStyle w:val="Compact"/>
      </w:pPr>
      <w:r>
        <w:rPr>
          <w:bCs/>
          <w:b/>
          <w:sz w:val="25"/>
        </w:rPr>
        <w:t xml:space="preserve">Re-pulse the affected cohort only, at 1–2 weeks.</w:t>
      </w:r>
      <w:r>
        <w:rPr>
          <w:sz w:val="25"/>
        </w:rPr>
        <w:t xml:space="preserve"> </w:t>
      </w:r>
      <w:r>
        <w:rPr>
          <w:sz w:val="25"/>
        </w:rPr>
        <w:t xml:space="preserve">Only the Kenitra cohort is re-scored — this is a localized regression, not a program-wide one.</w:t>
      </w:r>
      <w:r>
        <w:rPr>
          <w:sz w:val="25"/>
        </w:rPr>
        <w:t xml:space="preserve"> </w:t>
      </w:r>
      <w:r>
        <w:rPr>
          <w:iCs/>
          <w:i/>
          <w:sz w:val="25"/>
        </w:rPr>
        <w:t xml:space="preserve">journi: M6 (Emotional &amp; Transition Layer).</w:t>
      </w:r>
      <w:r>
        <w:rPr>
          <w:sz w:val="25"/>
        </w:rPr>
        <w:t xml:space="preserve"> </w:t>
      </w:r>
      <w:r>
        <w:rPr>
          <w:sz w:val="25"/>
        </w:rPr>
        <w:t xml:space="preserve">Technique: localized re-pulse — goal: confirm recovery where the regression actually happened.</w:t>
      </w:r>
    </w:p>
    <w:p>
      <w:pPr>
        <w:pStyle w:val="FirstParagraph"/>
      </w:pPr>
      <w:r>
        <w:rPr>
          <w:bCs/>
          <w:b/>
          <w:sz w:val="25"/>
        </w:rPr>
        <w:t xml:space="preserve">Outputs:</w:t>
      </w:r>
      <w:r>
        <w:rPr>
          <w:sz w:val="25"/>
        </w:rPr>
        <w:t xml:space="preserve"> </w:t>
      </w:r>
      <w:r>
        <w:rPr>
          <w:sz w:val="25"/>
        </w:rPr>
        <w:t xml:space="preserve">the triggering defect resolved and communicated; the regression event and response documented; confirmed recovery, or continued monitoring if the re-pulse doesn’t yet show it.</w:t>
      </w:r>
    </w:p>
    <w:p>
      <w:pPr>
        <w:pStyle w:val="BodyText"/>
      </w:pPr>
      <w:r>
        <w:rPr>
          <w:bCs/>
          <w:b/>
          <w:sz w:val="25"/>
        </w:rPr>
        <w:t xml:space="preserve">RACSI for this exception.</w:t>
      </w:r>
      <w:r>
        <w:rPr>
          <w:sz w:val="25"/>
        </w:rPr>
        <w:t xml:space="preserve"> </w:t>
      </w:r>
      <w:r>
        <w:rPr>
          <w:sz w:val="25"/>
        </w:rPr>
        <w:t xml:space="preserve">R = SUP, ITL · A = CM · C = PM · S = FPO · I = ES, EU</w:t>
      </w:r>
    </w:p>
    <w:p>
      <w:pPr>
        <w:pStyle w:val="BodyText"/>
      </w:pPr>
    </w:p>
    <w:bookmarkEnd w:id="50"/>
    <w:bookmarkStart w:id="51" w:name="Xed5de9397d51627aede754f65620ee52ce3b9ae"/>
    <w:p>
      <w:pPr>
        <w:pStyle w:val="Heading4"/>
      </w:pPr>
      <w:r>
        <w:rPr>
          <w:b/>
          <w:color w:val="5A8F89"/>
          <w:sz w:val="26"/>
        </w:rPr>
        <w:t xml:space="preserve">E5 — Reinforcement Gap at Sustain (Related to Phase 8 — Sustain)</w:t>
      </w:r>
    </w:p>
    <w:p>
      <w:pPr>
        <w:pStyle w:val="FirstParagraph"/>
      </w:pPr>
      <w:r>
        <w:rPr>
          <w:bCs/>
          <w:b/>
          <w:sz w:val="25"/>
        </w:rPr>
        <w:t xml:space="preserve">Trigger:</w:t>
      </w:r>
      <w:r>
        <w:rPr>
          <w:sz w:val="25"/>
        </w:rPr>
        <w:t xml:space="preserve"> </w:t>
      </w:r>
      <w:r>
        <w:rPr>
          <w:sz w:val="25"/>
        </w:rPr>
        <w:t xml:space="preserve">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pPr>
      <w:r>
        <w:rPr>
          <w:bCs/>
          <w:b/>
          <w:sz w:val="25"/>
        </w:rPr>
        <w:t xml:space="preserve">Timeline impact:</w:t>
      </w:r>
      <w:r>
        <w:rPr>
          <w:sz w:val="25"/>
        </w:rPr>
        <w:t xml:space="preserve"> </w:t>
      </w:r>
      <w:r>
        <w:rPr>
          <w:sz w:val="25"/>
        </w:rPr>
        <w:t xml:space="preserve">Extends the formal project-closure date by however long it takes to accumulate 2–3 consecutive healthy checkpoints on M12 (Sustainment) — commonly 4–8 weeks past the original W60 close.</w:t>
      </w:r>
    </w:p>
    <w:p>
      <w:pPr>
        <w:pStyle w:val="BodyText"/>
      </w:pPr>
      <w:r>
        <w:rPr>
          <w:bCs/>
          <w:b/>
          <w:sz w:val="25"/>
        </w:rPr>
        <w:t xml:space="preserve">Recovery Tasks:</w:t>
      </w:r>
    </w:p>
    <w:p>
      <w:pPr>
        <w:numPr>
          <w:ilvl w:val="0"/>
          <w:numId w:val="1018"/>
        </w:numPr>
        <w:pStyle w:val="Compact"/>
      </w:pPr>
      <w:r>
        <w:rPr>
          <w:bCs/>
          <w:b/>
          <w:sz w:val="25"/>
        </w:rPr>
        <w:t xml:space="preserve">Flag the Reinforcement stall explicitly.</w:t>
      </w:r>
      <w:r>
        <w:rPr>
          <w:sz w:val="25"/>
        </w:rPr>
        <w:t xml:space="preserve"> </w:t>
      </w:r>
      <w:r>
        <w:rPr>
          <w:sz w:val="25"/>
        </w:rPr>
        <w:t xml:space="preserve">Driss El Amrani flags the stall on M5 (ADKAR Engine) rather than letting Sustain’s Task 4 (call Refreeze; close the project) proceed on schedule regardless.</w:t>
      </w:r>
      <w:r>
        <w:rPr>
          <w:sz w:val="25"/>
        </w:rPr>
        <w:t xml:space="preserve"> </w:t>
      </w:r>
      <w:r>
        <w:rPr>
          <w:iCs/>
          <w:i/>
          <w:sz w:val="25"/>
        </w:rPr>
        <w:t xml:space="preserve">journi: M5 (ADKAR Engine).</w:t>
      </w:r>
      <w:r>
        <w:rPr>
          <w:sz w:val="25"/>
        </w:rPr>
        <w:t xml:space="preserve"> </w:t>
      </w:r>
      <w:r>
        <w:rPr>
          <w:sz w:val="25"/>
        </w:rPr>
        <w:t xml:space="preserve">Technique: explicit stall flagging — goal: interrupt a default-to-close momentum with a documented, deliberate flag.</w:t>
      </w:r>
    </w:p>
    <w:p>
      <w:pPr>
        <w:numPr>
          <w:ilvl w:val="0"/>
          <w:numId w:val="1018"/>
        </w:numPr>
        <w:pStyle w:val="Compact"/>
      </w:pPr>
      <w:r>
        <w:rPr>
          <w:bCs/>
          <w:b/>
          <w:sz w:val="25"/>
        </w:rPr>
        <w:t xml:space="preserve">Reconvene the Sponsor to re-authorize a checkpoint cadence.</w:t>
      </w:r>
      <w:r>
        <w:rPr>
          <w:sz w:val="25"/>
        </w:rPr>
        <w:t xml:space="preserve"> </w:t>
      </w:r>
      <w:r>
        <w:rPr>
          <w:sz w:val="25"/>
        </w:rPr>
        <w:t xml:space="preserve">The CFO re-authorizes a defined checkpoint cadence beyond the originally planned close date. Technique: checkpoint-cadence re-authorization — goal: a Sponsor-backed extension, not an informal one the team grants itself.</w:t>
      </w:r>
    </w:p>
    <w:p>
      <w:pPr>
        <w:numPr>
          <w:ilvl w:val="0"/>
          <w:numId w:val="1018"/>
        </w:numPr>
        <w:pStyle w:val="Compact"/>
      </w:pPr>
      <w:r>
        <w:rPr>
          <w:bCs/>
          <w:b/>
          <w:sz w:val="25"/>
        </w:rPr>
        <w:t xml:space="preserve">Re-activate or formally re-charter the champion network.</w:t>
      </w:r>
      <w:r>
        <w:rPr>
          <w:sz w:val="25"/>
        </w:rPr>
        <w:t xml:space="preserve"> </w:t>
      </w:r>
      <w:r>
        <w:rPr>
          <w:sz w:val="25"/>
        </w:rPr>
        <w:t xml:space="preserve">The champion network, which naturally quiets down as a program matures, is re-activated specifically to reinforce the new process on the floor. Technique: champion network re-activation — goal: reinforcement needs the same floor-level presence that adoption did.</w:t>
      </w:r>
    </w:p>
    <w:p>
      <w:pPr>
        <w:numPr>
          <w:ilvl w:val="0"/>
          <w:numId w:val="1018"/>
        </w:numPr>
        <w:pStyle w:val="Compact"/>
      </w:pPr>
      <w:r>
        <w:rPr>
          <w:bCs/>
          <w:b/>
          <w:sz w:val="25"/>
        </w:rPr>
        <w:t xml:space="preserve">Embed adoption metrics into the next performance-review cycle.</w:t>
      </w:r>
      <w:r>
        <w:rPr>
          <w:sz w:val="25"/>
        </w:rPr>
        <w:t xml:space="preserve"> </w:t>
      </w:r>
      <w:r>
        <w:rPr>
          <w:sz w:val="25"/>
        </w:rPr>
        <w:t xml:space="preserve">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numPr>
          <w:ilvl w:val="0"/>
          <w:numId w:val="1018"/>
        </w:numPr>
        <w:pStyle w:val="Compact"/>
      </w:pPr>
      <w:r>
        <w:rPr>
          <w:bCs/>
          <w:b/>
          <w:sz w:val="25"/>
        </w:rPr>
        <w:t xml:space="preserve">Delay the formal Refreeze/closure call.</w:t>
      </w:r>
      <w:r>
        <w:rPr>
          <w:sz w:val="25"/>
        </w:rPr>
        <w:t xml:space="preserve"> </w:t>
      </w:r>
      <w:r>
        <w:rPr>
          <w:sz w:val="25"/>
        </w:rPr>
        <w:t xml:space="preserve">Sustain’s Task 4 does not run until checkpoints show target Reinforcement, however long that takes.</w:t>
      </w:r>
      <w:r>
        <w:rPr>
          <w:sz w:val="25"/>
        </w:rPr>
        <w:t xml:space="preserve"> </w:t>
      </w:r>
      <w:r>
        <w:rPr>
          <w:iCs/>
          <w:i/>
          <w:sz w:val="25"/>
        </w:rPr>
        <w:t xml:space="preserve">journi: M3 (Initiative Registry).</w:t>
      </w:r>
      <w:r>
        <w:rPr>
          <w:sz w:val="25"/>
        </w:rPr>
        <w:t xml:space="preserve"> </w:t>
      </w:r>
      <w:r>
        <w:rPr>
          <w:sz w:val="25"/>
        </w:rPr>
        <w:t xml:space="preserve">Technique: delayed, evidence-gated closure — goal: closure waits on evidence, not on a project team’s patience running out.</w:t>
      </w:r>
    </w:p>
    <w:p>
      <w:pPr>
        <w:pStyle w:val="FirstParagraph"/>
      </w:pPr>
      <w:r>
        <w:rPr>
          <w:bCs/>
          <w:b/>
          <w:sz w:val="25"/>
        </w:rPr>
        <w:t xml:space="preserve">Outputs:</w:t>
      </w:r>
      <w:r>
        <w:rPr>
          <w:sz w:val="25"/>
        </w:rPr>
        <w:t xml:space="preserve"> </w:t>
      </w:r>
      <w:r>
        <w:rPr>
          <w:sz w:val="25"/>
        </w:rPr>
        <w:t xml:space="preserve">a documented Reinforcement stall and remediation plan; a re-authorized checkpoint cadence; a re-chartered champion network; a delayed but evidence-based Refreeze call rather than a premature one.</w:t>
      </w:r>
    </w:p>
    <w:p>
      <w:pPr>
        <w:pStyle w:val="BodyText"/>
      </w:pPr>
      <w:r>
        <w:rPr>
          <w:bCs/>
          <w:b/>
          <w:sz w:val="25"/>
        </w:rPr>
        <w:t xml:space="preserve">RACSI for this exception.</w:t>
      </w:r>
      <w:r>
        <w:rPr>
          <w:sz w:val="25"/>
        </w:rPr>
        <w:t xml:space="preserve"> </w:t>
      </w:r>
      <w:r>
        <w:rPr>
          <w:sz w:val="25"/>
        </w:rPr>
        <w:t xml:space="preserve">R = CM · A = ES · C = SUP, FPO · S = PM · I = EU</w:t>
      </w:r>
    </w:p>
    <w:p>
      <w:pPr>
        <w:pStyle w:val="BodyText"/>
      </w:pPr>
    </w:p>
    <w:bookmarkEnd w:id="51"/>
    <w:bookmarkStart w:id="52" w:name="X4bd804c5741db525acafedda1dd7b906921ab83"/>
    <w:p>
      <w:pPr>
        <w:pStyle w:val="Heading4"/>
      </w:pPr>
      <w:r>
        <w:rPr>
          <w:b/>
          <w:color w:val="5A8F89"/>
          <w:sz w:val="26"/>
        </w:rPr>
        <w:t xml:space="preserve">E6 — Cohort Divergence Across Sites (Cross-Cutting, Phases 4–7 — Test through Hypercare)</w:t>
      </w:r>
    </w:p>
    <w:p>
      <w:pPr>
        <w:pStyle w:val="FirstParagraph"/>
      </w:pPr>
      <w:r>
        <w:rPr>
          <w:bCs/>
          <w:b/>
          <w:sz w:val="25"/>
        </w:rPr>
        <w:t xml:space="preserve">Trigger:</w:t>
      </w:r>
      <w:r>
        <w:rPr>
          <w:sz w:val="25"/>
        </w:rPr>
        <w:t xml:space="preserve"> </w:t>
      </w:r>
      <w:r>
        <w:rPr>
          <w:sz w:val="25"/>
        </w:rPr>
        <w:t xml:space="preserve">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pPr>
      <w:r>
        <w:rPr>
          <w:bCs/>
          <w:b/>
          <w:sz w:val="25"/>
        </w:rPr>
        <w:t xml:space="preserve">Timeline impact:</w:t>
      </w:r>
      <w:r>
        <w:rPr>
          <w:sz w:val="25"/>
        </w:rPr>
        <w:t xml:space="preserve"> </w:t>
      </w:r>
      <w:r>
        <w:rPr>
          <w:sz w:val="25"/>
        </w:rPr>
        <w:t xml:space="preserve">Runs continuously alongside Test, Train, and Hypercare; enables a cohort-by-cohort go/no-go at Phase 5’s gate instead of a single all-or-nothing call for all 3,400 people at once.</w:t>
      </w:r>
    </w:p>
    <w:p>
      <w:pPr>
        <w:pStyle w:val="BodyText"/>
      </w:pPr>
      <w:r>
        <w:rPr>
          <w:bCs/>
          <w:b/>
          <w:sz w:val="25"/>
        </w:rPr>
        <w:t xml:space="preserve">Recovery Tasks:</w:t>
      </w:r>
    </w:p>
    <w:p>
      <w:pPr>
        <w:numPr>
          <w:ilvl w:val="0"/>
          <w:numId w:val="1019"/>
        </w:numPr>
        <w:pStyle w:val="Compact"/>
      </w:pPr>
      <w:r>
        <w:rPr>
          <w:bCs/>
          <w:b/>
          <w:sz w:val="25"/>
        </w:rPr>
        <w:t xml:space="preserve">Disaggregate the Composite Readiness Index by site.</w:t>
      </w:r>
      <w:r>
        <w:rPr>
          <w:sz w:val="25"/>
        </w:rPr>
        <w:t xml:space="preserve"> </w:t>
      </w:r>
      <w:r>
        <w:rPr>
          <w:sz w:val="25"/>
        </w:rPr>
        <w:t xml:space="preserve">Meryem Sabri pulls the blended M14 (Analytics) number apart into three site-level readings, using the Stakeholder Map’s site tags on M4 (Stakeholder Mapping).</w:t>
      </w:r>
      <w:r>
        <w:rPr>
          <w:sz w:val="25"/>
        </w:rPr>
        <w:t xml:space="preserve"> </w:t>
      </w:r>
      <w:r>
        <w:rPr>
          <w:iCs/>
          <w:i/>
          <w:sz w:val="25"/>
        </w:rPr>
        <w:t xml:space="preserve">journi: M4 (Stakeholder Mapping).</w:t>
      </w:r>
      <w:r>
        <w:rPr>
          <w:sz w:val="25"/>
        </w:rPr>
        <w:t xml:space="preserve"> </w:t>
      </w:r>
      <w:r>
        <w:rPr>
          <w:sz w:val="25"/>
        </w:rPr>
        <w:t xml:space="preserve">Technique: site-level disaggregation — goal: replace one misleading average with three honest readings.</w:t>
      </w:r>
    </w:p>
    <w:p>
      <w:pPr>
        <w:numPr>
          <w:ilvl w:val="0"/>
          <w:numId w:val="1019"/>
        </w:numPr>
        <w:pStyle w:val="Compact"/>
      </w:pPr>
      <w:r>
        <w:rPr>
          <w:bCs/>
          <w:b/>
          <w:sz w:val="25"/>
        </w:rPr>
        <w:t xml:space="preserve">Identify which cohorts are driving the spread.</w:t>
      </w:r>
      <w:r>
        <w:rPr>
          <w:sz w:val="25"/>
        </w:rPr>
        <w:t xml:space="preserve"> </w:t>
      </w:r>
      <w:r>
        <w:rPr>
          <w:sz w:val="25"/>
        </w:rPr>
        <w:t xml:space="preserve">Casablanca high, Settat low, Kenitra mid-but-dipping-post-E4 — named explicitly rather than averaged away. Technique: explicit spread identification — goal: name which sites are actually driving the number, not just that it’s spread out.</w:t>
      </w:r>
    </w:p>
    <w:p>
      <w:pPr>
        <w:numPr>
          <w:ilvl w:val="0"/>
          <w:numId w:val="1019"/>
        </w:numPr>
        <w:pStyle w:val="Compact"/>
      </w:pPr>
      <w:r>
        <w:rPr>
          <w:bCs/>
          <w:b/>
          <w:sz w:val="25"/>
        </w:rPr>
        <w:t xml:space="preserve">Investigate what Casablanca did differently.</w:t>
      </w:r>
      <w:r>
        <w:rPr>
          <w:sz w:val="25"/>
        </w:rPr>
        <w:t xml:space="preserve"> </w:t>
      </w:r>
      <w:r>
        <w:rPr>
          <w:sz w:val="25"/>
        </w:rPr>
        <w:t xml:space="preserve">Proximity to the program team and an earlier champion briefing are identified as the concrete, transferable factors — not an unexplained</w:t>
      </w:r>
      <w:r>
        <w:rPr>
          <w:sz w:val="25"/>
        </w:rPr>
        <w:t xml:space="preserve"> </w:t>
      </w:r>
      <w:r>
        <w:rPr>
          <w:sz w:val="25"/>
        </w:rPr>
        <w:t xml:space="preserve">“</w:t>
      </w:r>
      <w:r>
        <w:rPr>
          <w:sz w:val="25"/>
        </w:rPr>
        <w:t xml:space="preserve">Casablanca is just more ready.</w:t>
      </w:r>
      <w:r>
        <w:rPr>
          <w:sz w:val="25"/>
        </w:rPr>
        <w:t xml:space="preserve">”</w:t>
      </w:r>
      <w:r>
        <w:rPr>
          <w:sz w:val="25"/>
        </w:rPr>
        <w:t xml:space="preserve"> </w:t>
      </w:r>
      <w:r>
        <w:rPr>
          <w:sz w:val="25"/>
        </w:rPr>
        <w:t xml:space="preserve">Technique: root-cause comparison — goal: a transferable explanation, not an unexplained label.</w:t>
      </w:r>
    </w:p>
    <w:p>
      <w:pPr>
        <w:numPr>
          <w:ilvl w:val="0"/>
          <w:numId w:val="1019"/>
        </w:numPr>
        <w:pStyle w:val="Compact"/>
      </w:pPr>
      <w:r>
        <w:rPr>
          <w:bCs/>
          <w:b/>
          <w:sz w:val="25"/>
        </w:rPr>
        <w:t xml:space="preserve">Transfer concrete practices to Settat and Kenitra.</w:t>
      </w:r>
      <w:r>
        <w:rPr>
          <w:sz w:val="25"/>
        </w:rPr>
        <w:t xml:space="preserve"> </w:t>
      </w:r>
      <w:r>
        <w:rPr>
          <w:sz w:val="25"/>
        </w:rPr>
        <w:t xml:space="preserve">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numPr>
          <w:ilvl w:val="0"/>
          <w:numId w:val="1019"/>
        </w:numPr>
        <w:pStyle w:val="Compact"/>
      </w:pPr>
      <w:r>
        <w:rPr>
          <w:bCs/>
          <w:b/>
          <w:sz w:val="25"/>
        </w:rPr>
        <w:t xml:space="preserve">Continue reporting cohort-level readiness alongside the project-level number.</w:t>
      </w:r>
      <w:r>
        <w:rPr>
          <w:sz w:val="25"/>
        </w:rPr>
        <w:t xml:space="preserve"> </w:t>
      </w:r>
      <w:r>
        <w:rPr>
          <w:sz w:val="25"/>
        </w:rPr>
        <w:t xml:space="preserve">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pPr>
      <w:r>
        <w:rPr>
          <w:bCs/>
          <w:b/>
          <w:sz w:val="25"/>
        </w:rPr>
        <w:t xml:space="preserve">Outputs:</w:t>
      </w:r>
      <w:r>
        <w:rPr>
          <w:sz w:val="25"/>
        </w:rPr>
        <w:t xml:space="preserve"> </w:t>
      </w:r>
      <w:r>
        <w:rPr>
          <w:sz w:val="25"/>
        </w:rPr>
        <w:t xml:space="preserve">a disaggregated, site-level readiness report; a root-cause comparison between Casablanca and the other two sites; a revised, cohort-by-cohort go/no-go recommendation at Phase 5’s gate rather than one all-or-nothing call.</w:t>
      </w:r>
    </w:p>
    <w:p>
      <w:pPr>
        <w:pStyle w:val="BodyText"/>
      </w:pPr>
      <w:r>
        <w:rPr>
          <w:bCs/>
          <w:b/>
          <w:sz w:val="25"/>
        </w:rPr>
        <w:t xml:space="preserve">RACSI for this exception.</w:t>
      </w:r>
      <w:r>
        <w:rPr>
          <w:sz w:val="25"/>
        </w:rPr>
        <w:t xml:space="preserve"> </w:t>
      </w:r>
      <w:r>
        <w:rPr>
          <w:sz w:val="25"/>
        </w:rPr>
        <w:t xml:space="preserve">R = CM, FPO · A = CM · C = SUP · S = PM · I = ES, EU</w:t>
      </w:r>
    </w:p>
    <w:p>
      <w:pPr>
        <w:pStyle w:val="BodyText"/>
      </w:pPr>
    </w:p>
    <w:bookmarkEnd w:id="52"/>
    <w:bookmarkEnd w:id="53"/>
    <w:bookmarkStart w:id="54" w:name="b.5-what-to-track-by-cadence"/>
    <w:p>
      <w:pPr>
        <w:pStyle w:val="Heading3"/>
      </w:pPr>
      <w:r>
        <w:rPr>
          <w:b/>
          <w:color w:val="3F827B"/>
          <w:sz w:val="29"/>
        </w:rPr>
        <w:t xml:space="preserve">1B.5 What to Track, by Cadence</w:t>
      </w:r>
    </w:p>
    <w:p>
      <w:pPr>
        <w:pStyle w:val="FirstParagraph"/>
      </w:pPr>
      <w:r>
        <w:rPr>
          <w:sz w:val="25"/>
        </w:rPr>
        <w:t xml:space="preserve">The tracking model below is the bridge between the phase-by-phase playbook above and the alerts in Part 5 — what Driss El Amrani and his team actually look at, and how often, across the Bouregreg ERP Adoption Program’s 60 weeks.</w:t>
      </w:r>
    </w:p>
    <w:p>
      <w:pPr>
        <w:pStyle w:val="BodyText"/>
      </w:pPr>
      <w:r>
        <w:rPr>
          <w:bCs/>
          <w:b/>
          <w:sz w:val="25"/>
        </w:rPr>
        <w:t xml:space="preserve">Daily (Deploy through Hypercare, W43–50 — Phase 6 Task 3, Phase 7 Task 2):</w:t>
      </w:r>
      <w:r>
        <w:rPr>
          <w:sz w:val="25"/>
        </w:rPr>
        <w:t xml:space="preserve"> </w:t>
      </w:r>
      <w:r>
        <w:rPr>
          <w:sz w:val="25"/>
        </w:rPr>
        <w:t xml:space="preserve">adoption-metric dashboard on M14 (Analytics); the elevated support desk’s open ticket count by site; any new resistance entry on M10 (Resistance) logged in the last 24 hours.</w:t>
      </w:r>
    </w:p>
    <w:p>
      <w:pPr>
        <w:pStyle w:val="BodyText"/>
      </w:pPr>
      <w:r>
        <w:rPr>
          <w:bCs/>
          <w:b/>
          <w:sz w:val="25"/>
        </w:rPr>
        <w:t xml:space="preserve">Weekly (throughout):</w:t>
      </w:r>
      <w:r>
        <w:rPr>
          <w:sz w:val="25"/>
        </w:rPr>
        <w:t xml:space="preserve"> </w:t>
      </w:r>
      <w:r>
        <w:rPr>
          <w:sz w:val="25"/>
        </w:rPr>
        <w:t xml:space="preserve">the Notification Center bell, for any of the 9 live alerts (Part 5); ADKAR scores for any cohort currently mid-training or mid-intervention; sponsor-action completion on M7 (Sponsor &amp; Coalition) against that week’s roadmap item.</w:t>
      </w:r>
    </w:p>
    <w:p>
      <w:pPr>
        <w:pStyle w:val="BodyText"/>
      </w:pPr>
      <w:r>
        <w:rPr>
          <w:bCs/>
          <w:b/>
          <w:sz w:val="25"/>
        </w:rPr>
        <w:t xml:space="preserve">Bi-Weekly (Hypercare, W43–50 — Phase 7 Task 3):</w:t>
      </w:r>
      <w:r>
        <w:rPr>
          <w:sz w:val="25"/>
        </w:rPr>
        <w:t xml:space="preserve"> </w:t>
      </w:r>
      <w:r>
        <w:rPr>
          <w:sz w:val="25"/>
        </w:rPr>
        <w:t xml:space="preserve">the Kübler-Ross/Bridges re-pulse cadence itself; regression coaching outcomes on M11 (Manager as Coach) for any cohort flagged the prior cycle.</w:t>
      </w:r>
    </w:p>
    <w:p>
      <w:pPr>
        <w:pStyle w:val="BodyText"/>
      </w:pPr>
      <w:r>
        <w:rPr>
          <w:bCs/>
          <w:b/>
          <w:sz w:val="25"/>
        </w:rPr>
        <w:t xml:space="preserve">Monthly (throughout, and mandatory from Sustain onward):</w:t>
      </w:r>
      <w:r>
        <w:rPr>
          <w:sz w:val="25"/>
        </w:rPr>
        <w:t xml:space="preserve"> </w:t>
      </w:r>
      <w:r>
        <w:rPr>
          <w:sz w:val="25"/>
        </w:rPr>
        <w:t xml:space="preserve">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pPr>
      <w:r>
        <w:rPr>
          <w:bCs/>
          <w:b/>
          <w:sz w:val="25"/>
        </w:rPr>
        <w:t xml:space="preserve">Escalation thresholds (the bridge to Part 5’s alerts):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Signal observed</w:t>
            </w:r>
          </w:p>
        </w:tc>
        <w:tc>
          <w:tcPr>
            <w:shd w:val="clear" w:fill="1F4B45"/>
          </w:tcPr>
          <w:p>
            <w:pPr>
              <w:pStyle w:val="Compact"/>
              <w:jc w:val="left"/>
            </w:pPr>
            <w:r>
              <w:rPr>
                <w:b/>
                <w:color w:val="FFFFFF"/>
                <w:sz w:val="22"/>
              </w:rPr>
              <w:t xml:space="preserve">Threshold</w:t>
            </w:r>
          </w:p>
        </w:tc>
        <w:tc>
          <w:tcPr>
            <w:shd w:val="clear" w:fill="1F4B45"/>
          </w:tcPr>
          <w:p>
            <w:pPr>
              <w:pStyle w:val="Compact"/>
              <w:jc w:val="left"/>
            </w:pPr>
            <w:r>
              <w:rPr>
                <w:b/>
                <w:color w:val="FFFFFF"/>
                <w:sz w:val="22"/>
              </w:rPr>
              <w:t xml:space="preserve">Action required</w:t>
            </w:r>
          </w:p>
        </w:tc>
        <w:tc>
          <w:tcPr>
            <w:shd w:val="clear" w:fill="1F4B45"/>
          </w:tcPr>
          <w:p>
            <w:pPr>
              <w:pStyle w:val="Compact"/>
              <w:jc w:val="left"/>
            </w:pPr>
            <w:r>
              <w:rPr>
                <w:b/>
                <w:color w:val="FFFFFF"/>
                <w:sz w:val="22"/>
              </w:rPr>
              <w:t xml:space="preserve">Linked exception / alert</w:t>
            </w:r>
          </w:p>
        </w:tc>
      </w:tr>
      <w:tr>
        <w:trPr>
          <w:cantSplit/>
        </w:trPr>
        <w:tc>
          <w:tcPr/>
          <w:p>
            <w:pPr>
              <w:pStyle w:val="Compact"/>
              <w:jc w:val="left"/>
            </w:pPr>
            <w:r>
              <w:rPr>
                <w:sz w:val="22"/>
              </w:rPr>
              <w:t xml:space="preserve">Desire ≤ 2, auto-escalated, low-visibility barrier notes</w:t>
            </w:r>
          </w:p>
        </w:tc>
        <w:tc>
          <w:tcPr/>
          <w:p>
            <w:pPr>
              <w:pStyle w:val="Compact"/>
              <w:jc w:val="left"/>
            </w:pPr>
            <w:r>
              <w:rPr>
                <w:sz w:val="22"/>
              </w:rPr>
              <w:t xml:space="preserve">1 occurrence</w:t>
            </w:r>
          </w:p>
        </w:tc>
        <w:tc>
          <w:tcPr/>
          <w:p>
            <w:pPr>
              <w:pStyle w:val="Compact"/>
              <w:jc w:val="left"/>
            </w:pPr>
            <w:r>
              <w:rPr>
                <w:sz w:val="22"/>
              </w:rPr>
              <w:t xml:space="preserve">Log barrier-reason note; begin E1 recovery</w:t>
            </w:r>
          </w:p>
        </w:tc>
        <w:tc>
          <w:tcPr/>
          <w:p>
            <w:pPr>
              <w:pStyle w:val="Compact"/>
              <w:jc w:val="left"/>
            </w:pPr>
            <w:r>
              <w:rPr>
                <w:sz w:val="22"/>
              </w:rPr>
              <w:t xml:space="preserve">E1 · M5 (ADKAR Engine) escalation</w:t>
            </w:r>
          </w:p>
        </w:tc>
      </w:tr>
      <w:tr>
        <w:trPr>
          <w:cantSplit/>
        </w:trPr>
        <w:tc>
          <w:tcPr/>
          <w:p>
            <w:pPr>
              <w:pStyle w:val="Compact"/>
              <w:jc w:val="left"/>
            </w:pPr>
            <w:r>
              <w:rPr>
                <w:sz w:val="22"/>
              </w:rPr>
              <w:t xml:space="preserve">Knowledge ≥ 4 and Ability ≥ 4 while Bridges = Ending</w:t>
            </w:r>
          </w:p>
        </w:tc>
        <w:tc>
          <w:tcPr/>
          <w:p>
            <w:pPr>
              <w:pStyle w:val="Compact"/>
              <w:jc w:val="left"/>
            </w:pPr>
            <w:r>
              <w:rPr>
                <w:sz w:val="22"/>
              </w:rPr>
              <w:t xml:space="preserve">1 occurrence</w:t>
            </w:r>
          </w:p>
        </w:tc>
        <w:tc>
          <w:tcPr/>
          <w:p>
            <w:pPr>
              <w:pStyle w:val="Compact"/>
              <w:jc w:val="left"/>
            </w:pPr>
            <w:r>
              <w:rPr>
                <w:sz w:val="22"/>
              </w:rPr>
              <w:t xml:space="preserve">Run E2 recovery; do not count toward cohort readiness</w:t>
            </w:r>
          </w:p>
        </w:tc>
        <w:tc>
          <w:tcPr/>
          <w:p>
            <w:pPr>
              <w:pStyle w:val="Compact"/>
              <w:jc w:val="left"/>
            </w:pPr>
            <w:r>
              <w:rPr>
                <w:sz w:val="22"/>
              </w:rPr>
              <w:t xml:space="preserve">E2 · ALT-001 (Divergence Pattern Detected)</w:t>
            </w:r>
          </w:p>
        </w:tc>
      </w:tr>
      <w:tr>
        <w:trPr>
          <w:cantSplit/>
        </w:trPr>
        <w:tc>
          <w:tcPr/>
          <w:p>
            <w:pPr>
              <w:pStyle w:val="Compact"/>
              <w:jc w:val="left"/>
            </w:pPr>
            <w:r>
              <w:rPr>
                <w:sz w:val="22"/>
              </w:rPr>
              <w:t xml:space="preserve">Lewin eligible for Refreeze on the calendar, Bridges/KR not yet there</w:t>
            </w:r>
          </w:p>
        </w:tc>
        <w:tc>
          <w:tcPr/>
          <w:p>
            <w:pPr>
              <w:pStyle w:val="Compact"/>
              <w:jc w:val="left"/>
            </w:pPr>
            <w:r>
              <w:rPr>
                <w:sz w:val="22"/>
              </w:rPr>
              <w:t xml:space="preserve">Go-live date reached</w:t>
            </w:r>
          </w:p>
        </w:tc>
        <w:tc>
          <w:tcPr/>
          <w:p>
            <w:pPr>
              <w:pStyle w:val="Compact"/>
              <w:jc w:val="left"/>
            </w:pPr>
            <w:r>
              <w:rPr>
                <w:sz w:val="22"/>
              </w:rPr>
              <w:t xml:space="preserve">Mark Lewin provisional; run E3</w:t>
            </w:r>
          </w:p>
        </w:tc>
        <w:tc>
          <w:tcPr/>
          <w:p>
            <w:pPr>
              <w:pStyle w:val="Compact"/>
              <w:jc w:val="left"/>
            </w:pPr>
            <w:r>
              <w:rPr>
                <w:sz w:val="22"/>
              </w:rPr>
              <w:t xml:space="preserve">E3 · Phase 6 gate</w:t>
            </w:r>
          </w:p>
        </w:tc>
      </w:tr>
      <w:tr>
        <w:trPr>
          <w:cantSplit/>
        </w:trPr>
        <w:tc>
          <w:tcPr/>
          <w:p>
            <w:pPr>
              <w:pStyle w:val="Compact"/>
              <w:jc w:val="left"/>
            </w:pPr>
            <w:r>
              <w:rPr>
                <w:sz w:val="22"/>
              </w:rPr>
              <w:t xml:space="preserve">Kübler-Ross reading moves backward after a specific incident</w:t>
            </w:r>
          </w:p>
        </w:tc>
        <w:tc>
          <w:tcPr/>
          <w:p>
            <w:pPr>
              <w:pStyle w:val="Compact"/>
              <w:jc w:val="left"/>
            </w:pPr>
            <w:r>
              <w:rPr>
                <w:sz w:val="22"/>
              </w:rPr>
              <w:t xml:space="preserve">1 occurrence, 1 cohort</w:t>
            </w:r>
          </w:p>
        </w:tc>
        <w:tc>
          <w:tcPr/>
          <w:p>
            <w:pPr>
              <w:pStyle w:val="Compact"/>
              <w:jc w:val="left"/>
            </w:pPr>
            <w:r>
              <w:rPr>
                <w:sz w:val="22"/>
              </w:rPr>
              <w:t xml:space="preserve">Run E4’s contained recovery cycle</w:t>
            </w:r>
          </w:p>
        </w:tc>
        <w:tc>
          <w:tcPr/>
          <w:p>
            <w:pPr>
              <w:pStyle w:val="Compact"/>
              <w:jc w:val="left"/>
            </w:pPr>
            <w:r>
              <w:rPr>
                <w:sz w:val="22"/>
              </w:rPr>
              <w:t xml:space="preserve">E4</w:t>
            </w:r>
          </w:p>
        </w:tc>
      </w:tr>
      <w:tr>
        <w:trPr>
          <w:cantSplit/>
        </w:trPr>
        <w:tc>
          <w:tcPr/>
          <w:p>
            <w:pPr>
              <w:pStyle w:val="Compact"/>
              <w:jc w:val="left"/>
            </w:pPr>
            <w:r>
              <w:rPr>
                <w:sz w:val="22"/>
              </w:rPr>
              <w:t xml:space="preserve">ADKAR Reinforcement &lt; 3 as formal close approaches</w:t>
            </w:r>
          </w:p>
        </w:tc>
        <w:tc>
          <w:tcPr/>
          <w:p>
            <w:pPr>
              <w:pStyle w:val="Compact"/>
              <w:jc w:val="left"/>
            </w:pPr>
            <w:r>
              <w:rPr>
                <w:sz w:val="22"/>
              </w:rPr>
              <w:t xml:space="preserve">Any Sustain-phase checkpoint</w:t>
            </w:r>
          </w:p>
        </w:tc>
        <w:tc>
          <w:tcPr/>
          <w:p>
            <w:pPr>
              <w:pStyle w:val="Compact"/>
              <w:jc w:val="left"/>
            </w:pPr>
            <w:r>
              <w:rPr>
                <w:sz w:val="22"/>
              </w:rPr>
              <w:t xml:space="preserve">Flag stall; run E5; delay closure</w:t>
            </w:r>
          </w:p>
        </w:tc>
        <w:tc>
          <w:tcPr/>
          <w:p>
            <w:pPr>
              <w:pStyle w:val="Compact"/>
              <w:jc w:val="left"/>
            </w:pPr>
            <w:r>
              <w:rPr>
                <w:sz w:val="22"/>
              </w:rPr>
              <w:t xml:space="preserve">E5 · ALT-015 (Sustainment Sign-Off Blocked)</w:t>
            </w:r>
          </w:p>
        </w:tc>
      </w:tr>
      <w:tr>
        <w:trPr>
          <w:cantSplit/>
        </w:trPr>
        <w:tc>
          <w:tcPr/>
          <w:p>
            <w:pPr>
              <w:pStyle w:val="Compact"/>
              <w:jc w:val="left"/>
            </w:pPr>
            <w:r>
              <w:rPr>
                <w:sz w:val="22"/>
              </w:rPr>
              <w:t xml:space="preserve">Site-level readiness spread exceeds one full benchmark band</w:t>
            </w:r>
          </w:p>
        </w:tc>
        <w:tc>
          <w:tcPr/>
          <w:p>
            <w:pPr>
              <w:pStyle w:val="Compact"/>
              <w:jc w:val="left"/>
            </w:pPr>
            <w:r>
              <w:rPr>
                <w:sz w:val="22"/>
              </w:rPr>
              <w:t xml:space="preserve">Any Phase 4–7 checkpoint</w:t>
            </w:r>
          </w:p>
        </w:tc>
        <w:tc>
          <w:tcPr/>
          <w:p>
            <w:pPr>
              <w:pStyle w:val="Compact"/>
              <w:jc w:val="left"/>
            </w:pPr>
            <w:r>
              <w:rPr>
                <w:sz w:val="22"/>
              </w:rPr>
              <w:t xml:space="preserve">Disaggregate M14 (Analytics); run E6</w:t>
            </w:r>
          </w:p>
        </w:tc>
        <w:tc>
          <w:tcPr/>
          <w:p>
            <w:pPr>
              <w:pStyle w:val="Compact"/>
              <w:jc w:val="left"/>
            </w:pPr>
            <w:r>
              <w:rPr>
                <w:sz w:val="22"/>
              </w:rPr>
              <w:t xml:space="preserve">E6</w:t>
            </w:r>
          </w:p>
        </w:tc>
      </w:tr>
      <w:tr>
        <w:trPr>
          <w:cantSplit/>
        </w:trPr>
        <w:tc>
          <w:tcPr/>
          <w:p>
            <w:pPr>
              <w:pStyle w:val="Compact"/>
              <w:jc w:val="left"/>
            </w:pPr>
            <w:r>
              <w:rPr>
                <w:sz w:val="22"/>
              </w:rPr>
              <w:t xml:space="preserve">3 or more open Resistance Log entries</w:t>
            </w:r>
          </w:p>
        </w:tc>
        <w:tc>
          <w:tcPr/>
          <w:p>
            <w:pPr>
              <w:pStyle w:val="Compact"/>
              <w:jc w:val="left"/>
            </w:pPr>
            <w:r>
              <w:rPr>
                <w:sz w:val="22"/>
              </w:rPr>
              <w:t xml:space="preserve">Any point</w:t>
            </w:r>
          </w:p>
        </w:tc>
        <w:tc>
          <w:tcPr/>
          <w:p>
            <w:pPr>
              <w:pStyle w:val="Compact"/>
              <w:jc w:val="left"/>
            </w:pPr>
            <w:r>
              <w:rPr>
                <w:sz w:val="22"/>
              </w:rPr>
              <w:t xml:space="preserve">Escalate to Steering Committee</w:t>
            </w:r>
          </w:p>
        </w:tc>
        <w:tc>
          <w:tcPr/>
          <w:p>
            <w:pPr>
              <w:pStyle w:val="Compact"/>
              <w:jc w:val="left"/>
            </w:pPr>
            <w:r>
              <w:rPr>
                <w:sz w:val="22"/>
              </w:rPr>
              <w:t xml:space="preserve">ALT-004 (Resistance Escalation Threshold Breached)</w:t>
            </w:r>
          </w:p>
        </w:tc>
      </w:tr>
      <w:tr>
        <w:trPr>
          <w:cantSplit/>
        </w:trPr>
        <w:tc>
          <w:tcPr/>
          <w:p>
            <w:pPr>
              <w:pStyle w:val="Compact"/>
              <w:jc w:val="left"/>
            </w:pPr>
            <w:r>
              <w:rPr>
                <w:sz w:val="22"/>
              </w:rPr>
              <w:t xml:space="preserve">Sponsor visibility logged</w:t>
            </w:r>
            <w:r>
              <w:rPr>
                <w:sz w:val="22"/>
              </w:rPr>
              <w:t xml:space="preserve"> </w:t>
            </w:r>
            <w:r>
              <w:rPr>
                <w:sz w:val="22"/>
              </w:rPr>
              <w:t xml:space="preserve">“</w:t>
            </w:r>
            <w:r>
              <w:rPr>
                <w:sz w:val="22"/>
              </w:rPr>
              <w:t xml:space="preserve">weak</w:t>
            </w:r>
            <w:r>
              <w:rPr>
                <w:sz w:val="22"/>
              </w:rPr>
              <w:t xml:space="preserve">”</w:t>
            </w:r>
          </w:p>
        </w:tc>
        <w:tc>
          <w:tcPr/>
          <w:p>
            <w:pPr>
              <w:pStyle w:val="Compact"/>
              <w:jc w:val="left"/>
            </w:pPr>
            <w:r>
              <w:rPr>
                <w:sz w:val="22"/>
              </w:rPr>
              <w:t xml:space="preserve">Any governance week</w:t>
            </w:r>
          </w:p>
        </w:tc>
        <w:tc>
          <w:tcPr/>
          <w:p>
            <w:pPr>
              <w:pStyle w:val="Compact"/>
              <w:jc w:val="left"/>
            </w:pPr>
            <w:r>
              <w:rPr>
                <w:sz w:val="22"/>
              </w:rPr>
              <w:t xml:space="preserve">Escalate to PMO</w:t>
            </w:r>
          </w:p>
        </w:tc>
        <w:tc>
          <w:tcPr/>
          <w:p>
            <w:pPr>
              <w:pStyle w:val="Compact"/>
              <w:jc w:val="left"/>
            </w:pPr>
            <w:r>
              <w:rPr>
                <w:sz w:val="22"/>
              </w:rPr>
              <w:t xml:space="preserve">ALT-003 (Sponsor Coverage Gap)</w:t>
            </w:r>
          </w:p>
        </w:tc>
      </w:tr>
      <w:tr>
        <w:trPr>
          <w:cantSplit/>
        </w:trPr>
        <w:tc>
          <w:tcPr/>
          <w:p>
            <w:pPr>
              <w:pStyle w:val="Compact"/>
              <w:jc w:val="left"/>
            </w:pPr>
            <w:r>
              <w:rPr>
                <w:sz w:val="22"/>
              </w:rPr>
              <w:t xml:space="preserve">Fewer than 2 named coalition members</w:t>
            </w:r>
          </w:p>
        </w:tc>
        <w:tc>
          <w:tcPr/>
          <w:p>
            <w:pPr>
              <w:pStyle w:val="Compact"/>
              <w:jc w:val="left"/>
            </w:pPr>
            <w:r>
              <w:rPr>
                <w:sz w:val="22"/>
              </w:rPr>
              <w:t xml:space="preserve">Any point</w:t>
            </w:r>
          </w:p>
        </w:tc>
        <w:tc>
          <w:tcPr/>
          <w:p>
            <w:pPr>
              <w:pStyle w:val="Compact"/>
              <w:jc w:val="left"/>
            </w:pPr>
            <w:r>
              <w:rPr>
                <w:sz w:val="22"/>
              </w:rPr>
              <w:t xml:space="preserve">Escalate to PMO</w:t>
            </w:r>
          </w:p>
        </w:tc>
        <w:tc>
          <w:tcPr/>
          <w:p>
            <w:pPr>
              <w:pStyle w:val="Compact"/>
              <w:jc w:val="left"/>
            </w:pPr>
            <w:r>
              <w:rPr>
                <w:sz w:val="22"/>
              </w:rPr>
              <w:t xml:space="preserve">ALT-010 (Guiding Coalition Gap)</w:t>
            </w:r>
          </w:p>
        </w:tc>
      </w:tr>
    </w:tbl>
    <w:p>
      <w:pPr>
        <w:pStyle w:val="BodyText"/>
      </w:pPr>
    </w:p>
    <w:bookmarkEnd w:id="54"/>
    <w:bookmarkStart w:id="55" w:name="b.6-the-program-month-by-month"/>
    <w:p>
      <w:pPr>
        <w:pStyle w:val="Heading3"/>
      </w:pPr>
      <w:r>
        <w:rPr>
          <w:b/>
          <w:color w:val="3F827B"/>
          <w:sz w:val="29"/>
        </w:rPr>
        <w:t xml:space="preserve">1B.6 The Program, Month by Month</w:t>
      </w:r>
    </w:p>
    <w:p>
      <w:pPr>
        <w:pStyle w:val="FirstParagraph"/>
      </w:pPr>
      <w:r>
        <w:rPr>
          <w:sz w:val="25"/>
        </w:rPr>
        <w:t xml:space="preserve">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pPr>
      <w:r>
        <w:rPr>
          <w:bCs/>
          <w:b/>
          <w:sz w:val="25"/>
        </w:rPr>
        <w:t xml:space="preserve">Month 1 (W1–4).</w:t>
      </w:r>
      <w:r>
        <w:rPr>
          <w:sz w:val="25"/>
        </w:rPr>
        <w:t xml:space="preserve"> </w:t>
      </w:r>
      <w:r>
        <w:rPr>
          <w:sz w:val="25"/>
        </w:rPr>
        <w:t xml:space="preserve">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pPr>
      <w:r>
        <w:rPr>
          <w:bCs/>
          <w:b/>
          <w:sz w:val="25"/>
        </w:rPr>
        <w:t xml:space="preserve">Month 2 (W5–8).</w:t>
      </w:r>
      <w:r>
        <w:rPr>
          <w:sz w:val="25"/>
        </w:rPr>
        <w:t xml:space="preserve"> </w:t>
      </w:r>
      <w:r>
        <w:rPr>
          <w:sz w:val="25"/>
        </w:rPr>
        <w:t xml:space="preserve">Discovery closes with a signed-off business case and a complete Stakeholder Map. Design opens in parallel: the first design-principle draft circulates before Discovery’s final workshop has even happened at Settat.</w:t>
      </w:r>
    </w:p>
    <w:p>
      <w:pPr>
        <w:pStyle w:val="BodyText"/>
      </w:pPr>
      <w:r>
        <w:rPr>
          <w:bCs/>
          <w:b/>
          <w:sz w:val="25"/>
        </w:rPr>
        <w:t xml:space="preserve">Month 3 (W9–13).</w:t>
      </w:r>
      <w:r>
        <w:rPr>
          <w:sz w:val="25"/>
        </w:rPr>
        <w:t xml:space="preserve"> </w:t>
      </w:r>
      <w:r>
        <w:rPr>
          <w:sz w:val="25"/>
        </w:rPr>
        <w:t xml:space="preserve">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pPr>
      <w:r>
        <w:rPr>
          <w:bCs/>
          <w:b/>
          <w:sz w:val="25"/>
        </w:rPr>
        <w:t xml:space="preserve">Month 4 (W14–17).</w:t>
      </w:r>
      <w:r>
        <w:rPr>
          <w:sz w:val="25"/>
        </w:rPr>
        <w:t xml:space="preserve"> </w:t>
      </w:r>
      <w:r>
        <w:rPr>
          <w:sz w:val="25"/>
        </w:rPr>
        <w:t xml:space="preserve">Build opens. Configuration sprints begin against the signed-off design principles, and the first wave of champions is briefed — the moment Exception E7 (Part 3) becomes an operating loop rather than a theoretical one.</w:t>
      </w:r>
    </w:p>
    <w:p>
      <w:pPr>
        <w:pStyle w:val="BodyText"/>
      </w:pPr>
      <w:r>
        <w:rPr>
          <w:bCs/>
          <w:b/>
          <w:sz w:val="25"/>
        </w:rPr>
        <w:t xml:space="preserve">Month 5 (W18–22).</w:t>
      </w:r>
      <w:r>
        <w:rPr>
          <w:sz w:val="25"/>
        </w:rPr>
        <w:t xml:space="preserve"> </w:t>
      </w:r>
      <w:r>
        <w:rPr>
          <w:sz w:val="25"/>
        </w:rPr>
        <w:t xml:space="preserve">Mid-Build. Awareness gives way to Desire across most cohorts — except the Settat plant floor, where Desire drops to 2 and auto-escalates.</w:t>
      </w:r>
      <w:r>
        <w:rPr>
          <w:sz w:val="25"/>
        </w:rPr>
        <w:t xml:space="preserve"> </w:t>
      </w:r>
      <w:r>
        <w:rPr>
          <w:bCs/>
          <w:b/>
          <w:sz w:val="25"/>
        </w:rPr>
        <w:t xml:space="preserve">Exception E1 (Desire Stall at Settat) opens here.</w:t>
      </w:r>
      <w:r>
        <w:rPr>
          <w:sz w:val="25"/>
        </w:rPr>
        <w:t xml:space="preserve"> </w:t>
      </w:r>
      <w:r>
        <w:rPr>
          <w:sz w:val="25"/>
        </w:rPr>
        <w:t xml:space="preserve">Houda Zerouali clusters the barrier notes; the theme is position security, not workflow visibility.</w:t>
      </w:r>
    </w:p>
    <w:p>
      <w:pPr>
        <w:pStyle w:val="BodyText"/>
      </w:pPr>
      <w:r>
        <w:rPr>
          <w:bCs/>
          <w:b/>
          <w:sz w:val="25"/>
        </w:rPr>
        <w:t xml:space="preserve">Month 6 (W23–27).</w:t>
      </w:r>
      <w:r>
        <w:rPr>
          <w:sz w:val="25"/>
        </w:rPr>
        <w:t xml:space="preserve"> </w:t>
      </w:r>
      <w:r>
        <w:rPr>
          <w:bCs/>
          <w:b/>
          <w:sz w:val="25"/>
        </w:rPr>
        <w:t xml:space="preserve">E1 (Desire Stall at Settat) closes.</w:t>
      </w:r>
      <w:r>
        <w:rPr>
          <w:sz w:val="25"/>
        </w:rPr>
        <w:t xml:space="preserve"> </w:t>
      </w:r>
      <w:r>
        <w:rPr>
          <w:sz w:val="25"/>
        </w:rPr>
        <w:t xml:space="preserve">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pPr>
      <w:r>
        <w:rPr>
          <w:bCs/>
          <w:b/>
          <w:sz w:val="25"/>
        </w:rPr>
        <w:t xml:space="preserve">Month 7 (W28–30).</w:t>
      </w:r>
      <w:r>
        <w:rPr>
          <w:sz w:val="25"/>
        </w:rPr>
        <w:t xml:space="preserve"> </w:t>
      </w:r>
      <w:r>
        <w:rPr>
          <w:sz w:val="25"/>
        </w:rPr>
        <w:t xml:space="preserve">Test opens. SIT runs clean. The UAT cohort is recruited across all three sites, with Settat’s representative now genuinely ready to participate meaningfully, thanks to Month 6’s recovery.</w:t>
      </w:r>
    </w:p>
    <w:p>
      <w:pPr>
        <w:pStyle w:val="BodyText"/>
      </w:pPr>
      <w:r>
        <w:rPr>
          <w:bCs/>
          <w:b/>
          <w:sz w:val="25"/>
        </w:rPr>
        <w:t xml:space="preserve">Month 8 (W31–35).</w:t>
      </w:r>
      <w:r>
        <w:rPr>
          <w:sz w:val="25"/>
        </w:rPr>
        <w:t xml:space="preserve"> </w:t>
      </w:r>
      <w:r>
        <w:rPr>
          <w:sz w:val="25"/>
        </w:rPr>
        <w:t xml:space="preserve">UAT runs in earnest. A Casablanca finance participant logs Knowledge ≥ 4 and Ability ≥ 4 while Bridges still reads Ending —</w:t>
      </w:r>
      <w:r>
        <w:rPr>
          <w:sz w:val="25"/>
        </w:rPr>
        <w:t xml:space="preserve"> </w:t>
      </w:r>
      <w:r>
        <w:rPr>
          <w:bCs/>
          <w:b/>
          <w:sz w:val="25"/>
        </w:rPr>
        <w:t xml:space="preserve">Exception E2 (Divergence Pattern at UAT) fires</w:t>
      </w:r>
      <w:r>
        <w:rPr>
          <w:sz w:val="25"/>
        </w:rPr>
        <w:t xml:space="preserve"> </w:t>
      </w:r>
      <w:r>
        <w:rPr>
          <w:sz w:val="25"/>
        </w:rPr>
        <w:t xml:space="preserve">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pPr>
      <w:r>
        <w:rPr>
          <w:bCs/>
          <w:b/>
          <w:sz w:val="25"/>
        </w:rPr>
        <w:t xml:space="preserve">Month 9 (W36–39).</w:t>
      </w:r>
      <w:r>
        <w:rPr>
          <w:sz w:val="25"/>
        </w:rPr>
        <w:t xml:space="preserve"> </w:t>
      </w:r>
      <w:r>
        <w:rPr>
          <w:sz w:val="25"/>
        </w:rPr>
        <w:t xml:space="preserve">Train continues. Kenitra and Settat’s job aids and sandbox environment go live. The Composite Readiness Index on M14 (Analytics), blended across all three sites, starts reading in a range that — disaggregated — turns out to mean something different at each site.</w:t>
      </w:r>
      <w:r>
        <w:rPr>
          <w:sz w:val="25"/>
        </w:rPr>
        <w:t xml:space="preserve"> </w:t>
      </w:r>
      <w:r>
        <w:rPr>
          <w:bCs/>
          <w:b/>
          <w:sz w:val="25"/>
        </w:rPr>
        <w:t xml:space="preserve">Exception E6 (Cohort Divergence Across Sites) is formally opened</w:t>
      </w:r>
      <w:r>
        <w:rPr>
          <w:sz w:val="25"/>
        </w:rPr>
        <w:t xml:space="preserve"> </w:t>
      </w:r>
      <w:r>
        <w:rPr>
          <w:sz w:val="25"/>
        </w:rPr>
        <w:t xml:space="preserve">as Meryem Sabri pulls the site-level breakdown apart for the first time.</w:t>
      </w:r>
    </w:p>
    <w:p>
      <w:pPr>
        <w:pStyle w:val="BodyText"/>
      </w:pPr>
      <w:r>
        <w:rPr>
          <w:bCs/>
          <w:b/>
          <w:sz w:val="25"/>
        </w:rPr>
        <w:t xml:space="preserve">Month 10 (W40–42).</w:t>
      </w:r>
      <w:r>
        <w:rPr>
          <w:sz w:val="25"/>
        </w:rPr>
        <w:t xml:space="preserve"> </w:t>
      </w:r>
      <w:r>
        <w:rPr>
          <w:sz w:val="25"/>
        </w:rPr>
        <w:t xml:space="preserve">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pPr>
      <w:r>
        <w:rPr>
          <w:bCs/>
          <w:b/>
          <w:sz w:val="25"/>
        </w:rPr>
        <w:t xml:space="preserve">Month 11 (W43).</w:t>
      </w:r>
      <w:r>
        <w:rPr>
          <w:sz w:val="25"/>
        </w:rPr>
        <w:t xml:space="preserve"> </w:t>
      </w:r>
      <w:r>
        <w:rPr>
          <w:sz w:val="25"/>
        </w:rPr>
        <w:t xml:space="preserve">Deploy — a single, sharp week. Data freeze, final migration, cutover runbook, technical validation: all clean. Driss El Amrani sends the go-live confirmation across all three sites, timed against M8 (Communications)’s saturation detection. Hypercare activates on Day 1. Lewin is marked</w:t>
      </w:r>
      <w:r>
        <w:rPr>
          <w:sz w:val="25"/>
        </w:rPr>
        <w:t xml:space="preserve"> </w:t>
      </w:r>
      <w:r>
        <w:rPr>
          <w:sz w:val="25"/>
        </w:rPr>
        <w:t xml:space="preserve">“</w:t>
      </w:r>
      <w:r>
        <w:rPr>
          <w:sz w:val="25"/>
        </w:rPr>
        <w:t xml:space="preserve">Change → Refreeze (provisional),</w:t>
      </w:r>
      <w:r>
        <w:rPr>
          <w:sz w:val="25"/>
        </w:rPr>
        <w:t xml:space="preserve">”</w:t>
      </w:r>
      <w:r>
        <w:rPr>
          <w:sz w:val="25"/>
        </w:rPr>
        <w:t xml:space="preserve"> </w:t>
      </w:r>
      <w:r>
        <w:rPr>
          <w:sz w:val="25"/>
        </w:rPr>
        <w:t xml:space="preserve">not Refreeze —</w:t>
      </w:r>
      <w:r>
        <w:rPr>
          <w:sz w:val="25"/>
        </w:rPr>
        <w:t xml:space="preserve"> </w:t>
      </w:r>
      <w:r>
        <w:rPr>
          <w:bCs/>
          <w:b/>
          <w:sz w:val="25"/>
        </w:rPr>
        <w:t xml:space="preserve">Exception E3 (Two-Clock Problem at Deploy) is, by design, already active</w:t>
      </w:r>
      <w:r>
        <w:rPr>
          <w:sz w:val="25"/>
        </w:rPr>
        <w:t xml:space="preserve"> </w:t>
      </w:r>
      <w:r>
        <w:rPr>
          <w:sz w:val="25"/>
        </w:rPr>
        <w:t xml:space="preserve">the moment this month begins, and stays active through Month 12.</w:t>
      </w:r>
    </w:p>
    <w:p>
      <w:pPr>
        <w:pStyle w:val="BodyText"/>
      </w:pPr>
      <w:r>
        <w:rPr>
          <w:bCs/>
          <w:b/>
          <w:sz w:val="25"/>
        </w:rPr>
        <w:t xml:space="preserve">Month 12 (W44–47).</w:t>
      </w:r>
      <w:r>
        <w:rPr>
          <w:sz w:val="25"/>
        </w:rPr>
        <w:t xml:space="preserve"> </w:t>
      </w:r>
      <w:r>
        <w:rPr>
          <w:sz w:val="25"/>
        </w:rPr>
        <w:t xml:space="preserve">Hypercare in full swing. A configuration defect in Kenitra’s inventory-matching logic causes a visible stock-count error in front of a cohort that had just started to trust the new system —</w:t>
      </w:r>
      <w:r>
        <w:rPr>
          <w:sz w:val="25"/>
        </w:rPr>
        <w:t xml:space="preserve"> </w:t>
      </w:r>
      <w:r>
        <w:rPr>
          <w:bCs/>
          <w:b/>
          <w:sz w:val="25"/>
        </w:rPr>
        <w:t xml:space="preserve">Exception E4 (Sentiment Regression During Hypercare) opens</w:t>
      </w:r>
      <w:r>
        <w:rPr>
          <w:sz w:val="25"/>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w:t>
      </w:r>
      <w:r>
        <w:rPr>
          <w:sz w:val="25"/>
        </w:rPr>
        <w:t xml:space="preserve"> </w:t>
      </w:r>
      <w:r>
        <w:rPr>
          <w:bCs/>
          <w:b/>
          <w:sz w:val="25"/>
        </w:rPr>
        <w:t xml:space="preserve">E3 (Two-Clock Problem at Deploy)</w:t>
      </w:r>
      <w:r>
        <w:rPr>
          <w:sz w:val="25"/>
        </w:rPr>
        <w:t xml:space="preserve"> </w:t>
      </w:r>
      <w:r>
        <w:rPr>
          <w:sz w:val="25"/>
        </w:rPr>
        <w:t xml:space="preserve">also runs this month.</w:t>
      </w:r>
    </w:p>
    <w:p>
      <w:pPr>
        <w:pStyle w:val="BodyText"/>
      </w:pPr>
      <w:r>
        <w:rPr>
          <w:bCs/>
          <w:b/>
          <w:sz w:val="25"/>
        </w:rPr>
        <w:t xml:space="preserve">Month 13 (W48–52).</w:t>
      </w:r>
      <w:r>
        <w:rPr>
          <w:sz w:val="25"/>
        </w:rPr>
        <w:t xml:space="preserve"> </w:t>
      </w:r>
      <w:r>
        <w:rPr>
          <w:sz w:val="25"/>
        </w:rPr>
        <w:t xml:space="preserve">Hypercare closes: the re-pulse confirms Bridges has genuinely moved to New Beginning and Kübler-Ross reads Exploration or better across all three sites —</w:t>
      </w:r>
      <w:r>
        <w:rPr>
          <w:sz w:val="25"/>
        </w:rPr>
        <w:t xml:space="preserve"> </w:t>
      </w:r>
      <w:r>
        <w:rPr>
          <w:bCs/>
          <w:b/>
          <w:sz w:val="25"/>
        </w:rPr>
        <w:t xml:space="preserve">E3 (Two-Clock Problem at Deploy) closes</w:t>
      </w:r>
      <w:r>
        <w:rPr>
          <w:sz w:val="25"/>
        </w:rPr>
        <w:t xml:space="preserve">, Lewin’s provisional Refreeze is confirmed rather than walked back. Sustain opens. New-process metrics are embedded into performance management with HR’s support; the first 30-day checkpoint runs clean.</w:t>
      </w:r>
    </w:p>
    <w:p>
      <w:pPr>
        <w:pStyle w:val="BodyText"/>
      </w:pPr>
      <w:r>
        <w:rPr>
          <w:bCs/>
          <w:b/>
          <w:sz w:val="25"/>
        </w:rPr>
        <w:t xml:space="preserve">Month 14 (W53–64).</w:t>
      </w:r>
      <w:r>
        <w:rPr>
          <w:sz w:val="25"/>
        </w:rPr>
        <w:t xml:space="preserve"> </w:t>
      </w:r>
      <w:r>
        <w:rPr>
          <w:sz w:val="25"/>
        </w:rPr>
        <w:t xml:space="preserve">The 60-day checkpoint runs clean. At the 90-day mark, Reinforcement stalls below 3 for the first time — not a crisis, but exactly the pattern</w:t>
      </w:r>
      <w:r>
        <w:rPr>
          <w:sz w:val="25"/>
        </w:rPr>
        <w:t xml:space="preserve"> </w:t>
      </w:r>
      <w:r>
        <w:rPr>
          <w:bCs/>
          <w:b/>
          <w:sz w:val="25"/>
        </w:rPr>
        <w:t xml:space="preserve">Exception E5 (Reinforcement Gap at Sustain)</w:t>
      </w:r>
      <w:r>
        <w:rPr>
          <w:sz w:val="25"/>
        </w:rPr>
        <w:t xml:space="preserve"> </w:t>
      </w:r>
      <w:r>
        <w:rPr>
          <w:sz w:val="25"/>
        </w:rPr>
        <w:t xml:space="preserve">exists to catch before the program closes on schedule regardless. Driss El Amrani flags it explicitly; the CFO re-authorizes a further checkpoint cadence; the champion network is re-chartered specifically for reinforcement. Two further consecutive healthy checkpoints follow.</w:t>
      </w:r>
      <w:r>
        <w:rPr>
          <w:sz w:val="25"/>
        </w:rPr>
        <w:t xml:space="preserve"> </w:t>
      </w:r>
      <w:r>
        <w:rPr>
          <w:bCs/>
          <w:b/>
          <w:sz w:val="25"/>
        </w:rPr>
        <w:t xml:space="preserve">E5 (Reinforcement Gap at Sustain) closes.</w:t>
      </w:r>
      <w:r>
        <w:rPr>
          <w:sz w:val="25"/>
        </w:rPr>
        <w:t xml:space="preserve"> </w:t>
      </w:r>
      <w:r>
        <w:rPr>
          <w:sz w:val="25"/>
        </w:rPr>
        <w:t xml:space="preserve">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pPr>
    </w:p>
    <w:bookmarkEnd w:id="55"/>
    <w:bookmarkStart w:id="56" w:name="X0957a1dbcd22e9d9553be525827a3cc7602c435"/>
    <w:p>
      <w:pPr>
        <w:pStyle w:val="Heading3"/>
      </w:pPr>
      <w:r>
        <w:rPr>
          <w:b/>
          <w:color w:val="3F827B"/>
          <w:sz w:val="29"/>
        </w:rPr>
        <w:t xml:space="preserve">1B.7 CM Charters Across the Program — Create, Read, Update, Delete</w:t>
      </w:r>
    </w:p>
    <w:p>
      <w:pPr>
        <w:pStyle w:val="FirstParagraph"/>
      </w:pPr>
      <w:r>
        <w:rPr>
          <w:sz w:val="25"/>
        </w:rPr>
        <w:t xml:space="preserve">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pPr>
      <w:r>
        <w:rPr>
          <w:bCs/>
          <w:b/>
          <w:sz w:val="25"/>
        </w:rPr>
        <w:t xml:space="preserve">The 8 charters, their owners, and their governing macro process: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Charter</w:t>
            </w:r>
          </w:p>
        </w:tc>
        <w:tc>
          <w:tcPr>
            <w:shd w:val="clear" w:fill="1F4B45"/>
          </w:tcPr>
          <w:p>
            <w:pPr>
              <w:pStyle w:val="Compact"/>
              <w:jc w:val="left"/>
            </w:pPr>
            <w:r>
              <w:rPr>
                <w:b/>
                <w:color w:val="FFFFFF"/>
                <w:sz w:val="22"/>
              </w:rPr>
              <w:t xml:space="preserve">Owner Role</w:t>
            </w:r>
          </w:p>
        </w:tc>
        <w:tc>
          <w:tcPr>
            <w:shd w:val="clear" w:fill="1F4B45"/>
          </w:tcPr>
          <w:p>
            <w:pPr>
              <w:pStyle w:val="Compact"/>
              <w:jc w:val="left"/>
            </w:pPr>
            <w:r>
              <w:rPr>
                <w:b/>
                <w:color w:val="FFFFFF"/>
                <w:sz w:val="22"/>
              </w:rPr>
              <w:t xml:space="preserve">Governs</w:t>
            </w:r>
          </w:p>
        </w:tc>
        <w:tc>
          <w:tcPr>
            <w:shd w:val="clear" w:fill="1F4B45"/>
          </w:tcPr>
          <w:p>
            <w:pPr>
              <w:pStyle w:val="Compact"/>
              <w:jc w:val="left"/>
            </w:pPr>
            <w:r>
              <w:rPr>
                <w:b/>
                <w:color w:val="FFFFFF"/>
                <w:sz w:val="22"/>
              </w:rPr>
              <w:t xml:space="preserve">Created In</w:t>
            </w:r>
          </w:p>
        </w:tc>
      </w:tr>
      <w:tr>
        <w:trPr>
          <w:cantSplit/>
        </w:trPr>
        <w:tc>
          <w:tcPr/>
          <w:p>
            <w:pPr>
              <w:pStyle w:val="Compact"/>
              <w:jc w:val="left"/>
            </w:pPr>
            <w:r>
              <w:rPr>
                <w:sz w:val="22"/>
              </w:rPr>
              <w:t xml:space="preserve">CHTR-01 (Sponsorship / Leadership Charter)</w:t>
            </w:r>
          </w:p>
        </w:tc>
        <w:tc>
          <w:tcPr/>
          <w:p>
            <w:pPr>
              <w:pStyle w:val="Compact"/>
              <w:jc w:val="left"/>
            </w:pPr>
            <w:r>
              <w:rPr>
                <w:sz w:val="22"/>
              </w:rPr>
              <w:t xml:space="preserve">Executive Sponsor</w:t>
            </w:r>
          </w:p>
        </w:tc>
        <w:tc>
          <w:tcPr/>
          <w:p>
            <w:pPr>
              <w:pStyle w:val="Compact"/>
              <w:jc w:val="left"/>
            </w:pPr>
            <w:r>
              <w:rPr>
                <w:sz w:val="22"/>
              </w:rPr>
              <w:t xml:space="preserve">MP-02 (Sponsorship &amp; Governance Management)</w:t>
            </w:r>
          </w:p>
        </w:tc>
        <w:tc>
          <w:tcPr/>
          <w:p>
            <w:pPr>
              <w:pStyle w:val="Compact"/>
              <w:jc w:val="left"/>
            </w:pPr>
            <w:r>
              <w:rPr>
                <w:sz w:val="22"/>
              </w:rPr>
              <w:t xml:space="preserve">Phase 1, Week 1</w:t>
            </w:r>
          </w:p>
        </w:tc>
      </w:tr>
      <w:tr>
        <w:trPr>
          <w:cantSplit/>
        </w:trPr>
        <w:tc>
          <w:tcPr/>
          <w:p>
            <w:pPr>
              <w:pStyle w:val="Compact"/>
              <w:jc w:val="left"/>
            </w:pPr>
            <w:r>
              <w:rPr>
                <w:sz w:val="22"/>
              </w:rPr>
              <w:t xml:space="preserve">CHTR-04 (Organizational Impact Charter)</w:t>
            </w:r>
          </w:p>
        </w:tc>
        <w:tc>
          <w:tcPr/>
          <w:p>
            <w:pPr>
              <w:pStyle w:val="Compact"/>
              <w:jc w:val="left"/>
            </w:pPr>
            <w:r>
              <w:rPr>
                <w:sz w:val="22"/>
              </w:rPr>
              <w:t xml:space="preserve">Change Manager</w:t>
            </w:r>
          </w:p>
        </w:tc>
        <w:tc>
          <w:tcPr/>
          <w:p>
            <w:pPr>
              <w:pStyle w:val="Compact"/>
              <w:jc w:val="left"/>
            </w:pPr>
            <w:r>
              <w:rPr>
                <w:sz w:val="22"/>
              </w:rPr>
              <w:t xml:space="preserve">MP-01 (Change Impact &amp; Stakeholder Assessment)</w:t>
            </w:r>
          </w:p>
        </w:tc>
        <w:tc>
          <w:tcPr/>
          <w:p>
            <w:pPr>
              <w:pStyle w:val="Compact"/>
              <w:jc w:val="left"/>
            </w:pPr>
            <w:r>
              <w:rPr>
                <w:sz w:val="22"/>
              </w:rPr>
              <w:t xml:space="preserve">Phase 1, Week 6</w:t>
            </w:r>
          </w:p>
        </w:tc>
      </w:tr>
      <w:tr>
        <w:trPr>
          <w:cantSplit/>
        </w:trPr>
        <w:tc>
          <w:tcPr/>
          <w:p>
            <w:pPr>
              <w:pStyle w:val="Compact"/>
              <w:jc w:val="left"/>
            </w:pPr>
            <w:r>
              <w:rPr>
                <w:sz w:val="22"/>
              </w:rPr>
              <w:t xml:space="preserve">CHTR-08 (Pulse / Interview Charter)</w:t>
            </w:r>
          </w:p>
        </w:tc>
        <w:tc>
          <w:tcPr/>
          <w:p>
            <w:pPr>
              <w:pStyle w:val="Compact"/>
              <w:jc w:val="left"/>
            </w:pPr>
            <w:r>
              <w:rPr>
                <w:sz w:val="22"/>
              </w:rPr>
              <w:t xml:space="preserve">Change Manager</w:t>
            </w:r>
          </w:p>
        </w:tc>
        <w:tc>
          <w:tcPr/>
          <w:p>
            <w:pPr>
              <w:pStyle w:val="Compact"/>
              <w:jc w:val="left"/>
            </w:pPr>
            <w:r>
              <w:rPr>
                <w:sz w:val="22"/>
              </w:rPr>
              <w:t xml:space="preserve">MP-07 (Readiness Diagnostics &amp; Signal Capture)</w:t>
            </w:r>
          </w:p>
        </w:tc>
        <w:tc>
          <w:tcPr/>
          <w:p>
            <w:pPr>
              <w:pStyle w:val="Compact"/>
              <w:jc w:val="left"/>
            </w:pPr>
            <w:r>
              <w:rPr>
                <w:sz w:val="22"/>
              </w:rPr>
              <w:t xml:space="preserve">Phase 1, Week 8</w:t>
            </w:r>
          </w:p>
        </w:tc>
      </w:tr>
      <w:tr>
        <w:trPr>
          <w:cantSplit/>
        </w:trPr>
        <w:tc>
          <w:tcPr/>
          <w:p>
            <w:pPr>
              <w:pStyle w:val="Compact"/>
              <w:jc w:val="left"/>
            </w:pPr>
            <w:r>
              <w:rPr>
                <w:sz w:val="22"/>
              </w:rPr>
              <w:t xml:space="preserve">CHTR-03 (Communication Charter)</w:t>
            </w:r>
          </w:p>
        </w:tc>
        <w:tc>
          <w:tcPr/>
          <w:p>
            <w:pPr>
              <w:pStyle w:val="Compact"/>
              <w:jc w:val="left"/>
            </w:pPr>
            <w:r>
              <w:rPr>
                <w:sz w:val="22"/>
              </w:rPr>
              <w:t xml:space="preserve">Change Manager</w:t>
            </w:r>
          </w:p>
        </w:tc>
        <w:tc>
          <w:tcPr/>
          <w:p>
            <w:pPr>
              <w:pStyle w:val="Compact"/>
              <w:jc w:val="left"/>
            </w:pPr>
            <w:r>
              <w:rPr>
                <w:sz w:val="22"/>
              </w:rPr>
              <w:t xml:space="preserve">MP-03 (Communication &amp; Awareness Management)</w:t>
            </w:r>
          </w:p>
        </w:tc>
        <w:tc>
          <w:tcPr/>
          <w:p>
            <w:pPr>
              <w:pStyle w:val="Compact"/>
              <w:jc w:val="left"/>
            </w:pPr>
            <w:r>
              <w:rPr>
                <w:sz w:val="22"/>
              </w:rPr>
              <w:t xml:space="preserve">Phase 2, Week 9</w:t>
            </w:r>
          </w:p>
        </w:tc>
      </w:tr>
      <w:tr>
        <w:trPr>
          <w:cantSplit/>
        </w:trPr>
        <w:tc>
          <w:tcPr/>
          <w:p>
            <w:pPr>
              <w:pStyle w:val="Compact"/>
              <w:jc w:val="left"/>
            </w:pPr>
            <w:r>
              <w:rPr>
                <w:sz w:val="22"/>
              </w:rPr>
              <w:t xml:space="preserve">CHTR-02 (Participative Management Charter)</w:t>
            </w:r>
          </w:p>
        </w:tc>
        <w:tc>
          <w:tcPr/>
          <w:p>
            <w:pPr>
              <w:pStyle w:val="Compact"/>
              <w:jc w:val="left"/>
            </w:pPr>
            <w:r>
              <w:rPr>
                <w:sz w:val="22"/>
              </w:rPr>
              <w:t xml:space="preserve">Frontline Supervisor</w:t>
            </w:r>
          </w:p>
        </w:tc>
        <w:tc>
          <w:tcPr/>
          <w:p>
            <w:pPr>
              <w:pStyle w:val="Compact"/>
              <w:jc w:val="left"/>
            </w:pPr>
            <w:r>
              <w:rPr>
                <w:sz w:val="22"/>
              </w:rPr>
              <w:t xml:space="preserve">MP-04 (Resistance &amp; Barrier Management)</w:t>
            </w:r>
          </w:p>
        </w:tc>
        <w:tc>
          <w:tcPr/>
          <w:p>
            <w:pPr>
              <w:pStyle w:val="Compact"/>
              <w:jc w:val="left"/>
            </w:pPr>
            <w:r>
              <w:rPr>
                <w:sz w:val="22"/>
              </w:rPr>
              <w:t xml:space="preserve">Phase 3, Week 16</w:t>
            </w:r>
          </w:p>
        </w:tc>
      </w:tr>
      <w:tr>
        <w:trPr>
          <w:cantSplit/>
        </w:trPr>
        <w:tc>
          <w:tcPr/>
          <w:p>
            <w:pPr>
              <w:pStyle w:val="Compact"/>
              <w:jc w:val="left"/>
            </w:pPr>
            <w:r>
              <w:rPr>
                <w:sz w:val="22"/>
              </w:rPr>
              <w:t xml:space="preserve">CHTR-06 (One-to-One Coaching Charter)</w:t>
            </w:r>
          </w:p>
        </w:tc>
        <w:tc>
          <w:tcPr/>
          <w:p>
            <w:pPr>
              <w:pStyle w:val="Compact"/>
              <w:jc w:val="left"/>
            </w:pPr>
            <w:r>
              <w:rPr>
                <w:sz w:val="22"/>
              </w:rPr>
              <w:t xml:space="preserve">Change Manager</w:t>
            </w:r>
          </w:p>
        </w:tc>
        <w:tc>
          <w:tcPr/>
          <w:p>
            <w:pPr>
              <w:pStyle w:val="Compact"/>
              <w:jc w:val="left"/>
            </w:pPr>
            <w:r>
              <w:rPr>
                <w:sz w:val="22"/>
              </w:rPr>
              <w:t xml:space="preserve">MP-08 (Divergence &amp; Risk Detection)</w:t>
            </w:r>
          </w:p>
        </w:tc>
        <w:tc>
          <w:tcPr/>
          <w:p>
            <w:pPr>
              <w:pStyle w:val="Compact"/>
              <w:jc w:val="left"/>
            </w:pPr>
            <w:r>
              <w:rPr>
                <w:sz w:val="22"/>
              </w:rPr>
              <w:t xml:space="preserve">Phase 4, Week 34</w:t>
            </w:r>
          </w:p>
        </w:tc>
      </w:tr>
      <w:tr>
        <w:trPr>
          <w:cantSplit/>
        </w:trPr>
        <w:tc>
          <w:tcPr/>
          <w:p>
            <w:pPr>
              <w:pStyle w:val="Compact"/>
              <w:jc w:val="left"/>
            </w:pPr>
            <w:r>
              <w:rPr>
                <w:sz w:val="22"/>
              </w:rPr>
              <w:t xml:space="preserve">CHTR-07 (Mentoring Charter)</w:t>
            </w:r>
          </w:p>
        </w:tc>
        <w:tc>
          <w:tcPr/>
          <w:p>
            <w:pPr>
              <w:pStyle w:val="Compact"/>
              <w:jc w:val="left"/>
            </w:pPr>
            <w:r>
              <w:rPr>
                <w:sz w:val="22"/>
              </w:rPr>
              <w:t xml:space="preserve">Training Lead</w:t>
            </w:r>
          </w:p>
        </w:tc>
        <w:tc>
          <w:tcPr/>
          <w:p>
            <w:pPr>
              <w:pStyle w:val="Compact"/>
              <w:jc w:val="left"/>
            </w:pPr>
            <w:r>
              <w:rPr>
                <w:sz w:val="22"/>
              </w:rPr>
              <w:t xml:space="preserve">MP-05 (Training &amp; Capability Enablement)</w:t>
            </w:r>
          </w:p>
        </w:tc>
        <w:tc>
          <w:tcPr/>
          <w:p>
            <w:pPr>
              <w:pStyle w:val="Compact"/>
              <w:jc w:val="left"/>
            </w:pPr>
            <w:r>
              <w:rPr>
                <w:sz w:val="22"/>
              </w:rPr>
              <w:t xml:space="preserve">Phase 5, Week 30</w:t>
            </w:r>
          </w:p>
        </w:tc>
      </w:tr>
      <w:tr>
        <w:trPr>
          <w:cantSplit/>
        </w:trPr>
        <w:tc>
          <w:tcPr/>
          <w:p>
            <w:pPr>
              <w:pStyle w:val="Compact"/>
              <w:jc w:val="left"/>
            </w:pPr>
            <w:r>
              <w:rPr>
                <w:sz w:val="22"/>
              </w:rPr>
              <w:t xml:space="preserve">CHTR-05 (Team Coaching Charter)</w:t>
            </w:r>
          </w:p>
        </w:tc>
        <w:tc>
          <w:tcPr/>
          <w:p>
            <w:pPr>
              <w:pStyle w:val="Compact"/>
              <w:jc w:val="left"/>
            </w:pPr>
            <w:r>
              <w:rPr>
                <w:sz w:val="22"/>
              </w:rPr>
              <w:t xml:space="preserve">People Manager</w:t>
            </w:r>
          </w:p>
        </w:tc>
        <w:tc>
          <w:tcPr/>
          <w:p>
            <w:pPr>
              <w:pStyle w:val="Compact"/>
              <w:jc w:val="left"/>
            </w:pPr>
            <w:r>
              <w:rPr>
                <w:sz w:val="22"/>
              </w:rPr>
              <w:t xml:space="preserve">MP-09 (Hypercare &amp; Floor Coaching Support)</w:t>
            </w:r>
          </w:p>
        </w:tc>
        <w:tc>
          <w:tcPr/>
          <w:p>
            <w:pPr>
              <w:pStyle w:val="Compact"/>
              <w:jc w:val="left"/>
            </w:pPr>
            <w:r>
              <w:rPr>
                <w:sz w:val="22"/>
              </w:rPr>
              <w:t xml:space="preserve">Phase 7, Week 46</w:t>
            </w:r>
          </w:p>
        </w:tc>
      </w:tr>
    </w:tbl>
    <w:p>
      <w:pPr>
        <w:pStyle w:val="BodyText"/>
      </w:pPr>
      <w:r>
        <w:rPr>
          <w:bCs/>
          <w:b/>
          <w:sz w:val="25"/>
        </w:rPr>
        <w:t xml:space="preserve">Phase-by-phase CRUD detail:</w:t>
      </w:r>
    </w:p>
    <w:p>
      <w:pPr>
        <w:pStyle w:val="BodyText"/>
      </w:pPr>
      <w:r>
        <w:rPr>
          <w:bCs/>
          <w:b/>
          <w:sz w:val="25"/>
        </w:rPr>
        <w:t xml:space="preserve">Phase 1 — Discovery.</w:t>
      </w:r>
      <w:r>
        <w:rPr>
          <w:sz w:val="25"/>
        </w:rPr>
        <w:t xml:space="preserve"> </w:t>
      </w:r>
      <w:r>
        <w:rPr>
          <w:iCs/>
          <w:i/>
          <w:sz w:val="25"/>
        </w:rPr>
        <w:t xml:space="preserve">Create.</w:t>
      </w:r>
      <w:r>
        <w:rPr>
          <w:sz w:val="25"/>
        </w:rPr>
        <w:t xml:space="preserve"> </w:t>
      </w:r>
      <w:r>
        <w:rPr>
          <w:sz w:val="25"/>
        </w:rPr>
        <w:t xml:space="preserve">Week 1: Meryem Sabri creates CHTR-01 (Sponsorship / Leadership Charter) on M19 (CM Charters) at kickoff, co-signed by the CFO — type in: Owner</w:t>
      </w:r>
      <w:r>
        <w:rPr>
          <w:sz w:val="25"/>
        </w:rPr>
        <w:t xml:space="preserve"> </w:t>
      </w:r>
      <w:r>
        <w:rPr>
          <w:sz w:val="25"/>
        </w:rPr>
        <w:t xml:space="preserve">“</w:t>
      </w:r>
      <w:r>
        <w:rPr>
          <w:sz w:val="25"/>
        </w:rPr>
        <w:t xml:space="preserve">Executive Sponsor</w:t>
      </w:r>
      <w:r>
        <w:rPr>
          <w:sz w:val="25"/>
        </w:rPr>
        <w:t xml:space="preserve">”</w:t>
      </w:r>
      <w:r>
        <w:rPr>
          <w:sz w:val="25"/>
        </w:rPr>
        <w:t xml:space="preserve">; RACSI R=CM, A=ES, C=PM/FPO, I=SUP/EU; Status</w:t>
      </w:r>
      <w:r>
        <w:rPr>
          <w:sz w:val="25"/>
        </w:rPr>
        <w:t xml:space="preserve"> </w:t>
      </w:r>
      <w:r>
        <w:rPr>
          <w:sz w:val="25"/>
        </w:rPr>
        <w:t xml:space="preserve">“</w:t>
      </w:r>
      <w:r>
        <w:rPr>
          <w:sz w:val="25"/>
        </w:rPr>
        <w:t xml:space="preserve">Active</w:t>
      </w:r>
      <w:r>
        <w:rPr>
          <w:sz w:val="25"/>
        </w:rPr>
        <w:t xml:space="preserve">”</w:t>
      </w:r>
      <w:r>
        <w:rPr>
          <w:sz w:val="25"/>
        </w:rPr>
        <w:t xml:space="preserve">; Effective Date</w:t>
      </w:r>
      <w:r>
        <w:rPr>
          <w:sz w:val="25"/>
        </w:rPr>
        <w:t xml:space="preserve"> </w:t>
      </w:r>
      <w:r>
        <w:rPr>
          <w:sz w:val="25"/>
        </w:rPr>
        <w:t xml:space="preserve">“</w:t>
      </w:r>
      <w:r>
        <w:rPr>
          <w:sz w:val="25"/>
        </w:rPr>
        <w:t xml:space="preserve">Week 1</w:t>
      </w:r>
      <w:r>
        <w:rPr>
          <w:sz w:val="25"/>
        </w:rPr>
        <w:t xml:space="preserve">”</w:t>
      </w:r>
      <w:r>
        <w:rPr>
          <w:sz w:val="25"/>
        </w:rPr>
        <w:t xml:space="preserve">; Review Frequency</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Week 6: create CHTR-04 (Organizational Impact Charter) alongside the Stakeholder Map, owned by the Change Manager.</w:t>
      </w:r>
      <w:r>
        <w:rPr>
          <w:sz w:val="25"/>
        </w:rPr>
        <w:t xml:space="preserve"> </w:t>
      </w:r>
      <w:r>
        <w:rPr>
          <w:iCs/>
          <w:i/>
          <w:sz w:val="25"/>
        </w:rPr>
        <w:t xml:space="preserve">Delete (administrative correction).</w:t>
      </w:r>
      <w:r>
        <w:rPr>
          <w:sz w:val="25"/>
        </w:rPr>
        <w:t xml:space="preserve"> </w:t>
      </w:r>
      <w:r>
        <w:rPr>
          <w:sz w:val="25"/>
        </w:rPr>
        <w:t xml:space="preserve">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pPr>
      <w:r>
        <w:rPr>
          <w:bCs/>
          <w:b/>
          <w:sz w:val="25"/>
        </w:rPr>
        <w:t xml:space="preserve">Phase 2 — Design.</w:t>
      </w:r>
      <w:r>
        <w:rPr>
          <w:sz w:val="25"/>
        </w:rPr>
        <w:t xml:space="preserve"> </w:t>
      </w:r>
      <w:r>
        <w:rPr>
          <w:iCs/>
          <w:i/>
          <w:sz w:val="25"/>
        </w:rPr>
        <w:t xml:space="preserve">Create.</w:t>
      </w:r>
      <w:r>
        <w:rPr>
          <w:sz w:val="25"/>
        </w:rPr>
        <w:t xml:space="preserve"> </w:t>
      </w:r>
      <w:r>
        <w:rPr>
          <w:sz w:val="25"/>
        </w:rPr>
        <w:t xml:space="preserve">Week 9: create CHTR-03 (Communication Charter), owned by the Change Manager, alongside the kickoff town hall.</w:t>
      </w:r>
      <w:r>
        <w:rPr>
          <w:sz w:val="25"/>
        </w:rPr>
        <w:t xml:space="preserve"> </w:t>
      </w:r>
      <w:r>
        <w:rPr>
          <w:iCs/>
          <w:i/>
          <w:sz w:val="25"/>
        </w:rPr>
        <w:t xml:space="preserve">Read / compliance log.</w:t>
      </w:r>
      <w:r>
        <w:rPr>
          <w:sz w:val="25"/>
        </w:rPr>
        <w:t xml:space="preserve"> </w:t>
      </w:r>
      <w:r>
        <w:rPr>
          <w:sz w:val="25"/>
        </w:rPr>
        <w:t xml:space="preserve">Week 9: log a compliance action against CHTR-01 — type in:</w:t>
      </w:r>
      <w:r>
        <w:rPr>
          <w:sz w:val="25"/>
        </w:rPr>
        <w:t xml:space="preserve"> </w:t>
      </w:r>
      <w:r>
        <w:rPr>
          <w:sz w:val="25"/>
        </w:rPr>
        <w:t xml:space="preserve">“</w:t>
      </w:r>
      <w:r>
        <w:rPr>
          <w:sz w:val="25"/>
        </w:rPr>
        <w:t xml:space="preserve">CFO delivered kickoff town hall in person at all three sites, 9 [date]. Compliant with Sponsorship Charter standard 1 (visible, active sponsorship).</w:t>
      </w:r>
      <w:r>
        <w:rPr>
          <w:sz w:val="25"/>
        </w:rPr>
        <w:t xml:space="preserve">”</w:t>
      </w:r>
      <w:r>
        <w:rPr>
          <w:sz w:val="25"/>
        </w:rPr>
        <w:t xml:space="preserve"> </w:t>
      </w:r>
      <w:r>
        <w:rPr>
          <w:sz w:val="25"/>
        </w:rPr>
        <w:t xml:space="preserve">Week 11: log a compliance action against CHTR-08 — type in:</w:t>
      </w:r>
      <w:r>
        <w:rPr>
          <w:sz w:val="25"/>
        </w:rPr>
        <w:t xml:space="preserve"> </w:t>
      </w:r>
      <w:r>
        <w:rPr>
          <w:sz w:val="25"/>
        </w:rPr>
        <w:t xml:space="preserve">“</w:t>
      </w:r>
      <w:r>
        <w:rPr>
          <w:sz w:val="25"/>
        </w:rPr>
        <w:t xml:space="preserve">Baseline ADKAR pulse run per cohort, 11 [date]. Compliant with Pulse/Interview Charter standard 1 (evidence-based, not assumed, readings).</w:t>
      </w:r>
      <w:r>
        <w:rPr>
          <w:sz w:val="25"/>
        </w:rPr>
        <w:t xml:space="preserve">”</w:t>
      </w:r>
    </w:p>
    <w:p>
      <w:pPr>
        <w:pStyle w:val="BodyText"/>
      </w:pPr>
      <w:r>
        <w:rPr>
          <w:bCs/>
          <w:b/>
          <w:sz w:val="25"/>
        </w:rPr>
        <w:t xml:space="preserve">Phase 3 — Build.</w:t>
      </w:r>
      <w:r>
        <w:rPr>
          <w:sz w:val="25"/>
        </w:rPr>
        <w:t xml:space="preserve"> </w:t>
      </w:r>
      <w:r>
        <w:rPr>
          <w:iCs/>
          <w:i/>
          <w:sz w:val="25"/>
        </w:rPr>
        <w:t xml:space="preserve">Create.</w:t>
      </w:r>
      <w:r>
        <w:rPr>
          <w:sz w:val="25"/>
        </w:rPr>
        <w:t xml:space="preserve"> </w:t>
      </w:r>
      <w:r>
        <w:rPr>
          <w:sz w:val="25"/>
        </w:rPr>
        <w:t xml:space="preserve">Week 16: create CHTR-02 (Participative Management Charter), owned by the Frontline Supervisor role, alongside the champion briefing.</w:t>
      </w:r>
      <w:r>
        <w:rPr>
          <w:sz w:val="25"/>
        </w:rPr>
        <w:t xml:space="preserve"> </w:t>
      </w:r>
      <w:r>
        <w:rPr>
          <w:iCs/>
          <w:i/>
          <w:sz w:val="25"/>
        </w:rPr>
        <w:t xml:space="preserve">Update / compliance log.</w:t>
      </w:r>
      <w:r>
        <w:rPr>
          <w:sz w:val="25"/>
        </w:rPr>
        <w:t xml:space="preserve"> </w:t>
      </w:r>
      <w:r>
        <w:rPr>
          <w:sz w:val="25"/>
        </w:rPr>
        <w:t xml:space="preserve">Week 22: log a compliance action against CHTR-01 during Exception E1 (Desire Stall at Settat) — type in:</w:t>
      </w:r>
      <w:r>
        <w:rPr>
          <w:sz w:val="25"/>
        </w:rPr>
        <w:t xml:space="preserve"> </w:t>
      </w:r>
      <w:r>
        <w:rPr>
          <w:sz w:val="25"/>
        </w:rPr>
        <w:t xml:space="preserve">“</w:t>
      </w:r>
      <w:r>
        <w:rPr>
          <w:sz w:val="25"/>
        </w:rPr>
        <w:t xml:space="preserve">CFO delivered the staffing commitment to the Settat cohort in person, 22 [date]. Compliant with Sponsorship Charter standard 3 (direct engagement with an affected cohort during a readiness stall).</w:t>
      </w:r>
      <w:r>
        <w:rPr>
          <w:sz w:val="25"/>
        </w:rPr>
        <w:t xml:space="preserve">”</w:t>
      </w:r>
      <w:r>
        <w:rPr>
          <w:sz w:val="25"/>
        </w:rPr>
        <w:t xml:space="preserve"> </w:t>
      </w:r>
      <w:r>
        <w:rPr>
          <w:sz w:val="25"/>
        </w:rPr>
        <w:t xml:space="preserve">Week 16–17: log a compliance action against CHTR-02 — type in:</w:t>
      </w:r>
      <w:r>
        <w:rPr>
          <w:sz w:val="25"/>
        </w:rPr>
        <w:t xml:space="preserve"> </w:t>
      </w:r>
      <w:r>
        <w:rPr>
          <w:sz w:val="25"/>
        </w:rPr>
        <w:t xml:space="preserve">“</w:t>
      </w:r>
      <w:r>
        <w:rPr>
          <w:sz w:val="25"/>
        </w:rPr>
        <w:t xml:space="preserve">Champion briefing held per site; each champion’s observation-logging path confirmed. Compliant with Participative Management Charter standard 1 (structured frontline listening channel).</w:t>
      </w:r>
      <w:r>
        <w:rPr>
          <w:sz w:val="25"/>
        </w:rPr>
        <w:t xml:space="preserve">”</w:t>
      </w:r>
      <w:r>
        <w:rPr>
          <w:sz w:val="25"/>
        </w:rPr>
        <w:t xml:space="preserve"> </w:t>
      </w:r>
      <w:r>
        <w:rPr>
          <w:sz w:val="25"/>
        </w:rPr>
        <w:t xml:space="preserve">Week 29–30: review CHTR-01 at the Phase 3 gate (per its</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review frequency) — no change to its terms, review noted in the compliance log.</w:t>
      </w:r>
    </w:p>
    <w:p>
      <w:pPr>
        <w:pStyle w:val="BodyText"/>
      </w:pPr>
      <w:r>
        <w:rPr>
          <w:bCs/>
          <w:b/>
          <w:sz w:val="25"/>
        </w:rPr>
        <w:t xml:space="preserve">Phase 4 — Test.</w:t>
      </w:r>
      <w:r>
        <w:rPr>
          <w:sz w:val="25"/>
        </w:rPr>
        <w:t xml:space="preserve"> </w:t>
      </w:r>
      <w:r>
        <w:rPr>
          <w:iCs/>
          <w:i/>
          <w:sz w:val="25"/>
        </w:rPr>
        <w:t xml:space="preserve">Create.</w:t>
      </w:r>
      <w:r>
        <w:rPr>
          <w:sz w:val="25"/>
        </w:rPr>
        <w:t xml:space="preserve"> </w:t>
      </w:r>
      <w:r>
        <w:rPr>
          <w:sz w:val="25"/>
        </w:rPr>
        <w:t xml:space="preserve">Week 34: create CHTR-06 (One-to-One Coaching Charter), owned by the Change Manager, at the exact moment Exception E2 (Divergence Pattern at UAT) opens.</w:t>
      </w:r>
      <w:r>
        <w:rPr>
          <w:sz w:val="25"/>
        </w:rPr>
        <w:t xml:space="preserve"> </w:t>
      </w:r>
      <w:r>
        <w:rPr>
          <w:iCs/>
          <w:i/>
          <w:sz w:val="25"/>
        </w:rPr>
        <w:t xml:space="preserve">Read / compliance log.</w:t>
      </w:r>
      <w:r>
        <w:rPr>
          <w:sz w:val="25"/>
        </w:rPr>
        <w:t xml:space="preserve"> </w:t>
      </w:r>
      <w:r>
        <w:rPr>
          <w:sz w:val="25"/>
        </w:rPr>
        <w:t xml:space="preserve">Week 35: log a compliance action against CHTR-06 — type in:</w:t>
      </w:r>
      <w:r>
        <w:rPr>
          <w:sz w:val="25"/>
        </w:rPr>
        <w:t xml:space="preserve"> </w:t>
      </w:r>
      <w:r>
        <w:rPr>
          <w:sz w:val="25"/>
        </w:rPr>
        <w:t xml:space="preserve">“</w:t>
      </w:r>
      <w:r>
        <w:rPr>
          <w:sz w:val="25"/>
        </w:rPr>
        <w:t xml:space="preserve">Loss-focused 1:1 held with the flagged Casablanca Finance UAT participant, 35 [date]. Compliant with One-to-One Coaching Charter standard 2 (address the emotional gap directly, not a skills refresher).</w:t>
      </w:r>
      <w:r>
        <w:rPr>
          <w:sz w:val="25"/>
        </w:rPr>
        <w:t xml:space="preserve">”</w:t>
      </w:r>
    </w:p>
    <w:p>
      <w:pPr>
        <w:pStyle w:val="BodyText"/>
      </w:pPr>
      <w:r>
        <w:rPr>
          <w:bCs/>
          <w:b/>
          <w:sz w:val="25"/>
        </w:rPr>
        <w:t xml:space="preserve">Phase 5 — Train.</w:t>
      </w:r>
      <w:r>
        <w:rPr>
          <w:sz w:val="25"/>
        </w:rPr>
        <w:t xml:space="preserve"> </w:t>
      </w:r>
      <w:r>
        <w:rPr>
          <w:iCs/>
          <w:i/>
          <w:sz w:val="25"/>
        </w:rPr>
        <w:t xml:space="preserve">Create.</w:t>
      </w:r>
      <w:r>
        <w:rPr>
          <w:sz w:val="25"/>
        </w:rPr>
        <w:t xml:space="preserve"> </w:t>
      </w:r>
      <w:r>
        <w:rPr>
          <w:sz w:val="25"/>
        </w:rPr>
        <w:t xml:space="preserve">Week 30 (overlapping Build): create CHTR-07 (Mentoring Charter), owned by the Training Lead, at the start of role-based training delivery.</w:t>
      </w:r>
      <w:r>
        <w:rPr>
          <w:sz w:val="25"/>
        </w:rPr>
        <w:t xml:space="preserve"> </w:t>
      </w:r>
      <w:r>
        <w:rPr>
          <w:iCs/>
          <w:i/>
          <w:sz w:val="25"/>
        </w:rPr>
        <w:t xml:space="preserve">Read / compliance log.</w:t>
      </w:r>
      <w:r>
        <w:rPr>
          <w:sz w:val="25"/>
        </w:rPr>
        <w:t xml:space="preserve"> </w:t>
      </w:r>
      <w:r>
        <w:rPr>
          <w:sz w:val="25"/>
        </w:rPr>
        <w:t xml:space="preserve">Week 31–33: log a compliance action against CHTR-07 for each training wave — type in:</w:t>
      </w:r>
      <w:r>
        <w:rPr>
          <w:sz w:val="25"/>
        </w:rPr>
        <w:t xml:space="preserve"> </w:t>
      </w:r>
      <w:r>
        <w:rPr>
          <w:sz w:val="25"/>
        </w:rPr>
        <w:t xml:space="preserve">“</w:t>
      </w:r>
      <w:r>
        <w:rPr>
          <w:sz w:val="25"/>
        </w:rPr>
        <w:t xml:space="preserve">Casablanca Finance training wave 1 delivered per Mentoring Charter’s Trainee → Observer → Autonomous progression, 31 [date].</w:t>
      </w:r>
      <w:r>
        <w:rPr>
          <w:sz w:val="25"/>
        </w:rPr>
        <w:t xml:space="preserve">”</w:t>
      </w:r>
      <w:r>
        <w:rPr>
          <w:sz w:val="25"/>
        </w:rPr>
        <w:t xml:space="preserve"> </w:t>
      </w:r>
      <w:r>
        <w:rPr>
          <w:sz w:val="25"/>
        </w:rPr>
        <w:t xml:space="preserve">Week 42: review CHTR-01 at the Phase 5 gate.</w:t>
      </w:r>
    </w:p>
    <w:p>
      <w:pPr>
        <w:pStyle w:val="BodyText"/>
      </w:pPr>
      <w:r>
        <w:rPr>
          <w:bCs/>
          <w:b/>
          <w:sz w:val="25"/>
        </w:rPr>
        <w:t xml:space="preserve">Phase 6 — Deploy.</w:t>
      </w:r>
      <w:r>
        <w:rPr>
          <w:sz w:val="25"/>
        </w:rPr>
        <w:t xml:space="preserve"> </w:t>
      </w:r>
      <w:r>
        <w:rPr>
          <w:iCs/>
          <w:i/>
          <w:sz w:val="25"/>
        </w:rPr>
        <w:t xml:space="preserve">Read / compliance log.</w:t>
      </w:r>
      <w:r>
        <w:rPr>
          <w:sz w:val="25"/>
        </w:rPr>
        <w:t xml:space="preserve"> </w:t>
      </w:r>
      <w:r>
        <w:rPr>
          <w:sz w:val="25"/>
        </w:rPr>
        <w:t xml:space="preserve">Day 4: log a compliance action against CHTR-01 and CHTR-03 jointly — type in:</w:t>
      </w:r>
      <w:r>
        <w:rPr>
          <w:sz w:val="25"/>
        </w:rPr>
        <w:t xml:space="preserve"> </w:t>
      </w:r>
      <w:r>
        <w:rPr>
          <w:sz w:val="25"/>
        </w:rPr>
        <w:t xml:space="preserve">“</w:t>
      </w:r>
      <w:r>
        <w:rPr>
          <w:sz w:val="25"/>
        </w:rPr>
        <w:t xml:space="preserve">Go-live confirmation sent to all three sites, Day 4. Compliant with Sponsorship Charter standard 1 and Communication Charter standard 2 (saturation-aware, single-message timing).</w:t>
      </w:r>
      <w:r>
        <w:rPr>
          <w:sz w:val="25"/>
        </w:rPr>
        <w:t xml:space="preserve">”</w:t>
      </w:r>
    </w:p>
    <w:p>
      <w:pPr>
        <w:pStyle w:val="BodyText"/>
      </w:pPr>
      <w:r>
        <w:rPr>
          <w:bCs/>
          <w:b/>
          <w:sz w:val="25"/>
        </w:rPr>
        <w:t xml:space="preserve">Phase 7 — Hypercare.</w:t>
      </w:r>
      <w:r>
        <w:rPr>
          <w:sz w:val="25"/>
        </w:rPr>
        <w:t xml:space="preserve"> </w:t>
      </w:r>
      <w:r>
        <w:rPr>
          <w:iCs/>
          <w:i/>
          <w:sz w:val="25"/>
        </w:rPr>
        <w:t xml:space="preserve">Create.</w:t>
      </w:r>
      <w:r>
        <w:rPr>
          <w:sz w:val="25"/>
        </w:rPr>
        <w:t xml:space="preserve"> </w:t>
      </w:r>
      <w:r>
        <w:rPr>
          <w:sz w:val="25"/>
        </w:rPr>
        <w:t xml:space="preserve">Week 46: create CHTR-05 (Team Coaching Charter), owned by the People Manager role, at the exact moment Exception E4 (Sentiment Regression During Hypercare) is resolved — the Kenitra supervisor’s team huddle is the charter’s first compliance action, logged the same week:</w:t>
      </w:r>
      <w:r>
        <w:rPr>
          <w:sz w:val="25"/>
        </w:rPr>
        <w:t xml:space="preserve"> </w:t>
      </w:r>
      <w:r>
        <w:rPr>
          <w:sz w:val="25"/>
        </w:rPr>
        <w:t xml:space="preserve">“</w:t>
      </w:r>
      <w:r>
        <w:rPr>
          <w:sz w:val="25"/>
        </w:rPr>
        <w:t xml:space="preserve">Team huddle held, Defect #31 fix explained. Compliant with Team Coaching Charter standard 1 (direct acknowledgment of a setback with the affected team).</w:t>
      </w:r>
      <w:r>
        <w:rPr>
          <w:sz w:val="25"/>
        </w:rPr>
        <w:t xml:space="preserve">”</w:t>
      </w:r>
      <w:r>
        <w:rPr>
          <w:sz w:val="25"/>
        </w:rPr>
        <w:t xml:space="preserve"> </w:t>
      </w:r>
      <w:r>
        <w:rPr>
          <w:sz w:val="25"/>
        </w:rPr>
        <w:t xml:space="preserve">Week 50: review CHTR-01 at the Phase 7 gate.</w:t>
      </w:r>
    </w:p>
    <w:p>
      <w:pPr>
        <w:pStyle w:val="BodyText"/>
      </w:pPr>
      <w:r>
        <w:rPr>
          <w:bCs/>
          <w:b/>
          <w:sz w:val="25"/>
        </w:rPr>
        <w:t xml:space="preserve">Phase 8 — Sustain.</w:t>
      </w:r>
      <w:r>
        <w:rPr>
          <w:sz w:val="25"/>
        </w:rPr>
        <w:t xml:space="preserve"> </w:t>
      </w:r>
      <w:r>
        <w:rPr>
          <w:iCs/>
          <w:i/>
          <w:sz w:val="25"/>
        </w:rPr>
        <w:t xml:space="preserve">Update.</w:t>
      </w:r>
      <w:r>
        <w:rPr>
          <w:sz w:val="25"/>
        </w:rPr>
        <w:t xml:space="preserve"> </w:t>
      </w:r>
      <w:r>
        <w:rPr>
          <w:sz w:val="25"/>
        </w:rPr>
        <w:t xml:space="preserve">Week 51–64: all 8 charters reviewed for the program’s closing Steering Committee readout; CHTR-08 (Pulse / Interview Charter) is updated from v1.0 to v1.1 — type in the version-history note:</w:t>
      </w:r>
      <w:r>
        <w:rPr>
          <w:sz w:val="25"/>
        </w:rPr>
        <w:t xml:space="preserve"> </w:t>
      </w:r>
      <w:r>
        <w:rPr>
          <w:sz w:val="25"/>
        </w:rPr>
        <w:t xml:space="preserve">“</w:t>
      </w:r>
      <w:r>
        <w:rPr>
          <w:sz w:val="25"/>
        </w:rPr>
        <w:t xml:space="preserve">v1.1, 58 [date]: added a mandatory 90-day-mark readiness pulse to the standard cadence, following the Week 56 Reinforcement Gap (Exception E5).</w:t>
      </w:r>
      <w:r>
        <w:rPr>
          <w:sz w:val="25"/>
        </w:rPr>
        <w:t xml:space="preserve">”</w:t>
      </w:r>
      <w:r>
        <w:rPr>
          <w:sz w:val="25"/>
        </w:rPr>
        <w:t xml:space="preserve"> </w:t>
      </w:r>
      <w:r>
        <w:rPr>
          <w:sz w:val="25"/>
        </w:rPr>
        <w:t xml:space="preserve">No charter is deleted at program close — all 8 remain Active, carried forward as the starting governance baseline for the next Bouregreg CM Project in Part 4’s scenario library.</w:t>
      </w:r>
    </w:p>
    <w:p>
      <w:pPr>
        <w:pStyle w:val="BodyText"/>
      </w:pPr>
      <w:r>
        <w:rPr>
          <w:bCs/>
          <w:b/>
          <w:sz w:val="25"/>
        </w:rPr>
        <w:t xml:space="preserve">What this demonstrates.</w:t>
      </w:r>
      <w:r>
        <w:rPr>
          <w:sz w:val="25"/>
        </w:rPr>
        <w:t xml:space="preserve"> </w:t>
      </w:r>
      <w:r>
        <w:rPr>
          <w:sz w:val="25"/>
        </w:rPr>
        <w:t xml:space="preserve">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r>
        <w:rPr>
          <w:sz w:val="25"/>
        </w:rPr>
        <w:pict>
          <v:rect style="width:0;height:1.5pt" o:hralign="center" o:hrstd="t" o:hr="t"/>
        </w:pict>
      </w:r>
    </w:p>
    <w:p>
      <w:pPr>
        <w:pStyle w:val="FirstParagraph"/>
      </w:pPr>
    </w:p>
    <w:bookmarkEnd w:id="56"/>
    <w:bookmarkEnd w:id="57"/>
    <w:bookmarkStart w:id="78" w:name="part-2-module-by-module-feature-tour"/>
    <w:p>
      <w:pPr>
        <w:pStyle w:val="Heading2"/>
      </w:pPr>
      <w:r>
        <w:rPr>
          <w:b/>
          <w:color w:val="275650"/>
          <w:sz w:val="34"/>
        </w:rPr>
        <w:t xml:space="preserve">Part 2 — Module-by-Module Feature Tour</w:t>
      </w:r>
    </w:p>
    <w:p>
      <w:pPr>
        <w:pStyle w:val="FirstParagraph"/>
      </w:pPr>
      <w:r>
        <w:rPr>
          <w:sz w:val="25"/>
        </w:rPr>
        <w:t xml:space="preserve">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bookmarkStart w:id="58" w:name="m1-hierarchy"/>
    <w:p>
      <w:pPr>
        <w:pStyle w:val="Heading3"/>
      </w:pPr>
      <w:r>
        <w:rPr>
          <w:b/>
          <w:color w:val="3F827B"/>
          <w:sz w:val="29"/>
        </w:rPr>
        <w:t xml:space="preserve">M1 — Hierarchy</w:t>
      </w:r>
    </w:p>
    <w:p>
      <w:pPr>
        <w:pStyle w:val="FirstParagraph"/>
      </w:pPr>
      <w:r>
        <w:rPr>
          <w:bCs/>
          <w:b/>
          <w:sz w:val="25"/>
        </w:rPr>
        <w:t xml:space="preserve">Purpose:</w:t>
      </w:r>
      <w:r>
        <w:rPr>
          <w:sz w:val="25"/>
        </w:rPr>
        <w:t xml:space="preserve"> </w:t>
      </w:r>
      <w:r>
        <w:rPr>
          <w:sz w:val="25"/>
        </w:rPr>
        <w:t xml:space="preserve">Group → Organization → Projects, with every Change Management Project carrying an optional link to zero, one, or more Main Projects.</w:t>
      </w:r>
    </w:p>
    <w:p>
      <w:pPr>
        <w:pStyle w:val="BodyText"/>
      </w:pPr>
      <w:r>
        <w:rPr>
          <w:bCs/>
          <w:b/>
          <w:sz w:val="25"/>
        </w:rPr>
        <w:t xml:space="preserve">In the Bouregreg scenario:</w:t>
      </w:r>
      <w:r>
        <w:rPr>
          <w:sz w:val="25"/>
        </w:rPr>
        <w:t xml:space="preserve"> </w:t>
      </w:r>
      <w:r>
        <w:rPr>
          <w:sz w:val="25"/>
        </w:rPr>
        <w:t xml:space="preserve">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pPr>
      <w:r>
        <w:rPr>
          <w:bCs/>
          <w:b/>
          <w:sz w:val="25"/>
        </w:rPr>
        <w:t xml:space="preserve">Create / update / delete:</w:t>
      </w:r>
      <w:r>
        <w:rPr>
          <w:sz w:val="25"/>
        </w:rPr>
        <w:t xml:space="preserve"> </w:t>
      </w:r>
      <w:r>
        <w:rPr>
          <w:sz w:val="25"/>
        </w:rPr>
        <w:t xml:space="preserve">create and delete Groups; create, edit (including the default-language selector), and delete Organizations; create and delete Main Projects and CM Projects, including editing which Main Projects a CM Project links to.</w:t>
      </w:r>
    </w:p>
    <w:p>
      <w:pPr>
        <w:pStyle w:val="BodyText"/>
      </w:pPr>
      <w:r>
        <w:rPr>
          <w:bCs/>
          <w:b/>
          <w:sz w:val="25"/>
        </w:rPr>
        <w:t xml:space="preserve">Who can edit:</w:t>
      </w:r>
      <w:r>
        <w:rPr>
          <w:sz w:val="25"/>
        </w:rPr>
        <w:t xml:space="preserve"> </w:t>
      </w:r>
      <w:r>
        <w:rPr>
          <w:sz w:val="25"/>
        </w:rPr>
        <w:t xml:space="preserve">gated to whoever holds hierarchy-management rights on the Permission Matrix — by default Super Admin, Group Admin, and Org Admin.</w:t>
      </w:r>
    </w:p>
    <w:p>
      <w:pPr>
        <w:pStyle w:val="BodyText"/>
      </w:pPr>
      <w:r>
        <w:rPr>
          <w:bCs/>
          <w:b/>
          <w:sz w:val="25"/>
        </w:rPr>
        <w:t xml:space="preserve">Key fields:</w:t>
      </w:r>
      <w:r>
        <w:rPr>
          <w:sz w:val="25"/>
        </w:rPr>
        <w:t xml:space="preserve"> </w:t>
      </w:r>
      <w:r>
        <w:rPr>
          <w:sz w:val="25"/>
        </w:rPr>
        <w:t xml:space="preserve">Group name; Organization name, sector, employee count, sites, languages, default language; Main Project name/type/scope/duration/budget band/executive sponsor; CM Project name/linked Main Projects/owner/change type/target population/business driver.</w:t>
      </w:r>
    </w:p>
    <w:bookmarkEnd w:id="58"/>
    <w:bookmarkStart w:id="59" w:name="m2-identity-rbac"/>
    <w:p>
      <w:pPr>
        <w:pStyle w:val="Heading3"/>
      </w:pPr>
      <w:r>
        <w:rPr>
          <w:b/>
          <w:color w:val="3F827B"/>
          <w:sz w:val="29"/>
        </w:rPr>
        <w:t xml:space="preserve">M2 — Identity &amp; RBAC</w:t>
      </w:r>
    </w:p>
    <w:p>
      <w:pPr>
        <w:pStyle w:val="FirstParagraph"/>
      </w:pPr>
      <w:r>
        <w:rPr>
          <w:bCs/>
          <w:b/>
          <w:sz w:val="25"/>
        </w:rPr>
        <w:t xml:space="preserve">Purpose:</w:t>
      </w:r>
      <w:r>
        <w:rPr>
          <w:sz w:val="25"/>
        </w:rPr>
        <w:t xml:space="preserve"> </w:t>
      </w:r>
      <w:r>
        <w:rPr>
          <w:sz w:val="25"/>
        </w:rPr>
        <w:t xml:space="preserve">role-based access control scoped to Group / Organization / Project, with four tabs: Users &amp; Scope, Permission Matrix, Governance Settings, and License &amp; Plan.</w:t>
      </w:r>
    </w:p>
    <w:p>
      <w:pPr>
        <w:pStyle w:val="BodyText"/>
      </w:pPr>
      <w:r>
        <w:rPr>
          <w:bCs/>
          <w:b/>
          <w:sz w:val="25"/>
        </w:rPr>
        <w:t xml:space="preserve">In the Bouregreg scenario:</w:t>
      </w:r>
      <w:r>
        <w:rPr>
          <w:sz w:val="25"/>
        </w:rPr>
        <w:t xml:space="preserve"> </w:t>
      </w:r>
      <w:r>
        <w:rPr>
          <w:sz w:val="25"/>
        </w:rPr>
        <w:t xml:space="preserve">this is where Zineb Alaoui (Super Admin) built out Bouregreg Group’s team in Part 1, and where Anas Bouzid (Group Admin) or Meryem Sabri (Org Admin) approve any employee who self-registers rather than being added directly.</w:t>
      </w:r>
    </w:p>
    <w:p>
      <w:pPr>
        <w:pStyle w:val="BodyText"/>
      </w:pPr>
      <w:r>
        <w:rPr>
          <w:bCs/>
          <w:b/>
          <w:sz w:val="25"/>
        </w:rPr>
        <w:t xml:space="preserve">Create / update / delete:</w:t>
      </w:r>
      <w:r>
        <w:rPr>
          <w:sz w:val="25"/>
        </w:rPr>
        <w:t xml:space="preserve"> </w:t>
      </w:r>
      <w:r>
        <w:rPr>
          <w:sz w:val="25"/>
        </w:rPr>
        <w:t xml:space="preserve">create, edit, and remove user accounts (Users &amp; Scope); toggle any role/capability cell (Permission Matrix, Super Admin only); toggle the justification requirement (Governance Settings); upload a new</w:t>
      </w:r>
      <w:r>
        <w:rPr>
          <w:sz w:val="25"/>
        </w:rPr>
        <w:t xml:space="preserve"> </w:t>
      </w:r>
      <w:r>
        <w:rPr>
          <w:rStyle w:val="VerbatimChar"/>
          <w:sz w:val="25"/>
        </w:rPr>
        <w:t xml:space="preserve">.lic</w:t>
      </w:r>
      <w:r>
        <w:rPr>
          <w:sz w:val="25"/>
        </w:rPr>
        <w:t xml:space="preserve"> </w:t>
      </w:r>
      <w:r>
        <w:rPr>
          <w:sz w:val="25"/>
        </w:rPr>
        <w:t xml:space="preserve">file or revert to SaaS mode (License &amp; Plan, Super Admin only).</w:t>
      </w:r>
    </w:p>
    <w:p>
      <w:pPr>
        <w:pStyle w:val="BodyText"/>
      </w:pPr>
      <w:r>
        <w:rPr>
          <w:bCs/>
          <w:b/>
          <w:sz w:val="25"/>
        </w:rPr>
        <w:t xml:space="preserve">Who can edit:</w:t>
      </w:r>
      <w:r>
        <w:rPr>
          <w:sz w:val="25"/>
        </w:rPr>
        <w:t xml:space="preserve"> </w:t>
      </w:r>
      <w:r>
        <w:rPr>
          <w:sz w:val="25"/>
        </w:rPr>
        <w:t xml:space="preserve">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pPr>
      <w:r>
        <w:rPr>
          <w:bCs/>
          <w:b/>
          <w:sz w:val="25"/>
        </w:rPr>
        <w:t xml:space="preserve">Key fields:</w:t>
      </w:r>
      <w:r>
        <w:rPr>
          <w:sz w:val="25"/>
        </w:rPr>
        <w:t xml:space="preserve"> </w:t>
      </w:r>
      <w:r>
        <w:rPr>
          <w:sz w:val="25"/>
        </w:rPr>
        <w:t xml:space="preserve">User name, email, role, scope type, scope ID, language; Permission Matrix role × capability checkboxes; Governance justification toggle; License companyName, plan, maxUsers, issueDate, expiryDate, features.</w:t>
      </w:r>
    </w:p>
    <w:bookmarkEnd w:id="59"/>
    <w:bookmarkStart w:id="60" w:name="m3-initiative-registry"/>
    <w:p>
      <w:pPr>
        <w:pStyle w:val="Heading3"/>
      </w:pPr>
      <w:r>
        <w:rPr>
          <w:b/>
          <w:color w:val="3F827B"/>
          <w:sz w:val="29"/>
        </w:rPr>
        <w:t xml:space="preserve">M3 — Initiative Registry</w:t>
      </w:r>
    </w:p>
    <w:p>
      <w:pPr>
        <w:pStyle w:val="FirstParagraph"/>
      </w:pPr>
      <w:r>
        <w:rPr>
          <w:bCs/>
          <w:b/>
          <w:sz w:val="25"/>
        </w:rPr>
        <w:t xml:space="preserve">Purpose:</w:t>
      </w:r>
      <w:r>
        <w:rPr>
          <w:sz w:val="25"/>
        </w:rPr>
        <w:t xml:space="preserve"> </w:t>
      </w:r>
      <w:r>
        <w:rPr>
          <w:sz w:val="25"/>
        </w:rPr>
        <w:t xml:space="preserve">the system of record for every change initiative — business driver, scope, target population, and Lewin macro-state.</w:t>
      </w:r>
    </w:p>
    <w:p>
      <w:pPr>
        <w:pStyle w:val="BodyText"/>
      </w:pPr>
      <w:r>
        <w:rPr>
          <w:bCs/>
          <w:b/>
          <w:sz w:val="25"/>
        </w:rPr>
        <w:t xml:space="preserve">In the Bouregreg scenario:</w:t>
      </w:r>
      <w:r>
        <w:rPr>
          <w:sz w:val="25"/>
        </w:rPr>
        <w:t xml:space="preserve"> </w:t>
      </w:r>
      <w:r>
        <w:rPr>
          <w:sz w:val="25"/>
        </w:rPr>
        <w:t xml:space="preserve">the Bouregreg ERP Adoption Program’s project detail page. Its Lewin phase opened at</w:t>
      </w:r>
      <w:r>
        <w:rPr>
          <w:sz w:val="25"/>
        </w:rPr>
        <w:t xml:space="preserve"> </w:t>
      </w:r>
      <w:r>
        <w:rPr>
          <w:bCs/>
          <w:b/>
          <w:sz w:val="25"/>
        </w:rPr>
        <w:t xml:space="preserve">Unfreeze</w:t>
      </w:r>
      <w:r>
        <w:rPr>
          <w:sz w:val="25"/>
        </w:rPr>
        <w:t xml:space="preserve"> </w:t>
      </w:r>
      <w:r>
        <w:rPr>
          <w:sz w:val="25"/>
        </w:rPr>
        <w:t xml:space="preserve">in Part 1 and is the single field the guide’s later Parts watch move through Change and toward Refreeze.</w:t>
      </w:r>
    </w:p>
    <w:p>
      <w:pPr>
        <w:pStyle w:val="BodyText"/>
      </w:pPr>
      <w:r>
        <w:rPr>
          <w:bCs/>
          <w:b/>
          <w:sz w:val="25"/>
        </w:rPr>
        <w:t xml:space="preserve">Create / update / delete:</w:t>
      </w:r>
      <w:r>
        <w:rPr>
          <w:sz w:val="25"/>
        </w:rPr>
        <w:t xml:space="preserve"> </w:t>
      </w:r>
      <w:r>
        <w:rPr>
          <w:sz w:val="25"/>
        </w:rPr>
        <w:t xml:space="preserve">edit the project’s business driver, scope, target population, and Lewin macro-state; the project record itself is created and deleted from M1.</w:t>
      </w:r>
    </w:p>
    <w:p>
      <w:pPr>
        <w:pStyle w:val="BodyText"/>
      </w:pPr>
      <w:r>
        <w:rPr>
          <w:bCs/>
          <w:b/>
          <w:sz w:val="25"/>
        </w:rPr>
        <w:t xml:space="preserve">Who can edit:</w:t>
      </w:r>
      <w:r>
        <w:rPr>
          <w:sz w:val="25"/>
        </w:rPr>
        <w:t xml:space="preserve"> </w:t>
      </w:r>
      <w:r>
        <w:rPr>
          <w:sz w:val="25"/>
        </w:rPr>
        <w:t xml:space="preserve">general write access; a Lewin phase change is a scored/state change, so under Bouregreg Group’s Governance Setting (Part 1, Step 5) it requires a written justification, logged to the project’s audit trail.</w:t>
      </w:r>
    </w:p>
    <w:p>
      <w:pPr>
        <w:pStyle w:val="BodyText"/>
      </w:pPr>
      <w:r>
        <w:rPr>
          <w:bCs/>
          <w:b/>
          <w:sz w:val="25"/>
        </w:rPr>
        <w:t xml:space="preserve">Key fields:</w:t>
      </w:r>
      <w:r>
        <w:rPr>
          <w:sz w:val="25"/>
        </w:rPr>
        <w:t xml:space="preserve"> </w:t>
      </w:r>
      <w:r>
        <w:rPr>
          <w:sz w:val="25"/>
        </w:rPr>
        <w:t xml:space="preserve">Business driver; scope; target population; Lewin macro-state.</w:t>
      </w:r>
    </w:p>
    <w:bookmarkEnd w:id="60"/>
    <w:bookmarkStart w:id="61" w:name="m4-stakeholder-mapping"/>
    <w:p>
      <w:pPr>
        <w:pStyle w:val="Heading3"/>
      </w:pPr>
      <w:r>
        <w:rPr>
          <w:b/>
          <w:color w:val="3F827B"/>
          <w:sz w:val="29"/>
        </w:rPr>
        <w:t xml:space="preserve">M4 — Stakeholder Mapping</w:t>
      </w:r>
    </w:p>
    <w:p>
      <w:pPr>
        <w:pStyle w:val="FirstParagraph"/>
      </w:pPr>
      <w:r>
        <w:rPr>
          <w:bCs/>
          <w:b/>
          <w:sz w:val="25"/>
        </w:rPr>
        <w:t xml:space="preserve">Purpose:</w:t>
      </w:r>
      <w:r>
        <w:rPr>
          <w:sz w:val="25"/>
        </w:rPr>
        <w:t xml:space="preserve"> </w:t>
      </w:r>
      <w:r>
        <w:rPr>
          <w:sz w:val="25"/>
        </w:rPr>
        <w:t xml:space="preserve">who is affected, how heavily, and in what dimension — impact scores drive tracking depth.</w:t>
      </w:r>
    </w:p>
    <w:p>
      <w:pPr>
        <w:pStyle w:val="BodyText"/>
      </w:pPr>
      <w:r>
        <w:rPr>
          <w:bCs/>
          <w:b/>
          <w:sz w:val="25"/>
        </w:rPr>
        <w:t xml:space="preserve">In the Bouregreg scenario:</w:t>
      </w:r>
      <w:r>
        <w:rPr>
          <w:sz w:val="25"/>
        </w:rPr>
        <w:t xml:space="preserve"> </w:t>
      </w:r>
      <w:r>
        <w:rPr>
          <w:sz w:val="25"/>
        </w:rPr>
        <w:t xml:space="preserve">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pPr>
      <w:r>
        <w:rPr>
          <w:bCs/>
          <w:b/>
          <w:sz w:val="25"/>
        </w:rPr>
        <w:t xml:space="preserve">Create / update / delete:</w:t>
      </w:r>
      <w:r>
        <w:rPr>
          <w:sz w:val="25"/>
        </w:rPr>
        <w:t xml:space="preserve"> </w:t>
      </w:r>
      <w:r>
        <w:rPr>
          <w:sz w:val="25"/>
        </w:rPr>
        <w:t xml:space="preserve">add, edit, and remove stakeholder/cohort entries, each with a name, dimension, impact severity, and site/department.</w:t>
      </w:r>
    </w:p>
    <w:p>
      <w:pPr>
        <w:pStyle w:val="BodyText"/>
      </w:pPr>
      <w:r>
        <w:rPr>
          <w:bCs/>
          <w:b/>
          <w:sz w:val="25"/>
        </w:rPr>
        <w:t xml:space="preserve">Who can edit:</w:t>
      </w:r>
      <w:r>
        <w:rPr>
          <w:sz w:val="25"/>
        </w:rPr>
        <w:t xml:space="preserve"> </w:t>
      </w:r>
      <w:r>
        <w:rPr>
          <w:sz w:val="25"/>
        </w:rPr>
        <w:t xml:space="preserve">general write access; individual-level detail is visible only to the roles with individual visibility (Super Admin, Group Admin, Org Admin, Change Manager, People Manager) — a Practitioner sees the aggregated map.</w:t>
      </w:r>
    </w:p>
    <w:p>
      <w:pPr>
        <w:pStyle w:val="BodyText"/>
      </w:pPr>
      <w:r>
        <w:rPr>
          <w:bCs/>
          <w:b/>
          <w:sz w:val="25"/>
        </w:rPr>
        <w:t xml:space="preserve">Key fields:</w:t>
      </w:r>
      <w:r>
        <w:rPr>
          <w:sz w:val="25"/>
        </w:rPr>
        <w:t xml:space="preserve"> </w:t>
      </w:r>
      <w:r>
        <w:rPr>
          <w:sz w:val="25"/>
        </w:rPr>
        <w:t xml:space="preserve">Cohort name; impact dimension; impact severity; site/department.</w:t>
      </w:r>
    </w:p>
    <w:bookmarkEnd w:id="61"/>
    <w:bookmarkStart w:id="62" w:name="m5-adkar-engine"/>
    <w:p>
      <w:pPr>
        <w:pStyle w:val="Heading3"/>
      </w:pPr>
      <w:r>
        <w:rPr>
          <w:b/>
          <w:color w:val="3F827B"/>
          <w:sz w:val="29"/>
        </w:rPr>
        <w:t xml:space="preserve">M5 — ADKAR Engine</w:t>
      </w:r>
    </w:p>
    <w:p>
      <w:pPr>
        <w:pStyle w:val="FirstParagraph"/>
      </w:pPr>
      <w:r>
        <w:rPr>
          <w:bCs/>
          <w:b/>
          <w:sz w:val="25"/>
        </w:rPr>
        <w:t xml:space="preserve">Purpose:</w:t>
      </w:r>
      <w:r>
        <w:rPr>
          <w:sz w:val="25"/>
        </w:rPr>
        <w:t xml:space="preserve"> </w:t>
      </w:r>
      <w:r>
        <w:rPr>
          <w:sz w:val="25"/>
        </w:rPr>
        <w:t xml:space="preserve">score cohorts across the five ADKAR blocks — Awareness, Desire, Knowledge, Ability, Reinforcement — with barrier-point diagnosis.</w:t>
      </w:r>
    </w:p>
    <w:p>
      <w:pPr>
        <w:pStyle w:val="BodyText"/>
      </w:pPr>
      <w:r>
        <w:rPr>
          <w:bCs/>
          <w:b/>
          <w:sz w:val="25"/>
        </w:rPr>
        <w:t xml:space="preserve">In the Bouregreg scenario:</w:t>
      </w:r>
      <w:r>
        <w:rPr>
          <w:sz w:val="25"/>
        </w:rPr>
        <w:t xml:space="preserve"> </w:t>
      </w:r>
      <w:r>
        <w:rPr>
          <w:sz w:val="25"/>
        </w:rPr>
        <w:t xml:space="preserve">Driss El Amrani logs the Bouregreg program’s baseline ADKAR pulse here in Week 1 (Part 1’s Step 6), then re-scores each block through Parts 3 and 4 as training and go-live proceed.</w:t>
      </w:r>
    </w:p>
    <w:p>
      <w:pPr>
        <w:pStyle w:val="BodyText"/>
      </w:pPr>
      <w:r>
        <w:rPr>
          <w:bCs/>
          <w:b/>
          <w:sz w:val="25"/>
        </w:rPr>
        <w:t xml:space="preserve">Create / update / delete:</w:t>
      </w:r>
      <w:r>
        <w:rPr>
          <w:sz w:val="25"/>
        </w:rPr>
        <w:t xml:space="preserve"> </w:t>
      </w:r>
      <w:r>
        <w:rPr>
          <w:sz w:val="25"/>
        </w:rPr>
        <w:t xml:space="preserve">set or update each block’s 1–5 score and its note; any score of 2 or below requires a barrier-reason note and auto-escalates.</w:t>
      </w:r>
    </w:p>
    <w:p>
      <w:pPr>
        <w:pStyle w:val="BodyText"/>
      </w:pPr>
      <w:r>
        <w:rPr>
          <w:bCs/>
          <w:b/>
          <w:sz w:val="25"/>
        </w:rPr>
        <w:t xml:space="preserve">Who can edit:</w:t>
      </w:r>
      <w:r>
        <w:rPr>
          <w:sz w:val="25"/>
        </w:rPr>
        <w:t xml:space="preserve"> </w:t>
      </w:r>
      <w:r>
        <w:rPr>
          <w:sz w:val="25"/>
        </w:rPr>
        <w:t xml:space="preserve">general write access, with a mandatory justification on every score change under Bouregreg Group’s Governance Setting.</w:t>
      </w:r>
    </w:p>
    <w:p>
      <w:pPr>
        <w:pStyle w:val="BodyText"/>
      </w:pPr>
      <w:r>
        <w:rPr>
          <w:bCs/>
          <w:b/>
          <w:sz w:val="25"/>
        </w:rPr>
        <w:t xml:space="preserve">Key fields:</w:t>
      </w:r>
      <w:r>
        <w:rPr>
          <w:sz w:val="25"/>
        </w:rPr>
        <w:t xml:space="preserve"> </w:t>
      </w:r>
      <w:r>
        <w:rPr>
          <w:sz w:val="25"/>
        </w:rPr>
        <w:t xml:space="preserve">Five block scores (1–5): Awareness, Desire, Knowledge, Ability, Reinforcement; a barrier-reason note on any score ≤ 2.</w:t>
      </w:r>
    </w:p>
    <w:bookmarkEnd w:id="62"/>
    <w:bookmarkStart w:id="63" w:name="m6-emotional-transition-layer"/>
    <w:p>
      <w:pPr>
        <w:pStyle w:val="Heading3"/>
      </w:pPr>
      <w:r>
        <w:rPr>
          <w:b/>
          <w:color w:val="3F827B"/>
          <w:sz w:val="29"/>
        </w:rPr>
        <w:t xml:space="preserve">M6 — Emotional &amp; Transition Layer</w:t>
      </w:r>
    </w:p>
    <w:p>
      <w:pPr>
        <w:pStyle w:val="FirstParagraph"/>
      </w:pPr>
      <w:r>
        <w:rPr>
          <w:bCs/>
          <w:b/>
          <w:sz w:val="25"/>
        </w:rPr>
        <w:t xml:space="preserve">Purpose:</w:t>
      </w:r>
      <w:r>
        <w:rPr>
          <w:sz w:val="25"/>
        </w:rPr>
        <w:t xml:space="preserve"> </w:t>
      </w:r>
      <w:r>
        <w:rPr>
          <w:sz w:val="25"/>
        </w:rPr>
        <w:t xml:space="preserve">Bridges transition position and Kübler-Ross sentiment, cross-referenced with ADKAR.</w:t>
      </w:r>
    </w:p>
    <w:p>
      <w:pPr>
        <w:pStyle w:val="BodyText"/>
      </w:pPr>
      <w:r>
        <w:rPr>
          <w:bCs/>
          <w:b/>
          <w:sz w:val="25"/>
        </w:rPr>
        <w:t xml:space="preserve">In the Bouregreg scenario:</w:t>
      </w:r>
      <w:r>
        <w:rPr>
          <w:sz w:val="25"/>
        </w:rPr>
        <w:t xml:space="preserve"> </w:t>
      </w:r>
      <w:r>
        <w:rPr>
          <w:sz w:val="25"/>
        </w:rPr>
        <w:t xml:space="preserve">this is where Bouregreg’s Divergence Pattern alert (Part 5) actually gets its second input — if Knowledge and Ability read high here on M5 while Bridges is still logged as</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the two modules together are what the alert is watching.</w:t>
      </w:r>
    </w:p>
    <w:p>
      <w:pPr>
        <w:pStyle w:val="BodyText"/>
      </w:pPr>
      <w:r>
        <w:rPr>
          <w:bCs/>
          <w:b/>
          <w:sz w:val="25"/>
        </w:rPr>
        <w:t xml:space="preserve">Create / update / delete:</w:t>
      </w:r>
      <w:r>
        <w:rPr>
          <w:sz w:val="25"/>
        </w:rPr>
        <w:t xml:space="preserve"> </w:t>
      </w:r>
      <w:r>
        <w:rPr>
          <w:sz w:val="25"/>
        </w:rPr>
        <w:t xml:space="preserve">set or update the Bridges transition stage and the Kübler-Ross sentiment reading, each with a justification note.</w:t>
      </w:r>
    </w:p>
    <w:p>
      <w:pPr>
        <w:pStyle w:val="BodyText"/>
      </w:pPr>
      <w:r>
        <w:rPr>
          <w:bCs/>
          <w:b/>
          <w:sz w:val="25"/>
        </w:rPr>
        <w:t xml:space="preserve">Who can edit:</w:t>
      </w:r>
      <w:r>
        <w:rPr>
          <w:sz w:val="25"/>
        </w:rPr>
        <w:t xml:space="preserve"> </w:t>
      </w:r>
      <w:r>
        <w:rPr>
          <w:sz w:val="25"/>
        </w:rPr>
        <w:t xml:space="preserve">general write access, individual-level detail restricted the same way as M4 and M5.</w:t>
      </w:r>
    </w:p>
    <w:p>
      <w:pPr>
        <w:pStyle w:val="BodyText"/>
      </w:pPr>
      <w:r>
        <w:rPr>
          <w:bCs/>
          <w:b/>
          <w:sz w:val="25"/>
        </w:rPr>
        <w:t xml:space="preserve">Key fields:</w:t>
      </w:r>
      <w:r>
        <w:rPr>
          <w:sz w:val="25"/>
        </w:rPr>
        <w:t xml:space="preserve"> </w:t>
      </w:r>
      <w:r>
        <w:rPr>
          <w:sz w:val="25"/>
        </w:rPr>
        <w:t xml:space="preserve">Bridges stage (Ending / Neutral Zone / New Beginning); Kübler-Ross sentiment (Denial / Resistance-Anger / Exploration / Commitment); justification note.</w:t>
      </w:r>
    </w:p>
    <w:bookmarkEnd w:id="63"/>
    <w:bookmarkStart w:id="64" w:name="m7-sponsor-coalition"/>
    <w:p>
      <w:pPr>
        <w:pStyle w:val="Heading3"/>
      </w:pPr>
      <w:r>
        <w:rPr>
          <w:b/>
          <w:color w:val="3F827B"/>
          <w:sz w:val="29"/>
        </w:rPr>
        <w:t xml:space="preserve">M7 — Sponsor &amp; Coalition</w:t>
      </w:r>
    </w:p>
    <w:p>
      <w:pPr>
        <w:pStyle w:val="FirstParagraph"/>
      </w:pPr>
      <w:r>
        <w:rPr>
          <w:bCs/>
          <w:b/>
          <w:sz w:val="25"/>
        </w:rPr>
        <w:t xml:space="preserve">Purpose:</w:t>
      </w:r>
      <w:r>
        <w:rPr>
          <w:sz w:val="25"/>
        </w:rPr>
        <w:t xml:space="preserve"> </w:t>
      </w:r>
      <w:r>
        <w:rPr>
          <w:sz w:val="25"/>
        </w:rPr>
        <w:t xml:space="preserve">sponsor roadmap, active-versus-passive sponsorship, and guiding coalition strength.</w:t>
      </w:r>
    </w:p>
    <w:p>
      <w:pPr>
        <w:pStyle w:val="BodyText"/>
      </w:pPr>
      <w:r>
        <w:rPr>
          <w:bCs/>
          <w:b/>
          <w:sz w:val="25"/>
        </w:rPr>
        <w:t xml:space="preserve">In the Bouregreg scenario:</w:t>
      </w:r>
      <w:r>
        <w:rPr>
          <w:sz w:val="25"/>
        </w:rPr>
        <w:t xml:space="preserve"> </w:t>
      </w:r>
      <w:r>
        <w:rPr>
          <w:sz w:val="25"/>
        </w:rPr>
        <w:t xml:space="preserve">tracks the CFO’s (Sponsor) visible actions across the program — the kickoff town hall, the go-live message, the closing town hall — and whether the Steering Committee coalition around the CFO is holding or thinning as the program proceeds.</w:t>
      </w:r>
    </w:p>
    <w:p>
      <w:pPr>
        <w:pStyle w:val="BodyText"/>
      </w:pPr>
      <w:r>
        <w:rPr>
          <w:bCs/>
          <w:b/>
          <w:sz w:val="25"/>
        </w:rPr>
        <w:t xml:space="preserve">Create / update / delete:</w:t>
      </w:r>
      <w:r>
        <w:rPr>
          <w:sz w:val="25"/>
        </w:rPr>
        <w:t xml:space="preserve"> </w:t>
      </w:r>
      <w:r>
        <w:rPr>
          <w:sz w:val="25"/>
        </w:rPr>
        <w:t xml:space="preserve">add sponsor actions to the roadmap and mark each one done; edit sponsorship visibility (active/passive) and coalition-strength notes.</w:t>
      </w:r>
    </w:p>
    <w:p>
      <w:pPr>
        <w:pStyle w:val="BodyText"/>
      </w:pPr>
      <w:r>
        <w:rPr>
          <w:bCs/>
          <w:b/>
          <w:sz w:val="25"/>
        </w:rPr>
        <w:t xml:space="preserve">Who can edit:</w:t>
      </w:r>
      <w:r>
        <w:rPr>
          <w:sz w:val="25"/>
        </w:rPr>
        <w:t xml:space="preserve"> </w:t>
      </w:r>
      <w:r>
        <w:rPr>
          <w:sz w:val="25"/>
        </w:rPr>
        <w:t xml:space="preserve">general write access for logging and marking actions; the Sponsor role itself can typically mark their own roadmap actions done without needing full write access, since that toggle is a narrower capability than editing every field on the page.</w:t>
      </w:r>
    </w:p>
    <w:p>
      <w:pPr>
        <w:pStyle w:val="BodyText"/>
      </w:pPr>
      <w:r>
        <w:rPr>
          <w:bCs/>
          <w:b/>
          <w:sz w:val="25"/>
        </w:rPr>
        <w:t xml:space="preserve">Key fields:</w:t>
      </w:r>
      <w:r>
        <w:rPr>
          <w:sz w:val="25"/>
        </w:rPr>
        <w:t xml:space="preserve"> </w:t>
      </w:r>
      <w:r>
        <w:rPr>
          <w:sz w:val="25"/>
        </w:rPr>
        <w:t xml:space="preserve">Sponsor roadmap action and due date; visibility rating (active/weak); coalition member name and role.</w:t>
      </w:r>
    </w:p>
    <w:bookmarkEnd w:id="64"/>
    <w:bookmarkStart w:id="65" w:name="m8-communications"/>
    <w:p>
      <w:pPr>
        <w:pStyle w:val="Heading3"/>
      </w:pPr>
      <w:r>
        <w:rPr>
          <w:b/>
          <w:color w:val="3F827B"/>
          <w:sz w:val="29"/>
        </w:rPr>
        <w:t xml:space="preserve">M8 — Communications</w:t>
      </w:r>
    </w:p>
    <w:p>
      <w:pPr>
        <w:pStyle w:val="FirstParagraph"/>
      </w:pPr>
      <w:r>
        <w:rPr>
          <w:bCs/>
          <w:b/>
          <w:sz w:val="25"/>
        </w:rPr>
        <w:t xml:space="preserve">Purpose:</w:t>
      </w:r>
      <w:r>
        <w:rPr>
          <w:sz w:val="25"/>
        </w:rPr>
        <w:t xml:space="preserve"> </w:t>
      </w:r>
      <w:r>
        <w:rPr>
          <w:sz w:val="25"/>
        </w:rPr>
        <w:t xml:space="preserve">a message × audience × channel × timing matrix, with saturation detection.</w:t>
      </w:r>
    </w:p>
    <w:p>
      <w:pPr>
        <w:pStyle w:val="BodyText"/>
      </w:pPr>
      <w:r>
        <w:rPr>
          <w:bCs/>
          <w:b/>
          <w:sz w:val="25"/>
        </w:rPr>
        <w:t xml:space="preserve">In the Bouregreg scenario:</w:t>
      </w:r>
      <w:r>
        <w:rPr>
          <w:sz w:val="25"/>
        </w:rPr>
        <w:t xml:space="preserve"> </w:t>
      </w:r>
      <w:r>
        <w:rPr>
          <w:sz w:val="25"/>
        </w:rPr>
        <w:t xml:space="preserve">every town hall, FAQ update, and go-live announcement across Casablanca, Kenitra, and Settat is logged here; if the same audience is receiving too many messages in too short a window, journi’s saturation detection flags it.</w:t>
      </w:r>
    </w:p>
    <w:p>
      <w:pPr>
        <w:pStyle w:val="BodyText"/>
      </w:pPr>
      <w:r>
        <w:rPr>
          <w:bCs/>
          <w:b/>
          <w:sz w:val="25"/>
        </w:rPr>
        <w:t xml:space="preserve">Create / update / delete:</w:t>
      </w:r>
      <w:r>
        <w:rPr>
          <w:sz w:val="25"/>
        </w:rPr>
        <w:t xml:space="preserve"> </w:t>
      </w:r>
      <w:r>
        <w:rPr>
          <w:sz w:val="25"/>
        </w:rPr>
        <w:t xml:space="preserve">add a new communication (message, audience, channel, timing); delete an existing one. There is no inline</w:t>
      </w:r>
      <w:r>
        <w:rPr>
          <w:sz w:val="25"/>
        </w:rPr>
        <w:t xml:space="preserve"> </w:t>
      </w:r>
      <w:r>
        <w:rPr>
          <w:sz w:val="25"/>
        </w:rPr>
        <w:t xml:space="preserve">“</w:t>
      </w:r>
      <w:r>
        <w:rPr>
          <w:sz w:val="25"/>
        </w:rPr>
        <w:t xml:space="preserve">reschedule</w:t>
      </w:r>
      <w:r>
        <w:rPr>
          <w:sz w:val="25"/>
        </w:rPr>
        <w:t xml:space="preserve">”</w:t>
      </w:r>
      <w:r>
        <w:rPr>
          <w:sz w:val="25"/>
        </w:rPr>
        <w:t xml:space="preserve"> </w:t>
      </w:r>
      <w:r>
        <w:rPr>
          <w:sz w:val="25"/>
        </w:rPr>
        <w:t xml:space="preserve">on an existing entry — a superseding communication is logged as a new entry, consistent with the audit trail this module is built to support.</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Message text; audience/cohort; channel; timing; status (queued/sent).</w:t>
      </w:r>
    </w:p>
    <w:bookmarkEnd w:id="65"/>
    <w:bookmarkStart w:id="66" w:name="m9-training"/>
    <w:p>
      <w:pPr>
        <w:pStyle w:val="Heading3"/>
      </w:pPr>
      <w:r>
        <w:rPr>
          <w:b/>
          <w:color w:val="3F827B"/>
          <w:sz w:val="29"/>
        </w:rPr>
        <w:t xml:space="preserve">M9 — Training</w:t>
      </w:r>
    </w:p>
    <w:p>
      <w:pPr>
        <w:pStyle w:val="FirstParagraph"/>
      </w:pPr>
      <w:r>
        <w:rPr>
          <w:bCs/>
          <w:b/>
          <w:sz w:val="25"/>
        </w:rPr>
        <w:t xml:space="preserve">Purpose:</w:t>
      </w:r>
      <w:r>
        <w:rPr>
          <w:sz w:val="25"/>
        </w:rPr>
        <w:t xml:space="preserve"> </w:t>
      </w:r>
      <w:r>
        <w:rPr>
          <w:sz w:val="25"/>
        </w:rPr>
        <w:t xml:space="preserve">curriculum coverage, completion, and demonstrated capability — trained versus capable.</w:t>
      </w:r>
    </w:p>
    <w:p>
      <w:pPr>
        <w:pStyle w:val="BodyText"/>
      </w:pPr>
      <w:r>
        <w:rPr>
          <w:bCs/>
          <w:b/>
          <w:sz w:val="25"/>
        </w:rPr>
        <w:t xml:space="preserve">In the Bouregreg scenario:</w:t>
      </w:r>
      <w:r>
        <w:rPr>
          <w:sz w:val="25"/>
        </w:rPr>
        <w:t xml:space="preserve"> </w:t>
      </w:r>
      <w:r>
        <w:rPr>
          <w:sz w:val="25"/>
        </w:rPr>
        <w:t xml:space="preserve">the curriculum built for Casablanca finance, Kenitra plant operations, and Settat plant operations, each entry tracked from enrollment through the Certified toggle once a cohort demonstrates real capability, not just attendance.</w:t>
      </w:r>
    </w:p>
    <w:p>
      <w:pPr>
        <w:pStyle w:val="BodyText"/>
      </w:pPr>
      <w:r>
        <w:rPr>
          <w:bCs/>
          <w:b/>
          <w:sz w:val="25"/>
        </w:rPr>
        <w:t xml:space="preserve">Create / update / delete:</w:t>
      </w:r>
      <w:r>
        <w:rPr>
          <w:sz w:val="25"/>
        </w:rPr>
        <w:t xml:space="preserve"> </w:t>
      </w:r>
      <w:r>
        <w:rPr>
          <w:sz w:val="25"/>
        </w:rPr>
        <w:t xml:space="preserve">add a new curriculum entry; toggle Certified on an existing one; delete an entry. Completion percentage is not editable in place on an existing row — as with Communications, a new entry supersedes rather than silently overwrites.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Curriculum entry name; cohort; completion percentage; Certified toggle.</w:t>
      </w:r>
    </w:p>
    <w:bookmarkEnd w:id="66"/>
    <w:bookmarkStart w:id="67" w:name="m10-resistance"/>
    <w:p>
      <w:pPr>
        <w:pStyle w:val="Heading3"/>
      </w:pPr>
      <w:r>
        <w:rPr>
          <w:b/>
          <w:color w:val="3F827B"/>
          <w:sz w:val="29"/>
        </w:rPr>
        <w:t xml:space="preserve">M10 — Resistance</w:t>
      </w:r>
    </w:p>
    <w:p>
      <w:pPr>
        <w:pStyle w:val="FirstParagraph"/>
      </w:pPr>
      <w:r>
        <w:rPr>
          <w:bCs/>
          <w:b/>
          <w:sz w:val="25"/>
        </w:rPr>
        <w:t xml:space="preserve">Purpose:</w:t>
      </w:r>
      <w:r>
        <w:rPr>
          <w:sz w:val="25"/>
        </w:rPr>
        <w:t xml:space="preserve"> </w:t>
      </w:r>
      <w:r>
        <w:rPr>
          <w:sz w:val="25"/>
        </w:rPr>
        <w:t xml:space="preserve">log, classify, and resolve resistance, linked to concrete mitigation actions — with a Qualitative Coding Workbench for tagging interview and free-text evidence.</w:t>
      </w:r>
    </w:p>
    <w:p>
      <w:pPr>
        <w:pStyle w:val="BodyText"/>
      </w:pPr>
      <w:r>
        <w:rPr>
          <w:bCs/>
          <w:b/>
          <w:sz w:val="25"/>
        </w:rPr>
        <w:t xml:space="preserve">In the Bouregreg scenario:</w:t>
      </w:r>
      <w:r>
        <w:rPr>
          <w:sz w:val="25"/>
        </w:rPr>
        <w:t xml:space="preserve"> </w:t>
      </w:r>
      <w:r>
        <w:rPr>
          <w:sz w:val="25"/>
        </w:rPr>
        <w:t xml:space="preserve">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pPr>
      <w:r>
        <w:rPr>
          <w:bCs/>
          <w:b/>
          <w:sz w:val="25"/>
        </w:rPr>
        <w:t xml:space="preserve">Create / update / delete:</w:t>
      </w:r>
      <w:r>
        <w:rPr>
          <w:sz w:val="25"/>
        </w:rPr>
        <w:t xml:space="preserve"> </w:t>
      </w:r>
      <w:r>
        <w:rPr>
          <w:sz w:val="25"/>
        </w:rPr>
        <w:t xml:space="preserve">log, edit, and resolve resistance entries with linked mitigation actions; add and remove codes from the Organization’s codebook; tag and untag evidence against those codes.</w:t>
      </w:r>
    </w:p>
    <w:p>
      <w:pPr>
        <w:pStyle w:val="BodyText"/>
      </w:pPr>
      <w:r>
        <w:rPr>
          <w:bCs/>
          <w:b/>
          <w:sz w:val="25"/>
        </w:rPr>
        <w:t xml:space="preserve">Who can edit:</w:t>
      </w:r>
      <w:r>
        <w:rPr>
          <w:sz w:val="25"/>
        </w:rPr>
        <w:t xml:space="preserve"> </w:t>
      </w:r>
      <w:r>
        <w:rPr>
          <w:sz w:val="25"/>
        </w:rPr>
        <w:t xml:space="preserve">general write access; the Codebook itself (the set of codes available to tag against) is typically managed by whoever holds hierarchy-management rights, since it is shared across every project in the Organization, not owned by one CM Project.</w:t>
      </w:r>
    </w:p>
    <w:p>
      <w:pPr>
        <w:pStyle w:val="BodyText"/>
      </w:pPr>
      <w:r>
        <w:rPr>
          <w:bCs/>
          <w:b/>
          <w:sz w:val="25"/>
        </w:rPr>
        <w:t xml:space="preserve">Key fields:</w:t>
      </w:r>
      <w:r>
        <w:rPr>
          <w:sz w:val="25"/>
        </w:rPr>
        <w:t xml:space="preserve"> </w:t>
      </w:r>
      <w:r>
        <w:rPr>
          <w:sz w:val="25"/>
        </w:rPr>
        <w:t xml:space="preserve">Resistance entry description; root cause; status (open/closed); linked mitigation action; Codebook code name; tagged evidence (interview note, free-text source).</w:t>
      </w:r>
    </w:p>
    <w:bookmarkEnd w:id="67"/>
    <w:bookmarkStart w:id="68" w:name="m11-manager-as-coach"/>
    <w:p>
      <w:pPr>
        <w:pStyle w:val="Heading3"/>
      </w:pPr>
      <w:r>
        <w:rPr>
          <w:b/>
          <w:color w:val="3F827B"/>
          <w:sz w:val="29"/>
        </w:rPr>
        <w:t xml:space="preserve">M11 — Manager as Coach</w:t>
      </w:r>
    </w:p>
    <w:p>
      <w:pPr>
        <w:pStyle w:val="FirstParagraph"/>
      </w:pPr>
      <w:r>
        <w:rPr>
          <w:bCs/>
          <w:b/>
          <w:sz w:val="25"/>
        </w:rPr>
        <w:t xml:space="preserve">Purpose:</w:t>
      </w:r>
      <w:r>
        <w:rPr>
          <w:sz w:val="25"/>
        </w:rPr>
        <w:t xml:space="preserve"> </w:t>
      </w:r>
      <w:r>
        <w:rPr>
          <w:sz w:val="25"/>
        </w:rPr>
        <w:t xml:space="preserve">a team-scoped ADKAR heatmap with suggested coaching actions per barrier.</w:t>
      </w:r>
    </w:p>
    <w:p>
      <w:pPr>
        <w:pStyle w:val="BodyText"/>
      </w:pPr>
      <w:r>
        <w:rPr>
          <w:bCs/>
          <w:b/>
          <w:sz w:val="25"/>
        </w:rPr>
        <w:t xml:space="preserve">In the Bouregreg scenario:</w:t>
      </w:r>
      <w:r>
        <w:rPr>
          <w:sz w:val="25"/>
        </w:rPr>
        <w:t xml:space="preserve"> </w:t>
      </w:r>
      <w:r>
        <w:rPr>
          <w:sz w:val="25"/>
        </w:rPr>
        <w:t xml:space="preserve">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pPr>
      <w:r>
        <w:rPr>
          <w:bCs/>
          <w:b/>
          <w:sz w:val="25"/>
        </w:rPr>
        <w:t xml:space="preserve">Create / update / delete:</w:t>
      </w:r>
      <w:r>
        <w:rPr>
          <w:sz w:val="25"/>
        </w:rPr>
        <w:t xml:space="preserve"> </w:t>
      </w:r>
      <w:r>
        <w:rPr>
          <w:sz w:val="25"/>
        </w:rPr>
        <w:t xml:space="preserve">the heatmap itself is computed from M5/M6 data already logged elsewhere; a People Manager logs their own coaching actions taken against the suggestions shown.</w:t>
      </w:r>
    </w:p>
    <w:p>
      <w:pPr>
        <w:pStyle w:val="BodyText"/>
      </w:pPr>
      <w:r>
        <w:rPr>
          <w:bCs/>
          <w:b/>
          <w:sz w:val="25"/>
        </w:rPr>
        <w:t xml:space="preserve">Who can edit:</w:t>
      </w:r>
      <w:r>
        <w:rPr>
          <w:sz w:val="25"/>
        </w:rPr>
        <w:t xml:space="preserve"> </w:t>
      </w:r>
      <w:r>
        <w:rPr>
          <w:sz w:val="25"/>
        </w:rPr>
        <w:t xml:space="preserve">People Managers see their own team’s view by default; Change Manager and above see across teams.</w:t>
      </w:r>
    </w:p>
    <w:p>
      <w:pPr>
        <w:pStyle w:val="BodyText"/>
      </w:pPr>
      <w:r>
        <w:rPr>
          <w:bCs/>
          <w:b/>
          <w:sz w:val="25"/>
        </w:rPr>
        <w:t xml:space="preserve">Key fields:</w:t>
      </w:r>
      <w:r>
        <w:rPr>
          <w:sz w:val="25"/>
        </w:rPr>
        <w:t xml:space="preserve"> </w:t>
      </w:r>
      <w:r>
        <w:rPr>
          <w:sz w:val="25"/>
        </w:rPr>
        <w:t xml:space="preserve">(Computed heatmap, not a data-entry field); logged coaching action per barrier.</w:t>
      </w:r>
    </w:p>
    <w:bookmarkEnd w:id="68"/>
    <w:bookmarkStart w:id="69" w:name="m12-sustainment"/>
    <w:p>
      <w:pPr>
        <w:pStyle w:val="Heading3"/>
      </w:pPr>
      <w:r>
        <w:rPr>
          <w:b/>
          <w:color w:val="3F827B"/>
          <w:sz w:val="29"/>
        </w:rPr>
        <w:t xml:space="preserve">M12 — Sustainment</w:t>
      </w:r>
    </w:p>
    <w:p>
      <w:pPr>
        <w:pStyle w:val="FirstParagraph"/>
      </w:pPr>
      <w:r>
        <w:rPr>
          <w:bCs/>
          <w:b/>
          <w:sz w:val="25"/>
        </w:rPr>
        <w:t xml:space="preserve">Purpose:</w:t>
      </w:r>
      <w:r>
        <w:rPr>
          <w:sz w:val="25"/>
        </w:rPr>
        <w:t xml:space="preserve"> </w:t>
      </w:r>
      <w:r>
        <w:rPr>
          <w:sz w:val="25"/>
        </w:rPr>
        <w:t xml:space="preserve">post-go-live adoption audits, regression detection, and sustainment sign-off.</w:t>
      </w:r>
    </w:p>
    <w:p>
      <w:pPr>
        <w:pStyle w:val="BodyText"/>
      </w:pPr>
      <w:r>
        <w:rPr>
          <w:bCs/>
          <w:b/>
          <w:sz w:val="25"/>
        </w:rPr>
        <w:t xml:space="preserve">In the Bouregreg scenario:</w:t>
      </w:r>
      <w:r>
        <w:rPr>
          <w:sz w:val="25"/>
        </w:rPr>
        <w:t xml:space="preserve"> </w:t>
      </w:r>
      <w:r>
        <w:rPr>
          <w:sz w:val="25"/>
        </w:rPr>
        <w:t xml:space="preserve">the module Driss El Amrani uses from go-live onward — checkpoint reviews at 30/60/90 days, logged quick wins, a running lessons-learned log, and the formal sign-off that closes the program once evidence, not the calendar, supports it.</w:t>
      </w:r>
    </w:p>
    <w:p>
      <w:pPr>
        <w:pStyle w:val="BodyText"/>
      </w:pPr>
      <w:r>
        <w:rPr>
          <w:bCs/>
          <w:b/>
          <w:sz w:val="25"/>
        </w:rPr>
        <w:t xml:space="preserve">Create / update / delete:</w:t>
      </w:r>
      <w:r>
        <w:rPr>
          <w:sz w:val="25"/>
        </w:rPr>
        <w:t xml:space="preserve"> </w:t>
      </w:r>
      <w:r>
        <w:rPr>
          <w:sz w:val="25"/>
        </w:rPr>
        <w:t xml:space="preserve">log and update sustainment checkpoints; add quick wins; add and edit lessons-learned entries; toggle the sign-off once criteria are met.</w:t>
      </w:r>
    </w:p>
    <w:p>
      <w:pPr>
        <w:pStyle w:val="BodyText"/>
      </w:pPr>
      <w:r>
        <w:rPr>
          <w:bCs/>
          <w:b/>
          <w:sz w:val="25"/>
        </w:rPr>
        <w:t xml:space="preserve">Who can edit:</w:t>
      </w:r>
      <w:r>
        <w:rPr>
          <w:sz w:val="25"/>
        </w:rPr>
        <w:t xml:space="preserve"> </w:t>
      </w:r>
      <w:r>
        <w:rPr>
          <w:sz w:val="25"/>
        </w:rPr>
        <w:t xml:space="preserve">general write access; sign-off is typically reserved for the Change Manager and above.</w:t>
      </w:r>
    </w:p>
    <w:p>
      <w:pPr>
        <w:pStyle w:val="BodyText"/>
      </w:pPr>
      <w:r>
        <w:rPr>
          <w:bCs/>
          <w:b/>
          <w:sz w:val="25"/>
        </w:rPr>
        <w:t xml:space="preserve">Key fields:</w:t>
      </w:r>
      <w:r>
        <w:rPr>
          <w:sz w:val="25"/>
        </w:rPr>
        <w:t xml:space="preserve"> </w:t>
      </w:r>
      <w:r>
        <w:rPr>
          <w:sz w:val="25"/>
        </w:rPr>
        <w:t xml:space="preserve">Checkpoint label and date; status (planned/complete); regression-risk flag (low/high); quick-win entry; lesson-learned entry; sign-off toggle.</w:t>
      </w:r>
    </w:p>
    <w:bookmarkEnd w:id="69"/>
    <w:bookmarkStart w:id="70" w:name="m13-risk-register"/>
    <w:p>
      <w:pPr>
        <w:pStyle w:val="Heading3"/>
      </w:pPr>
      <w:r>
        <w:rPr>
          <w:b/>
          <w:color w:val="3F827B"/>
          <w:sz w:val="29"/>
        </w:rPr>
        <w:t xml:space="preserve">M13 — Risk Register</w:t>
      </w:r>
    </w:p>
    <w:p>
      <w:pPr>
        <w:pStyle w:val="FirstParagraph"/>
      </w:pPr>
      <w:r>
        <w:rPr>
          <w:bCs/>
          <w:b/>
          <w:sz w:val="25"/>
        </w:rPr>
        <w:t xml:space="preserve">Purpose:</w:t>
      </w:r>
      <w:r>
        <w:rPr>
          <w:sz w:val="25"/>
        </w:rPr>
        <w:t xml:space="preserve"> </w:t>
      </w:r>
      <w:r>
        <w:rPr>
          <w:sz w:val="25"/>
        </w:rPr>
        <w:t xml:space="preserve">adoption, sponsorship, capacity, and saturation risk — distinct from generic project risk, which lives in the Main Project’s own PM tooling, not in journi.</w:t>
      </w:r>
    </w:p>
    <w:p>
      <w:pPr>
        <w:pStyle w:val="BodyText"/>
      </w:pPr>
      <w:r>
        <w:rPr>
          <w:bCs/>
          <w:b/>
          <w:sz w:val="25"/>
        </w:rPr>
        <w:t xml:space="preserve">In the Bouregreg scenario:</w:t>
      </w:r>
      <w:r>
        <w:rPr>
          <w:sz w:val="25"/>
        </w:rPr>
        <w:t xml:space="preserve"> </w:t>
      </w:r>
      <w:r>
        <w:rPr>
          <w:sz w:val="25"/>
        </w:rPr>
        <w:t xml:space="preserve">tracks Change-Management-specific risks — for example, Kenitra’s plant-floor capacity to absorb training during peak production weeks — separately from the ERP Platform Unification Main Project’s technical and schedule risk.</w:t>
      </w:r>
    </w:p>
    <w:p>
      <w:pPr>
        <w:pStyle w:val="BodyText"/>
      </w:pPr>
      <w:r>
        <w:rPr>
          <w:bCs/>
          <w:b/>
          <w:sz w:val="25"/>
        </w:rPr>
        <w:t xml:space="preserve">Create / update / delete:</w:t>
      </w:r>
      <w:r>
        <w:rPr>
          <w:sz w:val="25"/>
        </w:rPr>
        <w:t xml:space="preserve"> </w:t>
      </w:r>
      <w:r>
        <w:rPr>
          <w:sz w:val="25"/>
        </w:rPr>
        <w:t xml:space="preserve">add, edit, and close risk entries, each with a category, severity, and status.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Risk description; category; severity; status (open/closed).</w:t>
      </w:r>
    </w:p>
    <w:bookmarkEnd w:id="70"/>
    <w:bookmarkStart w:id="71" w:name="m14-analytics"/>
    <w:p>
      <w:pPr>
        <w:pStyle w:val="Heading3"/>
      </w:pPr>
      <w:r>
        <w:rPr>
          <w:b/>
          <w:color w:val="3F827B"/>
          <w:sz w:val="29"/>
        </w:rPr>
        <w:t xml:space="preserve">M14 — Analytics</w:t>
      </w:r>
    </w:p>
    <w:p>
      <w:pPr>
        <w:pStyle w:val="FirstParagraph"/>
      </w:pPr>
      <w:r>
        <w:rPr>
          <w:bCs/>
          <w:b/>
          <w:sz w:val="25"/>
        </w:rPr>
        <w:t xml:space="preserve">Purpose:</w:t>
      </w:r>
      <w:r>
        <w:rPr>
          <w:sz w:val="25"/>
        </w:rPr>
        <w:t xml:space="preserve"> </w:t>
      </w:r>
      <w:r>
        <w:rPr>
          <w:sz w:val="25"/>
        </w:rPr>
        <w:t xml:space="preserve">the Composite Readiness Index, adoption curves, and correlation analysis — journi’s benchmarking dashboard.</w:t>
      </w:r>
    </w:p>
    <w:p>
      <w:pPr>
        <w:pStyle w:val="BodyText"/>
      </w:pPr>
      <w:r>
        <w:rPr>
          <w:bCs/>
          <w:b/>
          <w:sz w:val="25"/>
        </w:rPr>
        <w:t xml:space="preserve">In the Bouregreg scenario:</w:t>
      </w:r>
      <w:r>
        <w:rPr>
          <w:sz w:val="25"/>
        </w:rPr>
        <w:t xml:space="preserve"> </w:t>
      </w:r>
      <w:r>
        <w:rPr>
          <w:sz w:val="25"/>
        </w:rPr>
        <w:t xml:space="preserve">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pPr>
      <w:r>
        <w:rPr>
          <w:bCs/>
          <w:b/>
          <w:sz w:val="25"/>
        </w:rPr>
        <w:t xml:space="preserve">Create / update / delete:</w:t>
      </w:r>
      <w:r>
        <w:rPr>
          <w:sz w:val="25"/>
        </w:rPr>
        <w:t xml:space="preserve"> </w:t>
      </w:r>
      <w:r>
        <w:rPr>
          <w:sz w:val="25"/>
        </w:rPr>
        <w:t xml:space="preserve">this module is entirely computed — there is nothing to create, update, or delete here; it reads live from M5, M6, and M9.</w:t>
      </w:r>
    </w:p>
    <w:p>
      <w:pPr>
        <w:pStyle w:val="BodyText"/>
      </w:pPr>
      <w:r>
        <w:rPr>
          <w:bCs/>
          <w:b/>
          <w:sz w:val="25"/>
        </w:rPr>
        <w:t xml:space="preserve">Who can edit:</w:t>
      </w:r>
      <w:r>
        <w:rPr>
          <w:sz w:val="25"/>
        </w:rPr>
        <w:t xml:space="preserve"> </w:t>
      </w:r>
      <w:r>
        <w:rPr>
          <w:sz w:val="25"/>
        </w:rPr>
        <w:t xml:space="preserve">read access follows each role’s normal visibility; there is no write capability on this module.</w:t>
      </w:r>
    </w:p>
    <w:p>
      <w:pPr>
        <w:pStyle w:val="BodyText"/>
      </w:pPr>
      <w:r>
        <w:rPr>
          <w:bCs/>
          <w:b/>
          <w:sz w:val="25"/>
        </w:rPr>
        <w:t xml:space="preserve">Key fields:</w:t>
      </w:r>
      <w:r>
        <w:rPr>
          <w:sz w:val="25"/>
        </w:rPr>
        <w:t xml:space="preserve"> </w:t>
      </w:r>
      <w:r>
        <w:rPr>
          <w:sz w:val="25"/>
        </w:rPr>
        <w:t xml:space="preserve">(Computed) Composite Readiness Index; adoption curve; correlation view — no direct data entry.</w:t>
      </w:r>
    </w:p>
    <w:bookmarkEnd w:id="71"/>
    <w:bookmarkStart w:id="72" w:name="m15-journey-map"/>
    <w:p>
      <w:pPr>
        <w:pStyle w:val="Heading3"/>
      </w:pPr>
      <w:r>
        <w:rPr>
          <w:b/>
          <w:color w:val="3F827B"/>
          <w:sz w:val="29"/>
        </w:rPr>
        <w:t xml:space="preserve">M15 — Journey Map</w:t>
      </w:r>
    </w:p>
    <w:p>
      <w:pPr>
        <w:pStyle w:val="FirstParagraph"/>
      </w:pPr>
      <w:r>
        <w:rPr>
          <w:bCs/>
          <w:b/>
          <w:sz w:val="25"/>
        </w:rPr>
        <w:t xml:space="preserve">Purpose:</w:t>
      </w:r>
      <w:r>
        <w:rPr>
          <w:sz w:val="25"/>
        </w:rPr>
        <w:t xml:space="preserve"> </w:t>
      </w:r>
      <w:r>
        <w:rPr>
          <w:sz w:val="25"/>
        </w:rPr>
        <w:t xml:space="preserve">a literal, visual timeline combining ADKAR stage, Bridges phase, and sentiment.</w:t>
      </w:r>
    </w:p>
    <w:p>
      <w:pPr>
        <w:pStyle w:val="BodyText"/>
      </w:pPr>
      <w:r>
        <w:rPr>
          <w:bCs/>
          <w:b/>
          <w:sz w:val="25"/>
        </w:rPr>
        <w:t xml:space="preserve">In the Bouregreg scenario:</w:t>
      </w:r>
      <w:r>
        <w:rPr>
          <w:sz w:val="25"/>
        </w:rPr>
        <w:t xml:space="preserve"> </w:t>
      </w:r>
      <w:r>
        <w:rPr>
          <w:sz w:val="25"/>
        </w:rPr>
        <w:t xml:space="preserve">the single visual a Steering Committee member glances at to see, at a point in time, where the Bouregreg program actually sits across all three readings at once, rather than checking three separate modules.</w:t>
      </w:r>
    </w:p>
    <w:p>
      <w:pPr>
        <w:pStyle w:val="BodyText"/>
      </w:pPr>
      <w:r>
        <w:rPr>
          <w:bCs/>
          <w:b/>
          <w:sz w:val="25"/>
        </w:rPr>
        <w:t xml:space="preserve">Create / update / delete:</w:t>
      </w:r>
      <w:r>
        <w:rPr>
          <w:sz w:val="25"/>
        </w:rPr>
        <w:t xml:space="preserve"> </w:t>
      </w:r>
      <w:r>
        <w:rPr>
          <w:sz w:val="25"/>
        </w:rPr>
        <w:t xml:space="preserve">computed from M5/M6 data already logged; nothing is created or edited directly on this page.</w:t>
      </w:r>
    </w:p>
    <w:p>
      <w:pPr>
        <w:pStyle w:val="BodyText"/>
      </w:pPr>
      <w:r>
        <w:rPr>
          <w:bCs/>
          <w:b/>
          <w:sz w:val="25"/>
        </w:rPr>
        <w:t xml:space="preserve">Who can edit:</w:t>
      </w:r>
      <w:r>
        <w:rPr>
          <w:sz w:val="25"/>
        </w:rPr>
        <w:t xml:space="preserve"> </w:t>
      </w:r>
      <w:r>
        <w:rPr>
          <w:sz w:val="25"/>
        </w:rPr>
        <w:t xml:space="preserve">read-only, following each role’s normal visibility.</w:t>
      </w:r>
    </w:p>
    <w:p>
      <w:pPr>
        <w:pStyle w:val="BodyText"/>
      </w:pPr>
      <w:r>
        <w:rPr>
          <w:bCs/>
          <w:b/>
          <w:sz w:val="25"/>
        </w:rPr>
        <w:t xml:space="preserve">Key fields:</w:t>
      </w:r>
      <w:r>
        <w:rPr>
          <w:sz w:val="25"/>
        </w:rPr>
        <w:t xml:space="preserve"> </w:t>
      </w:r>
      <w:r>
        <w:rPr>
          <w:sz w:val="25"/>
        </w:rPr>
        <w:t xml:space="preserve">(Computed) combined ADKAR/Bridges/sentiment timeline — no direct data entry.</w:t>
      </w:r>
    </w:p>
    <w:bookmarkEnd w:id="72"/>
    <w:bookmarkStart w:id="73" w:name="m16-ai-use-case-library"/>
    <w:p>
      <w:pPr>
        <w:pStyle w:val="Heading3"/>
      </w:pPr>
      <w:r>
        <w:rPr>
          <w:b/>
          <w:color w:val="3F827B"/>
          <w:sz w:val="29"/>
        </w:rPr>
        <w:t xml:space="preserve">M16 — AI Use Case Library</w:t>
      </w:r>
    </w:p>
    <w:p>
      <w:pPr>
        <w:pStyle w:val="FirstParagraph"/>
      </w:pPr>
      <w:r>
        <w:rPr>
          <w:bCs/>
          <w:b/>
          <w:sz w:val="25"/>
        </w:rPr>
        <w:t xml:space="preserve">Purpose:</w:t>
      </w:r>
      <w:r>
        <w:rPr>
          <w:sz w:val="25"/>
        </w:rPr>
        <w:t xml:space="preserve"> </w:t>
      </w:r>
      <w:r>
        <w:rPr>
          <w:sz w:val="25"/>
        </w:rPr>
        <w:t xml:space="preserve">a governed catalog of Assistive and Augmented AI use cases. No use case acts autonomously.</w:t>
      </w:r>
    </w:p>
    <w:p>
      <w:pPr>
        <w:pStyle w:val="BodyText"/>
      </w:pPr>
      <w:r>
        <w:rPr>
          <w:bCs/>
          <w:b/>
          <w:sz w:val="25"/>
        </w:rPr>
        <w:t xml:space="preserve">In the Bouregreg scenario:</w:t>
      </w:r>
      <w:r>
        <w:rPr>
          <w:sz w:val="25"/>
        </w:rPr>
        <w:t xml:space="preserve"> </w:t>
      </w:r>
      <w:r>
        <w:rPr>
          <w:sz w:val="25"/>
        </w:rPr>
        <w:t xml:space="preserve">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w:t>
      </w:r>
    </w:p>
    <w:p>
      <w:pPr>
        <w:pStyle w:val="BodyText"/>
      </w:pPr>
      <w:r>
        <w:rPr>
          <w:bCs/>
          <w:b/>
          <w:sz w:val="25"/>
        </w:rPr>
        <w:t xml:space="preserve">Create / update / delete:</w:t>
      </w:r>
      <w:r>
        <w:rPr>
          <w:sz w:val="25"/>
        </w:rPr>
        <w:t xml:space="preserve"> </w:t>
      </w:r>
      <w:r>
        <w:rPr>
          <w:sz w:val="25"/>
        </w:rPr>
        <w:t xml:space="preserve">the catalog of use cases itself is a fixed reference list, not editable; what is editable is the activation toggle per Organization and the override toggle per Project, plus the usage log every actual AI call writes to.</w:t>
      </w:r>
    </w:p>
    <w:p>
      <w:pPr>
        <w:pStyle w:val="BodyText"/>
      </w:pPr>
      <w:r>
        <w:rPr>
          <w:bCs/>
          <w:b/>
          <w:sz w:val="25"/>
        </w:rPr>
        <w:t xml:space="preserve">Who can edit:</w:t>
      </w:r>
      <w:r>
        <w:rPr>
          <w:sz w:val="25"/>
        </w:rPr>
        <w:t xml:space="preserve"> </w:t>
      </w:r>
      <w:r>
        <w:rPr>
          <w:sz w:val="25"/>
        </w:rPr>
        <w:t xml:space="preserve">activation is gated to Org-Admin-and-above; project-level overrides to the Change Manager on that project.</w:t>
      </w:r>
    </w:p>
    <w:p>
      <w:pPr>
        <w:pStyle w:val="BodyText"/>
      </w:pPr>
      <w:r>
        <w:rPr>
          <w:bCs/>
          <w:b/>
          <w:sz w:val="25"/>
        </w:rPr>
        <w:t xml:space="preserve">Key fields:</w:t>
      </w:r>
      <w:r>
        <w:rPr>
          <w:sz w:val="25"/>
        </w:rPr>
        <w:t xml:space="preserve"> </w:t>
      </w:r>
      <w:r>
        <w:rPr>
          <w:sz w:val="25"/>
        </w:rPr>
        <w:t xml:space="preserve">Use-case activation toggle (per Organization); override toggle (per Project); usage-log entry.</w:t>
      </w:r>
    </w:p>
    <w:bookmarkEnd w:id="73"/>
    <w:bookmarkStart w:id="74" w:name="m17-wbs-gantt"/>
    <w:p>
      <w:pPr>
        <w:pStyle w:val="Heading3"/>
      </w:pPr>
      <w:r>
        <w:rPr>
          <w:b/>
          <w:color w:val="3F827B"/>
          <w:sz w:val="29"/>
        </w:rPr>
        <w:t xml:space="preserve">M17 — WBS &amp; Gantt</w:t>
      </w:r>
    </w:p>
    <w:p>
      <w:pPr>
        <w:pStyle w:val="FirstParagraph"/>
      </w:pPr>
      <w:r>
        <w:rPr>
          <w:bCs/>
          <w:b/>
          <w:sz w:val="25"/>
        </w:rPr>
        <w:t xml:space="preserve">Purpose:</w:t>
      </w:r>
      <w:r>
        <w:rPr>
          <w:sz w:val="25"/>
        </w:rPr>
        <w:t xml:space="preserve"> </w:t>
      </w:r>
      <w:r>
        <w:rPr>
          <w:sz w:val="25"/>
        </w:rPr>
        <w:t xml:space="preserve">one Work Breakdown Structure spanning Project Management, Change Management, and the Lewin/Prosci/Bridges/ADKAR framework milestones — baseline versus actual dates, with the schedule gap called out task by task.</w:t>
      </w:r>
    </w:p>
    <w:p>
      <w:pPr>
        <w:pStyle w:val="BodyText"/>
      </w:pPr>
      <w:r>
        <w:rPr>
          <w:bCs/>
          <w:b/>
          <w:sz w:val="25"/>
        </w:rPr>
        <w:t xml:space="preserve">In the Bouregreg scenario:</w:t>
      </w:r>
      <w:r>
        <w:rPr>
          <w:sz w:val="25"/>
        </w:rPr>
        <w:t xml:space="preserve"> </w:t>
      </w:r>
      <w:r>
        <w:rPr>
          <w:sz w:val="25"/>
        </w:rPr>
        <w:t xml:space="preserve">Driss El Amrani loads a phase template at kickoff to seed the 14-month program’s baseline schedule, then keeps actual dates and status current against it as Parts 3 and 4 of this guide play out — so a reader can see, task by task, where the real program has drifted from plan.</w:t>
      </w:r>
    </w:p>
    <w:p>
      <w:pPr>
        <w:pStyle w:val="BodyText"/>
      </w:pPr>
      <w:r>
        <w:rPr>
          <w:bCs/>
          <w:b/>
          <w:sz w:val="25"/>
        </w:rPr>
        <w:t xml:space="preserve">Create / update / delete:</w:t>
      </w:r>
      <w:r>
        <w:rPr>
          <w:sz w:val="25"/>
        </w:rPr>
        <w:t xml:space="preserve"> </w:t>
      </w:r>
      <w:r>
        <w:rPr>
          <w:sz w:val="25"/>
        </w:rPr>
        <w:t xml:space="preserve">load a phase template to seed the WBS; edit individual task dates and status against the loaded baseline; Phase Gates are the checklist/sign-off items attached to each phase boundary.</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Task name; track (PM/CM/framework); baseline start/end date; actual start/end date; status; Phase Gate Joint Decision (Go / Go with Conditions / No-Go).</w:t>
      </w:r>
    </w:p>
    <w:bookmarkEnd w:id="74"/>
    <w:bookmarkStart w:id="75" w:name="m18-process-registry"/>
    <w:p>
      <w:pPr>
        <w:pStyle w:val="Heading3"/>
      </w:pPr>
      <w:r>
        <w:rPr>
          <w:b/>
          <w:color w:val="3F827B"/>
          <w:sz w:val="29"/>
        </w:rPr>
        <w:t xml:space="preserve">M18 — Process Registry</w:t>
      </w:r>
    </w:p>
    <w:p>
      <w:pPr>
        <w:pStyle w:val="FirstParagraph"/>
      </w:pPr>
      <w:r>
        <w:rPr>
          <w:bCs/>
          <w:b/>
          <w:sz w:val="25"/>
        </w:rPr>
        <w:t xml:space="preserve">Purpose:</w:t>
      </w:r>
      <w:r>
        <w:rPr>
          <w:sz w:val="25"/>
        </w:rPr>
        <w:t xml:space="preserve"> </w:t>
      </w:r>
      <w:r>
        <w:rPr>
          <w:sz w:val="25"/>
        </w:rPr>
        <w:t xml:space="preserve">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pPr>
      <w:r>
        <w:rPr>
          <w:bCs/>
          <w:b/>
          <w:sz w:val="25"/>
        </w:rPr>
        <w:t xml:space="preserve">In the Bouregreg scenario:</w:t>
      </w:r>
      <w:r>
        <w:rPr>
          <w:sz w:val="25"/>
        </w:rPr>
        <w:t xml:space="preserve"> </w:t>
      </w:r>
      <w:r>
        <w:rPr>
          <w:sz w:val="25"/>
        </w:rPr>
        <w:t xml:space="preserve">the reference Part 3 of this guide walks in full — every one of the 16 processes, read here and then exercised against Bouregreg’s live data elsewhere in journi.</w:t>
      </w:r>
    </w:p>
    <w:p>
      <w:pPr>
        <w:pStyle w:val="BodyText"/>
      </w:pPr>
      <w:r>
        <w:rPr>
          <w:bCs/>
          <w:b/>
          <w:sz w:val="25"/>
        </w:rPr>
        <w:t xml:space="preserve">Create / update / delete:</w:t>
      </w:r>
      <w:r>
        <w:rPr>
          <w:sz w:val="25"/>
        </w:rPr>
        <w:t xml:space="preserve"> </w:t>
      </w:r>
      <w:r>
        <w:rPr>
          <w:sz w:val="25"/>
        </w:rPr>
        <w:t xml:space="preserve">the Macro Process and End-to-End Process catalogs are fixed reference content, shared platform-wide and not editable per tenant. The RACSI grid — who holds each of the five roles for each macro process — is editable cell by cell.</w:t>
      </w:r>
    </w:p>
    <w:p>
      <w:pPr>
        <w:pStyle w:val="BodyText"/>
      </w:pPr>
      <w:r>
        <w:rPr>
          <w:bCs/>
          <w:b/>
          <w:sz w:val="25"/>
        </w:rPr>
        <w:t xml:space="preserve">Who can edit:</w:t>
      </w:r>
      <w:r>
        <w:rPr>
          <w:sz w:val="25"/>
        </w:rPr>
        <w:t xml:space="preserve"> </w:t>
      </w:r>
      <w:r>
        <w:rPr>
          <w:sz w:val="25"/>
        </w:rPr>
        <w:t xml:space="preserve">RACSI grid edits are gated to whoever holds that capability on the Permission Matrix, by default Org-Admin-and-above; the process catalogs themselves are read-only for every role.</w:t>
      </w:r>
    </w:p>
    <w:p>
      <w:pPr>
        <w:pStyle w:val="BodyText"/>
      </w:pPr>
      <w:r>
        <w:rPr>
          <w:bCs/>
          <w:b/>
          <w:sz w:val="25"/>
        </w:rPr>
        <w:t xml:space="preserve">Key fields:</w:t>
      </w:r>
      <w:r>
        <w:rPr>
          <w:sz w:val="25"/>
        </w:rPr>
        <w:t xml:space="preserve"> </w:t>
      </w:r>
      <w:r>
        <w:rPr>
          <w:sz w:val="25"/>
        </w:rPr>
        <w:t xml:space="preserve">RACSI grid cell (role × macro process); Macro Process and End-to-End Process catalogs (read-only reference).</w:t>
      </w:r>
    </w:p>
    <w:bookmarkEnd w:id="75"/>
    <w:bookmarkStart w:id="76" w:name="m19-cm-charters"/>
    <w:p>
      <w:pPr>
        <w:pStyle w:val="Heading3"/>
      </w:pPr>
      <w:r>
        <w:rPr>
          <w:b/>
          <w:color w:val="3F827B"/>
          <w:sz w:val="29"/>
        </w:rPr>
        <w:t xml:space="preserve">M19 — CM Charters</w:t>
      </w:r>
    </w:p>
    <w:p>
      <w:pPr>
        <w:pStyle w:val="FirstParagraph"/>
      </w:pPr>
      <w:r>
        <w:rPr>
          <w:bCs/>
          <w:b/>
          <w:sz w:val="25"/>
        </w:rPr>
        <w:t xml:space="preserve">Purpose:</w:t>
      </w:r>
      <w:r>
        <w:rPr>
          <w:sz w:val="25"/>
        </w:rPr>
        <w:t xml:space="preserve"> </w:t>
      </w:r>
      <w:r>
        <w:rPr>
          <w:sz w:val="25"/>
        </w:rPr>
        <w:t xml:space="preserve">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pPr>
      <w:r>
        <w:rPr>
          <w:bCs/>
          <w:b/>
          <w:sz w:val="25"/>
        </w:rPr>
        <w:t xml:space="preserve">In the Bouregreg scenario:</w:t>
      </w:r>
      <w:r>
        <w:rPr>
          <w:sz w:val="25"/>
        </w:rPr>
        <w:t xml:space="preserve"> </w:t>
      </w:r>
      <w:r>
        <w:rPr>
          <w:sz w:val="25"/>
        </w:rPr>
        <w:t xml:space="preserve">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pPr>
      <w:r>
        <w:rPr>
          <w:bCs/>
          <w:b/>
          <w:sz w:val="25"/>
        </w:rPr>
        <w:t xml:space="preserve">Create / update / delete:</w:t>
      </w:r>
      <w:r>
        <w:rPr>
          <w:sz w:val="25"/>
        </w:rPr>
        <w:t xml:space="preserve"> </w:t>
      </w:r>
      <w:r>
        <w:rPr>
          <w:sz w:val="25"/>
        </w:rPr>
        <w:t xml:space="preserve">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pPr>
      <w:r>
        <w:rPr>
          <w:bCs/>
          <w:b/>
          <w:sz w:val="25"/>
        </w:rPr>
        <w:t xml:space="preserve">Who can edit:</w:t>
      </w:r>
      <w:r>
        <w:rPr>
          <w:sz w:val="25"/>
        </w:rPr>
        <w:t xml:space="preserve"> </w:t>
      </w:r>
      <w:r>
        <w:rPr>
          <w:sz w:val="25"/>
        </w:rPr>
        <w:t xml:space="preserve">Charter create/edit is gated to whoever holds Charter-management rights on the Permission Matrix; delete is further restricted to Org-Admin-and-above, matching the sensitivity of removing a governance record outright.</w:t>
      </w:r>
    </w:p>
    <w:p>
      <w:pPr>
        <w:pStyle w:val="BodyText"/>
      </w:pPr>
      <w:r>
        <w:rPr>
          <w:bCs/>
          <w:b/>
          <w:sz w:val="25"/>
        </w:rPr>
        <w:t xml:space="preserve">Key fields:</w:t>
      </w:r>
      <w:r>
        <w:rPr>
          <w:sz w:val="25"/>
        </w:rPr>
        <w:t xml:space="preserve"> </w:t>
      </w:r>
      <w:r>
        <w:rPr>
          <w:sz w:val="25"/>
        </w:rPr>
        <w:t xml:space="preserve">Charter name; category; RACSI (R/A/C/S/I); status (Active/Draft/Retired); version; effective date; review frequency; compliance-log entry.</w:t>
      </w:r>
    </w:p>
    <w:bookmarkEnd w:id="76"/>
    <w:bookmarkStart w:id="77" w:name="m20-journeys-analytics"/>
    <w:p>
      <w:pPr>
        <w:pStyle w:val="Heading3"/>
      </w:pPr>
      <w:r>
        <w:rPr>
          <w:b/>
          <w:color w:val="3F827B"/>
          <w:sz w:val="29"/>
        </w:rPr>
        <w:t xml:space="preserve">M20 — Journeys &amp; Analytics</w:t>
      </w:r>
    </w:p>
    <w:p>
      <w:pPr>
        <w:pStyle w:val="FirstParagraph"/>
      </w:pPr>
      <w:r>
        <w:rPr>
          <w:bCs/>
          <w:b/>
          <w:sz w:val="25"/>
        </w:rPr>
        <w:t xml:space="preserve">Purpose:</w:t>
      </w:r>
      <w:r>
        <w:rPr>
          <w:sz w:val="25"/>
        </w:rPr>
        <w:t xml:space="preserve"> </w:t>
      </w:r>
      <w:r>
        <w:rPr>
          <w:sz w:val="25"/>
        </w:rPr>
        <w:t xml:space="preserve">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pPr>
      <w:r>
        <w:rPr>
          <w:bCs/>
          <w:b/>
          <w:sz w:val="25"/>
        </w:rPr>
        <w:t xml:space="preserve">In the Bouregreg scenario:</w:t>
      </w:r>
      <w:r>
        <w:rPr>
          <w:sz w:val="25"/>
        </w:rPr>
        <w:t xml:space="preserve"> </w:t>
      </w:r>
      <w:r>
        <w:rPr>
          <w:sz w:val="25"/>
        </w:rPr>
        <w:t xml:space="preserve">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pPr>
      <w:r>
        <w:rPr>
          <w:bCs/>
          <w:b/>
          <w:sz w:val="25"/>
        </w:rPr>
        <w:t xml:space="preserve">Create / update / delete:</w:t>
      </w:r>
      <w:r>
        <w:rPr>
          <w:sz w:val="25"/>
        </w:rPr>
        <w:t xml:space="preserve"> </w:t>
      </w:r>
      <w:r>
        <w:rPr>
          <w:sz w:val="25"/>
        </w:rPr>
        <w:t xml:space="preserve">log evidence and mark success criteria met against a journey’s touchpoints for the current project; the 8 journey templates themselves are shared reference content.</w:t>
      </w:r>
    </w:p>
    <w:p>
      <w:pPr>
        <w:pStyle w:val="BodyText"/>
      </w:pPr>
      <w:r>
        <w:rPr>
          <w:bCs/>
          <w:b/>
          <w:sz w:val="25"/>
        </w:rPr>
        <w:t xml:space="preserve">Who can edit:</w:t>
      </w:r>
      <w:r>
        <w:rPr>
          <w:sz w:val="25"/>
        </w:rPr>
        <w:t xml:space="preserve"> </w:t>
      </w:r>
      <w:r>
        <w:rPr>
          <w:sz w:val="25"/>
        </w:rPr>
        <w:t xml:space="preserve">general write access for logging evidence; the underlying journey templates are read-only for every role.</w:t>
      </w:r>
    </w:p>
    <w:p>
      <w:pPr>
        <w:pStyle w:val="BodyText"/>
      </w:pPr>
      <w:r>
        <w:rPr>
          <w:bCs/>
          <w:b/>
          <w:sz w:val="25"/>
        </w:rPr>
        <w:t xml:space="preserve">Key fields:</w:t>
      </w:r>
      <w:r>
        <w:rPr>
          <w:sz w:val="25"/>
        </w:rPr>
        <w:t xml:space="preserve"> </w:t>
      </w:r>
      <w:r>
        <w:rPr>
          <w:sz w:val="25"/>
        </w:rPr>
        <w:t xml:space="preserve">Journey touchpoint; success criterion; logged evidence.</w:t>
      </w:r>
    </w:p>
    <w:p>
      <w:r>
        <w:rPr>
          <w:sz w:val="25"/>
        </w:rPr>
        <w:pict>
          <v:rect style="width:0;height:1.5pt" o:hralign="center" o:hrstd="t" o:hr="t"/>
        </w:pict>
      </w:r>
    </w:p>
    <w:p>
      <w:r>
        <w:rPr>
          <w:sz w:val="25"/>
        </w:rPr>
        <w:pict>
          <v:rect style="width:0;height:1.5pt" o:hralign="center" o:hrstd="t" o:hr="t"/>
        </w:pict>
      </w:r>
    </w:p>
    <w:p>
      <w:pPr>
        <w:pStyle w:val="FirstParagraph"/>
      </w:pPr>
    </w:p>
    <w:bookmarkEnd w:id="77"/>
    <w:bookmarkEnd w:id="78"/>
    <w:bookmarkStart w:id="91" w:name="X3a691c7b5e904e251e49707e934744bde62b737"/>
    <w:p>
      <w:pPr>
        <w:pStyle w:val="Heading2"/>
      </w:pPr>
      <w:r>
        <w:rPr>
          <w:b/>
          <w:color w:val="275650"/>
          <w:sz w:val="34"/>
        </w:rPr>
        <w:t xml:space="preserve">Part 3 — All 16 End-to-End Process Walkthroughs</w:t>
      </w:r>
    </w:p>
    <w:p>
      <w:pPr>
        <w:pStyle w:val="FirstParagraph"/>
      </w:pPr>
      <w:r>
        <w:rPr>
          <w:sz w:val="25"/>
        </w:rPr>
        <w:t xml:space="preserve">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bookmarkStart w:id="79" w:name="the-10-macro-processes-reference"/>
    <w:p>
      <w:pPr>
        <w:pStyle w:val="Heading3"/>
      </w:pPr>
      <w:r>
        <w:rPr>
          <w:b/>
          <w:color w:val="3F827B"/>
          <w:sz w:val="29"/>
        </w:rPr>
        <w:t xml:space="preserve">The 10 Macro Processes (reference)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Macro Process</w:t>
            </w:r>
          </w:p>
        </w:tc>
      </w:tr>
      <w:tr>
        <w:trPr>
          <w:cantSplit/>
        </w:trPr>
        <w:tc>
          <w:tcPr/>
          <w:p>
            <w:pPr>
              <w:pStyle w:val="Compact"/>
              <w:jc w:val="left"/>
            </w:pPr>
            <w:r>
              <w:rPr>
                <w:sz w:val="22"/>
              </w:rPr>
              <w:t xml:space="preserve">MP-01</w:t>
            </w:r>
          </w:p>
        </w:tc>
        <w:tc>
          <w:tcPr/>
          <w:p>
            <w:pPr>
              <w:pStyle w:val="Compact"/>
              <w:jc w:val="left"/>
            </w:pPr>
            <w:r>
              <w:rPr>
                <w:sz w:val="22"/>
              </w:rPr>
              <w:t xml:space="preserve">Change Impact &amp; Stakeholder Assessment</w:t>
            </w:r>
          </w:p>
        </w:tc>
      </w:tr>
      <w:tr>
        <w:trPr>
          <w:cantSplit/>
        </w:trPr>
        <w:tc>
          <w:tcPr/>
          <w:p>
            <w:pPr>
              <w:pStyle w:val="Compact"/>
              <w:jc w:val="left"/>
            </w:pPr>
            <w:r>
              <w:rPr>
                <w:sz w:val="22"/>
              </w:rPr>
              <w:t xml:space="preserve">MP-02</w:t>
            </w:r>
          </w:p>
        </w:tc>
        <w:tc>
          <w:tcPr/>
          <w:p>
            <w:pPr>
              <w:pStyle w:val="Compact"/>
              <w:jc w:val="left"/>
            </w:pPr>
            <w:r>
              <w:rPr>
                <w:sz w:val="22"/>
              </w:rPr>
              <w:t xml:space="preserve">Sponsorship &amp; Governance Management</w:t>
            </w:r>
          </w:p>
        </w:tc>
      </w:tr>
      <w:tr>
        <w:trPr>
          <w:cantSplit/>
        </w:trPr>
        <w:tc>
          <w:tcPr/>
          <w:p>
            <w:pPr>
              <w:pStyle w:val="Compact"/>
              <w:jc w:val="left"/>
            </w:pPr>
            <w:r>
              <w:rPr>
                <w:sz w:val="22"/>
              </w:rPr>
              <w:t xml:space="preserve">MP-03</w:t>
            </w:r>
          </w:p>
        </w:tc>
        <w:tc>
          <w:tcPr/>
          <w:p>
            <w:pPr>
              <w:pStyle w:val="Compact"/>
              <w:jc w:val="left"/>
            </w:pPr>
            <w:r>
              <w:rPr>
                <w:sz w:val="22"/>
              </w:rPr>
              <w:t xml:space="preserve">Communication &amp; Awareness Management</w:t>
            </w:r>
          </w:p>
        </w:tc>
      </w:tr>
      <w:tr>
        <w:trPr>
          <w:cantSplit/>
        </w:trPr>
        <w:tc>
          <w:tcPr/>
          <w:p>
            <w:pPr>
              <w:pStyle w:val="Compact"/>
              <w:jc w:val="left"/>
            </w:pPr>
            <w:r>
              <w:rPr>
                <w:sz w:val="22"/>
              </w:rPr>
              <w:t xml:space="preserve">MP-04</w:t>
            </w:r>
          </w:p>
        </w:tc>
        <w:tc>
          <w:tcPr/>
          <w:p>
            <w:pPr>
              <w:pStyle w:val="Compact"/>
              <w:jc w:val="left"/>
            </w:pPr>
            <w:r>
              <w:rPr>
                <w:sz w:val="22"/>
              </w:rPr>
              <w:t xml:space="preserve">Resistance &amp; Barrier Management</w:t>
            </w:r>
          </w:p>
        </w:tc>
      </w:tr>
      <w:tr>
        <w:trPr>
          <w:cantSplit/>
        </w:trPr>
        <w:tc>
          <w:tcPr/>
          <w:p>
            <w:pPr>
              <w:pStyle w:val="Compact"/>
              <w:jc w:val="left"/>
            </w:pPr>
            <w:r>
              <w:rPr>
                <w:sz w:val="22"/>
              </w:rPr>
              <w:t xml:space="preserve">MP-05</w:t>
            </w:r>
          </w:p>
        </w:tc>
        <w:tc>
          <w:tcPr/>
          <w:p>
            <w:pPr>
              <w:pStyle w:val="Compact"/>
              <w:jc w:val="left"/>
            </w:pPr>
            <w:r>
              <w:rPr>
                <w:sz w:val="22"/>
              </w:rPr>
              <w:t xml:space="preserve">Training &amp; Capability Enablement</w:t>
            </w:r>
          </w:p>
        </w:tc>
      </w:tr>
      <w:tr>
        <w:trPr>
          <w:cantSplit/>
        </w:trPr>
        <w:tc>
          <w:tcPr/>
          <w:p>
            <w:pPr>
              <w:pStyle w:val="Compact"/>
              <w:jc w:val="left"/>
            </w:pPr>
            <w:r>
              <w:rPr>
                <w:sz w:val="22"/>
              </w:rPr>
              <w:t xml:space="preserve">MP-06</w:t>
            </w:r>
          </w:p>
        </w:tc>
        <w:tc>
          <w:tcPr/>
          <w:p>
            <w:pPr>
              <w:pStyle w:val="Compact"/>
              <w:jc w:val="left"/>
            </w:pPr>
            <w:r>
              <w:rPr>
                <w:sz w:val="22"/>
              </w:rPr>
              <w:t xml:space="preserve">Champion Network Management</w:t>
            </w:r>
          </w:p>
        </w:tc>
      </w:tr>
      <w:tr>
        <w:trPr>
          <w:cantSplit/>
        </w:trPr>
        <w:tc>
          <w:tcPr/>
          <w:p>
            <w:pPr>
              <w:pStyle w:val="Compact"/>
              <w:jc w:val="left"/>
            </w:pPr>
            <w:r>
              <w:rPr>
                <w:sz w:val="22"/>
              </w:rPr>
              <w:t xml:space="preserve">MP-07</w:t>
            </w:r>
          </w:p>
        </w:tc>
        <w:tc>
          <w:tcPr/>
          <w:p>
            <w:pPr>
              <w:pStyle w:val="Compact"/>
              <w:jc w:val="left"/>
            </w:pPr>
            <w:r>
              <w:rPr>
                <w:sz w:val="22"/>
              </w:rPr>
              <w:t xml:space="preserve">Readiness Diagnostics &amp; Signal Capture</w:t>
            </w:r>
          </w:p>
        </w:tc>
      </w:tr>
      <w:tr>
        <w:trPr>
          <w:cantSplit/>
        </w:trPr>
        <w:tc>
          <w:tcPr/>
          <w:p>
            <w:pPr>
              <w:pStyle w:val="Compact"/>
              <w:jc w:val="left"/>
            </w:pPr>
            <w:r>
              <w:rPr>
                <w:sz w:val="22"/>
              </w:rPr>
              <w:t xml:space="preserve">MP-08</w:t>
            </w:r>
          </w:p>
        </w:tc>
        <w:tc>
          <w:tcPr/>
          <w:p>
            <w:pPr>
              <w:pStyle w:val="Compact"/>
              <w:jc w:val="left"/>
            </w:pPr>
            <w:r>
              <w:rPr>
                <w:sz w:val="22"/>
              </w:rPr>
              <w:t xml:space="preserve">Divergence &amp; Risk Detection</w:t>
            </w:r>
          </w:p>
        </w:tc>
      </w:tr>
      <w:tr>
        <w:trPr>
          <w:cantSplit/>
        </w:trPr>
        <w:tc>
          <w:tcPr/>
          <w:p>
            <w:pPr>
              <w:pStyle w:val="Compact"/>
              <w:jc w:val="left"/>
            </w:pPr>
            <w:r>
              <w:rPr>
                <w:sz w:val="22"/>
              </w:rPr>
              <w:t xml:space="preserve">MP-09</w:t>
            </w:r>
          </w:p>
        </w:tc>
        <w:tc>
          <w:tcPr/>
          <w:p>
            <w:pPr>
              <w:pStyle w:val="Compact"/>
              <w:jc w:val="left"/>
            </w:pPr>
            <w:r>
              <w:rPr>
                <w:sz w:val="22"/>
              </w:rPr>
              <w:t xml:space="preserve">Hypercare &amp; Floor Coaching Support</w:t>
            </w:r>
          </w:p>
        </w:tc>
      </w:tr>
      <w:tr>
        <w:trPr>
          <w:cantSplit/>
        </w:trPr>
        <w:tc>
          <w:tcPr/>
          <w:p>
            <w:pPr>
              <w:pStyle w:val="Compact"/>
              <w:jc w:val="left"/>
            </w:pPr>
            <w:r>
              <w:rPr>
                <w:sz w:val="22"/>
              </w:rPr>
              <w:t xml:space="preserve">MP-10</w:t>
            </w:r>
          </w:p>
        </w:tc>
        <w:tc>
          <w:tcPr/>
          <w:p>
            <w:pPr>
              <w:pStyle w:val="Compact"/>
              <w:jc w:val="left"/>
            </w:pPr>
            <w:r>
              <w:rPr>
                <w:sz w:val="22"/>
              </w:rPr>
              <w:t xml:space="preserve">Reinforcement &amp; Sustainment Management</w:t>
            </w:r>
          </w:p>
        </w:tc>
      </w:tr>
    </w:tbl>
    <w:bookmarkEnd w:id="79"/>
    <w:bookmarkStart w:id="84" w:name="core-chains-e2e-01-e2e-04"/>
    <w:p>
      <w:pPr>
        <w:pStyle w:val="Heading3"/>
      </w:pPr>
      <w:r>
        <w:rPr>
          <w:b/>
          <w:color w:val="3F827B"/>
          <w:sz w:val="29"/>
        </w:rPr>
        <w:t xml:space="preserve">Core Chains (E2E-01 — E2E-04)</w:t>
      </w:r>
    </w:p>
    <w:bookmarkStart w:id="80" w:name="Xdd0f15b280f76ef8f06812aee34f7e528fe2da1"/>
    <w:p>
      <w:pPr>
        <w:pStyle w:val="Heading4"/>
      </w:pPr>
      <w:r>
        <w:rPr>
          <w:b/>
          <w:color w:val="5A8F89"/>
          <w:sz w:val="26"/>
        </w:rPr>
        <w:t xml:space="preserve">E2E-01 — Readiness &amp; Mobilization (Awareness → Launch-Readiness)</w:t>
      </w:r>
    </w:p>
    <w:p>
      <w:pPr>
        <w:pStyle w:val="FirstParagraph"/>
      </w:pPr>
      <w:r>
        <w:rPr>
          <w:bCs/>
          <w:b/>
          <w:sz w:val="25"/>
        </w:rPr>
        <w:t xml:space="preserve">Composition:</w:t>
      </w:r>
      <w:r>
        <w:rPr>
          <w:sz w:val="25"/>
        </w:rPr>
        <w:t xml:space="preserve"> </w:t>
      </w:r>
      <w:r>
        <w:rPr>
          <w:sz w:val="25"/>
        </w:rPr>
        <w:t xml:space="preserve">MP-01 → MP-02 → MP-03 → MP-06 → MP-07 ·</w:t>
      </w:r>
      <w:r>
        <w:rPr>
          <w:sz w:val="25"/>
        </w:rPr>
        <w:t xml:space="preserve"> </w:t>
      </w:r>
      <w:r>
        <w:rPr>
          <w:bCs/>
          <w:b/>
          <w:sz w:val="25"/>
        </w:rPr>
        <w:t xml:space="preserve">Trigger:</w:t>
      </w:r>
      <w:r>
        <w:rPr>
          <w:sz w:val="25"/>
        </w:rPr>
        <w:t xml:space="preserve"> </w:t>
      </w:r>
      <w:r>
        <w:rPr>
          <w:sz w:val="25"/>
        </w:rPr>
        <w:t xml:space="preserve">business case and stakeholder map opened ·</w:t>
      </w:r>
      <w:r>
        <w:rPr>
          <w:sz w:val="25"/>
        </w:rPr>
        <w:t xml:space="preserve"> </w:t>
      </w:r>
      <w:r>
        <w:rPr>
          <w:bCs/>
          <w:b/>
          <w:sz w:val="25"/>
        </w:rPr>
        <w:t xml:space="preserve">Terminal state:</w:t>
      </w:r>
      <w:r>
        <w:rPr>
          <w:sz w:val="25"/>
        </w:rPr>
        <w:t xml:space="preserve"> </w:t>
      </w:r>
      <w:r>
        <w:rPr>
          <w:sz w:val="25"/>
        </w:rPr>
        <w:t xml:space="preserve">mobilized sponsorship, informed and diagnosed population, active champion network ·</w:t>
      </w:r>
      <w:r>
        <w:rPr>
          <w:sz w:val="25"/>
        </w:rPr>
        <w:t xml:space="preserve"> </w:t>
      </w:r>
      <w:r>
        <w:rPr>
          <w:bCs/>
          <w:b/>
          <w:sz w:val="25"/>
        </w:rPr>
        <w:t xml:space="preserve">RACSI:</w:t>
      </w:r>
      <w:r>
        <w:rPr>
          <w:sz w:val="25"/>
        </w:rPr>
        <w:t xml:space="preserve"> </w:t>
      </w:r>
      <w:r>
        <w:rPr>
          <w:sz w:val="25"/>
        </w:rPr>
        <w:t xml:space="preserve">R=CM, A=ES, C=FPO/PM, S=SUP, I=EU</w:t>
      </w:r>
    </w:p>
    <w:p>
      <w:pPr>
        <w:pStyle w:val="BodyText"/>
      </w:pPr>
      <w:r>
        <w:rPr>
          <w:bCs/>
          <w:b/>
          <w:sz w:val="25"/>
        </w:rPr>
        <w:t xml:space="preserve">In the Bouregreg scenario:</w:t>
      </w:r>
      <w:r>
        <w:rPr>
          <w:sz w:val="25"/>
        </w:rPr>
        <w:t xml:space="preserve"> </w:t>
      </w:r>
      <w:r>
        <w:rPr>
          <w:sz w:val="25"/>
        </w:rPr>
        <w:t xml:space="preserve">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pPr>
      <w:r>
        <w:rPr>
          <w:bCs/>
          <w:b/>
          <w:sz w:val="25"/>
        </w:rPr>
        <w:t xml:space="preserve">Week reference:</w:t>
      </w:r>
      <w:r>
        <w:rPr>
          <w:sz w:val="25"/>
        </w:rPr>
        <w:t xml:space="preserve"> </w:t>
      </w:r>
      <w:r>
        <w:rPr>
          <w:sz w:val="25"/>
        </w:rPr>
        <w:t xml:space="preserve">W1–14, spanning Discovery and Design (Part 1B.3, Phases 1–2) — the same window Part 1B.6’s Month 1–3 narrative covers.</w:t>
      </w:r>
    </w:p>
    <w:bookmarkEnd w:id="80"/>
    <w:bookmarkStart w:id="81" w:name="X102d98e98069ee5353b9ffb28a6892e1ec4d314"/>
    <w:p>
      <w:pPr>
        <w:pStyle w:val="Heading4"/>
      </w:pPr>
      <w:r>
        <w:rPr>
          <w:b/>
          <w:color w:val="5A8F89"/>
          <w:sz w:val="26"/>
        </w:rPr>
        <w:t xml:space="preserve">E2E-02 — Capability &amp; Divergence Management (Training → Verified Competence)</w:t>
      </w:r>
    </w:p>
    <w:p>
      <w:pPr>
        <w:pStyle w:val="FirstParagraph"/>
      </w:pPr>
      <w:r>
        <w:rPr>
          <w:bCs/>
          <w:b/>
          <w:sz w:val="25"/>
        </w:rPr>
        <w:t xml:space="preserve">Composition:</w:t>
      </w:r>
      <w:r>
        <w:rPr>
          <w:sz w:val="25"/>
        </w:rPr>
        <w:t xml:space="preserve"> </w:t>
      </w:r>
      <w:r>
        <w:rPr>
          <w:sz w:val="25"/>
        </w:rPr>
        <w:t xml:space="preserve">MP-05 → MP-08 → MP-07 ·</w:t>
      </w:r>
      <w:r>
        <w:rPr>
          <w:sz w:val="25"/>
        </w:rPr>
        <w:t xml:space="preserve"> </w:t>
      </w:r>
      <w:r>
        <w:rPr>
          <w:bCs/>
          <w:b/>
          <w:sz w:val="25"/>
        </w:rPr>
        <w:t xml:space="preserve">Trigger:</w:t>
      </w:r>
      <w:r>
        <w:rPr>
          <w:sz w:val="25"/>
        </w:rPr>
        <w:t xml:space="preserve"> </w:t>
      </w:r>
      <w:r>
        <w:rPr>
          <w:sz w:val="25"/>
        </w:rPr>
        <w:t xml:space="preserve">curriculum, sandbox, and cohort segmentation confirmed from E2E-01 ·</w:t>
      </w:r>
      <w:r>
        <w:rPr>
          <w:sz w:val="25"/>
        </w:rPr>
        <w:t xml:space="preserve"> </w:t>
      </w:r>
      <w:r>
        <w:rPr>
          <w:bCs/>
          <w:b/>
          <w:sz w:val="25"/>
        </w:rPr>
        <w:t xml:space="preserve">Terminal state:</w:t>
      </w:r>
      <w:r>
        <w:rPr>
          <w:sz w:val="25"/>
        </w:rPr>
        <w:t xml:space="preserve"> </w:t>
      </w:r>
      <w:r>
        <w:rPr>
          <w:sz w:val="25"/>
        </w:rPr>
        <w:t xml:space="preserve">verified capable and emotionally-ready cohorts; Divergence Pattern log ·</w:t>
      </w:r>
      <w:r>
        <w:rPr>
          <w:sz w:val="25"/>
        </w:rPr>
        <w:t xml:space="preserve"> </w:t>
      </w:r>
      <w:r>
        <w:rPr>
          <w:bCs/>
          <w:b/>
          <w:sz w:val="25"/>
        </w:rPr>
        <w:t xml:space="preserve">RACSI:</w:t>
      </w:r>
      <w:r>
        <w:rPr>
          <w:sz w:val="25"/>
        </w:rPr>
        <w:t xml:space="preserve"> </w:t>
      </w:r>
      <w:r>
        <w:rPr>
          <w:sz w:val="25"/>
        </w:rPr>
        <w:t xml:space="preserve">R=CM, A=CM, C=FPO/ITL, S=PM/SUP, I=ES/EU</w:t>
      </w:r>
    </w:p>
    <w:p>
      <w:pPr>
        <w:pStyle w:val="BodyText"/>
      </w:pPr>
      <w:r>
        <w:rPr>
          <w:bCs/>
          <w:b/>
          <w:sz w:val="25"/>
        </w:rPr>
        <w:t xml:space="preserve">In the Bouregreg scenario:</w:t>
      </w:r>
      <w:r>
        <w:rPr>
          <w:sz w:val="25"/>
        </w:rPr>
        <w:t xml:space="preserve"> </w:t>
      </w:r>
      <w:r>
        <w:rPr>
          <w:sz w:val="25"/>
        </w:rPr>
        <w:t xml:space="preserve">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pPr>
      <w:r>
        <w:rPr>
          <w:bCs/>
          <w:b/>
          <w:sz w:val="25"/>
        </w:rPr>
        <w:t xml:space="preserve">Week reference:</w:t>
      </w:r>
      <w:r>
        <w:rPr>
          <w:sz w:val="25"/>
        </w:rPr>
        <w:t xml:space="preserve"> </w:t>
      </w:r>
      <w:r>
        <w:rPr>
          <w:sz w:val="25"/>
        </w:rPr>
        <w:t xml:space="preserve">W28–42, spanning Test and Train (Phases 4–5) — the exact window Exception E2 (Part 1B.4) fires in, Month 8 of Part 1B.6’s narrative.</w:t>
      </w:r>
    </w:p>
    <w:bookmarkEnd w:id="81"/>
    <w:bookmarkStart w:id="82" w:name="Xf7155a6f5c22b3c8b7321cba8536c1b62ce4ef0"/>
    <w:p>
      <w:pPr>
        <w:pStyle w:val="Heading4"/>
      </w:pPr>
      <w:r>
        <w:rPr>
          <w:b/>
          <w:color w:val="5A8F89"/>
          <w:sz w:val="26"/>
        </w:rPr>
        <w:t xml:space="preserve">E2E-03 — Resistance-to-Commitment (Barrier Detection → Buy-In)</w:t>
      </w:r>
    </w:p>
    <w:p>
      <w:pPr>
        <w:pStyle w:val="FirstParagraph"/>
      </w:pPr>
      <w:r>
        <w:rPr>
          <w:bCs/>
          <w:b/>
          <w:sz w:val="25"/>
        </w:rPr>
        <w:t xml:space="preserve">Composition:</w:t>
      </w:r>
      <w:r>
        <w:rPr>
          <w:sz w:val="25"/>
        </w:rPr>
        <w:t xml:space="preserve"> </w:t>
      </w:r>
      <w:r>
        <w:rPr>
          <w:sz w:val="25"/>
        </w:rPr>
        <w:t xml:space="preserve">MP-04 → MP-06 → MP-07 → MP-09 ·</w:t>
      </w:r>
      <w:r>
        <w:rPr>
          <w:sz w:val="25"/>
        </w:rPr>
        <w:t xml:space="preserve"> </w:t>
      </w:r>
      <w:r>
        <w:rPr>
          <w:bCs/>
          <w:b/>
          <w:sz w:val="25"/>
        </w:rPr>
        <w:t xml:space="preserve">Trigger:</w:t>
      </w:r>
      <w:r>
        <w:rPr>
          <w:sz w:val="25"/>
        </w:rPr>
        <w:t xml:space="preserve"> </w:t>
      </w:r>
      <w:r>
        <w:rPr>
          <w:sz w:val="25"/>
        </w:rPr>
        <w:t xml:space="preserve">a stalled Desire score or negative sentiment pulse is first logged ·</w:t>
      </w:r>
      <w:r>
        <w:rPr>
          <w:sz w:val="25"/>
        </w:rPr>
        <w:t xml:space="preserve"> </w:t>
      </w:r>
      <w:r>
        <w:rPr>
          <w:bCs/>
          <w:b/>
          <w:sz w:val="25"/>
        </w:rPr>
        <w:t xml:space="preserve">Terminal state:</w:t>
      </w:r>
      <w:r>
        <w:rPr>
          <w:sz w:val="25"/>
        </w:rPr>
        <w:t xml:space="preserve"> </w:t>
      </w:r>
      <w:r>
        <w:rPr>
          <w:sz w:val="25"/>
        </w:rPr>
        <w:t xml:space="preserve">resolved barriers; recovered Desire/sentiment scores; sustained commitment ·</w:t>
      </w:r>
      <w:r>
        <w:rPr>
          <w:sz w:val="25"/>
        </w:rPr>
        <w:t xml:space="preserve"> </w:t>
      </w:r>
      <w:r>
        <w:rPr>
          <w:bCs/>
          <w:b/>
          <w:sz w:val="25"/>
        </w:rPr>
        <w:t xml:space="preserve">RACSI:</w:t>
      </w:r>
      <w:r>
        <w:rPr>
          <w:sz w:val="25"/>
        </w:rPr>
        <w:t xml:space="preserve"> </w:t>
      </w:r>
      <w:r>
        <w:rPr>
          <w:sz w:val="25"/>
        </w:rPr>
        <w:t xml:space="preserve">R=CM, A=CM, C=ES/SUP, S=PM, I=FPO/EU</w:t>
      </w:r>
    </w:p>
    <w:p>
      <w:pPr>
        <w:pStyle w:val="BodyText"/>
      </w:pPr>
      <w:r>
        <w:rPr>
          <w:bCs/>
          <w:b/>
          <w:sz w:val="25"/>
        </w:rPr>
        <w:t xml:space="preserve">In the Bouregreg scenario:</w:t>
      </w:r>
      <w:r>
        <w:rPr>
          <w:sz w:val="25"/>
        </w:rPr>
        <w:t xml:space="preserve"> </w:t>
      </w:r>
      <w:r>
        <w:rPr>
          <w:sz w:val="25"/>
        </w:rPr>
        <w:t xml:space="preserve">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pPr>
      <w:r>
        <w:rPr>
          <w:bCs/>
          <w:b/>
          <w:sz w:val="25"/>
        </w:rPr>
        <w:t xml:space="preserve">Week reference:</w:t>
      </w:r>
      <w:r>
        <w:rPr>
          <w:sz w:val="25"/>
        </w:rPr>
        <w:t xml:space="preserve"> </w:t>
      </w:r>
      <w:r>
        <w:rPr>
          <w:sz w:val="25"/>
        </w:rPr>
        <w:t xml:space="preserve">first opens W18–22 (Build, Phase 3) with Exception E1, and recurs at any later point a Desire or sentiment score stalls — see also the Order-to-Cash and Settat Restructuring cases in Part 4, both built around this exact chain.</w:t>
      </w:r>
    </w:p>
    <w:bookmarkEnd w:id="82"/>
    <w:bookmarkStart w:id="83" w:name="X45b7bee2c9af545f78ba5e1ca9e039e3d7fb2c7"/>
    <w:p>
      <w:pPr>
        <w:pStyle w:val="Heading4"/>
      </w:pPr>
      <w:r>
        <w:rPr>
          <w:b/>
          <w:color w:val="5A8F89"/>
          <w:sz w:val="26"/>
        </w:rPr>
        <w:t xml:space="preserve">E2E-04 — Adoption-to-Sustainment (Go-Live → Refreeze)</w:t>
      </w:r>
    </w:p>
    <w:p>
      <w:pPr>
        <w:pStyle w:val="FirstParagraph"/>
      </w:pPr>
      <w:r>
        <w:rPr>
          <w:bCs/>
          <w:b/>
          <w:sz w:val="25"/>
        </w:rPr>
        <w:t xml:space="preserve">Composition:</w:t>
      </w:r>
      <w:r>
        <w:rPr>
          <w:sz w:val="25"/>
        </w:rPr>
        <w:t xml:space="preserve"> </w:t>
      </w:r>
      <w:r>
        <w:rPr>
          <w:sz w:val="25"/>
        </w:rPr>
        <w:t xml:space="preserve">MP-09 → MP-10 → MP-07 ·</w:t>
      </w:r>
      <w:r>
        <w:rPr>
          <w:sz w:val="25"/>
        </w:rPr>
        <w:t xml:space="preserve"> </w:t>
      </w:r>
      <w:r>
        <w:rPr>
          <w:bCs/>
          <w:b/>
          <w:sz w:val="25"/>
        </w:rPr>
        <w:t xml:space="preserve">Trigger:</w:t>
      </w:r>
      <w:r>
        <w:rPr>
          <w:sz w:val="25"/>
        </w:rPr>
        <w:t xml:space="preserve"> </w:t>
      </w:r>
      <w:r>
        <w:rPr>
          <w:sz w:val="25"/>
        </w:rPr>
        <w:t xml:space="preserve">go-live cutover executed ·</w:t>
      </w:r>
      <w:r>
        <w:rPr>
          <w:sz w:val="25"/>
        </w:rPr>
        <w:t xml:space="preserve"> </w:t>
      </w:r>
      <w:r>
        <w:rPr>
          <w:bCs/>
          <w:b/>
          <w:sz w:val="25"/>
        </w:rPr>
        <w:t xml:space="preserve">Terminal state:</w:t>
      </w:r>
      <w:r>
        <w:rPr>
          <w:sz w:val="25"/>
        </w:rPr>
        <w:t xml:space="preserve"> </w:t>
      </w:r>
      <w:r>
        <w:rPr>
          <w:sz w:val="25"/>
        </w:rPr>
        <w:t xml:space="preserve">stabilized new-normal performance; embedded reinforcement; confirmed Refreeze; closed project ·</w:t>
      </w:r>
      <w:r>
        <w:rPr>
          <w:sz w:val="25"/>
        </w:rPr>
        <w:t xml:space="preserve"> </w:t>
      </w:r>
      <w:r>
        <w:rPr>
          <w:bCs/>
          <w:b/>
          <w:sz w:val="25"/>
        </w:rPr>
        <w:t xml:space="preserve">RACSI:</w:t>
      </w:r>
      <w:r>
        <w:rPr>
          <w:sz w:val="25"/>
        </w:rPr>
        <w:t xml:space="preserve"> </w:t>
      </w:r>
      <w:r>
        <w:rPr>
          <w:sz w:val="25"/>
        </w:rPr>
        <w:t xml:space="preserve">R=CM, A=ES, C=PM/FPO, S=SUP, I=ITL/EU</w:t>
      </w:r>
    </w:p>
    <w:p>
      <w:pPr>
        <w:pStyle w:val="BodyText"/>
      </w:pPr>
      <w:r>
        <w:rPr>
          <w:bCs/>
          <w:b/>
          <w:sz w:val="25"/>
        </w:rPr>
        <w:t xml:space="preserve">In the Bouregreg scenario:</w:t>
      </w:r>
      <w:r>
        <w:rPr>
          <w:sz w:val="25"/>
        </w:rPr>
        <w:t xml:space="preserve"> </w:t>
      </w:r>
      <w:r>
        <w:rPr>
          <w:sz w:val="25"/>
        </w:rPr>
        <w:t xml:space="preserve">from ERP go-live day, hypercare and floor coaching run on M11/M12 (MP-09); reinforcement mechanisms — recognition, manager check-ins, revoked legacy-system access — are confirmed active on M12 (MP-10); and the Lewin phase is only called</w:t>
      </w:r>
      <w:r>
        <w:rPr>
          <w:sz w:val="25"/>
        </w:rPr>
        <w:t xml:space="preserve"> </w:t>
      </w:r>
      <w:r>
        <w:rPr>
          <w:sz w:val="25"/>
        </w:rPr>
        <w:t xml:space="preserve">“</w:t>
      </w:r>
      <w:r>
        <w:rPr>
          <w:sz w:val="25"/>
        </w:rPr>
        <w:t xml:space="preserve">Refreeze</w:t>
      </w:r>
      <w:r>
        <w:rPr>
          <w:sz w:val="25"/>
        </w:rPr>
        <w:t xml:space="preserve">”</w:t>
      </w:r>
      <w:r>
        <w:rPr>
          <w:sz w:val="25"/>
        </w:rPr>
        <w:t xml:space="preserve"> </w:t>
      </w:r>
      <w:r>
        <w:rPr>
          <w:sz w:val="25"/>
        </w:rPr>
        <w:t xml:space="preserve">on M3 once the readiness diagnostics on M14 support it, not on the calendar date (MP-07). This is the same discipline the ERP User Guide’s Exception E3 (Two-Clock Problem) and Exception E5 (Reinforcement Gap) protect against.</w:t>
      </w:r>
    </w:p>
    <w:p>
      <w:pPr>
        <w:pStyle w:val="BodyText"/>
      </w:pPr>
      <w:r>
        <w:rPr>
          <w:bCs/>
          <w:b/>
          <w:sz w:val="25"/>
        </w:rPr>
        <w:t xml:space="preserve">Week reference:</w:t>
      </w:r>
      <w:r>
        <w:rPr>
          <w:sz w:val="25"/>
        </w:rPr>
        <w:t xml:space="preserve"> </w:t>
      </w:r>
      <w:r>
        <w:rPr>
          <w:sz w:val="25"/>
        </w:rPr>
        <w:t xml:space="preserve">W43 through W64, spanning Deploy, Hypercare, and Sustain (Phases 6–8) — the closing third of Part 1B.6’s month-by-month narrative, Months 11 through 14.</w:t>
      </w:r>
    </w:p>
    <w:bookmarkEnd w:id="83"/>
    <w:bookmarkEnd w:id="84"/>
    <w:bookmarkStart w:id="89" w:name="cross-cutting-loops-e2e-05-e2e-08"/>
    <w:p>
      <w:pPr>
        <w:pStyle w:val="Heading3"/>
      </w:pPr>
      <w:r>
        <w:rPr>
          <w:b/>
          <w:color w:val="3F827B"/>
          <w:sz w:val="29"/>
        </w:rPr>
        <w:t xml:space="preserve">Cross-Cutting Loops (E2E-05 — E2E-08)</w:t>
      </w:r>
    </w:p>
    <w:bookmarkStart w:id="85" w:name="e2e-05-signal-aggregation-loop"/>
    <w:p>
      <w:pPr>
        <w:pStyle w:val="Heading4"/>
      </w:pPr>
      <w:r>
        <w:rPr>
          <w:b/>
          <w:color w:val="5A8F89"/>
          <w:sz w:val="26"/>
        </w:rPr>
        <w:t xml:space="preserve">E2E-05 — Signal Aggregation Loop</w:t>
      </w:r>
    </w:p>
    <w:p>
      <w:pPr>
        <w:pStyle w:val="FirstParagraph"/>
      </w:pPr>
      <w:r>
        <w:rPr>
          <w:bCs/>
          <w:b/>
          <w:sz w:val="25"/>
        </w:rPr>
        <w:t xml:space="preserve">Composition:</w:t>
      </w:r>
      <w:r>
        <w:rPr>
          <w:sz w:val="25"/>
        </w:rPr>
        <w:t xml:space="preserve"> </w:t>
      </w:r>
      <w:r>
        <w:rPr>
          <w:sz w:val="25"/>
        </w:rPr>
        <w:t xml:space="preserve">MP-03 → MP-05 → MP-07 → MP-08 ·</w:t>
      </w:r>
      <w:r>
        <w:rPr>
          <w:sz w:val="25"/>
        </w:rPr>
        <w:t xml:space="preserve"> </w:t>
      </w:r>
      <w:r>
        <w:rPr>
          <w:bCs/>
          <w:b/>
          <w:sz w:val="25"/>
        </w:rPr>
        <w:t xml:space="preserve">Trigger:</w:t>
      </w:r>
      <w:r>
        <w:rPr>
          <w:sz w:val="25"/>
        </w:rPr>
        <w:t xml:space="preserve"> </w:t>
      </w:r>
      <w:r>
        <w:rPr>
          <w:sz w:val="25"/>
        </w:rPr>
        <w:t xml:space="preserve">new awareness (MP-03) or knowledge/ability (MP-05) signal recorded ·</w:t>
      </w:r>
      <w:r>
        <w:rPr>
          <w:sz w:val="25"/>
        </w:rPr>
        <w:t xml:space="preserve"> </w:t>
      </w:r>
      <w:r>
        <w:rPr>
          <w:bCs/>
          <w:b/>
          <w:sz w:val="25"/>
        </w:rPr>
        <w:t xml:space="preserve">Terminal state:</w:t>
      </w:r>
      <w:r>
        <w:rPr>
          <w:sz w:val="25"/>
        </w:rPr>
        <w:t xml:space="preserve"> </w:t>
      </w:r>
      <w:r>
        <w:rPr>
          <w:sz w:val="25"/>
        </w:rPr>
        <w:t xml:space="preserve">Composite Readiness Index (MP-07) recalculated and evaluated by the Divergence Pattern Detector (MP-08)</w:t>
      </w:r>
    </w:p>
    <w:p>
      <w:pPr>
        <w:pStyle w:val="BodyText"/>
      </w:pPr>
      <w:r>
        <w:rPr>
          <w:bCs/>
          <w:b/>
          <w:sz w:val="25"/>
        </w:rPr>
        <w:t xml:space="preserve">In the Bouregreg scenario:</w:t>
      </w:r>
      <w:r>
        <w:rPr>
          <w:sz w:val="25"/>
        </w:rPr>
        <w:t xml:space="preserve"> </w:t>
      </w:r>
      <w:r>
        <w:rPr>
          <w:sz w:val="25"/>
        </w:rPr>
        <w:t xml:space="preserve">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pPr>
      <w:r>
        <w:rPr>
          <w:bCs/>
          <w:b/>
          <w:sz w:val="25"/>
        </w:rPr>
        <w:t xml:space="preserve">Week reference:</w:t>
      </w:r>
      <w:r>
        <w:rPr>
          <w:sz w:val="25"/>
        </w:rPr>
        <w:t xml:space="preserve"> </w:t>
      </w:r>
      <w:r>
        <w:rPr>
          <w:sz w:val="25"/>
        </w:rPr>
        <w:t xml:space="preserve">continuous, W1 through close — this loop has no phase of its own because it is the connective tissue running underneath every phase in Part 1B.3.</w:t>
      </w:r>
    </w:p>
    <w:bookmarkEnd w:id="85"/>
    <w:bookmarkStart w:id="86" w:name="e2e-06-pm-cm-governance-bridge"/>
    <w:p>
      <w:pPr>
        <w:pStyle w:val="Heading4"/>
      </w:pPr>
      <w:r>
        <w:rPr>
          <w:b/>
          <w:color w:val="5A8F89"/>
          <w:sz w:val="26"/>
        </w:rPr>
        <w:t xml:space="preserve">E2E-06 — PM ↔ CM Governance Bridge</w:t>
      </w:r>
    </w:p>
    <w:p>
      <w:pPr>
        <w:pStyle w:val="FirstParagraph"/>
      </w:pPr>
      <w:r>
        <w:rPr>
          <w:bCs/>
          <w:b/>
          <w:sz w:val="25"/>
        </w:rPr>
        <w:t xml:space="preserve">Composition:</w:t>
      </w:r>
      <w:r>
        <w:rPr>
          <w:sz w:val="25"/>
        </w:rPr>
        <w:t xml:space="preserve"> </w:t>
      </w:r>
      <w:r>
        <w:rPr>
          <w:sz w:val="25"/>
        </w:rPr>
        <w:t xml:space="preserve">MP-02 → MP-08 ·</w:t>
      </w:r>
      <w:r>
        <w:rPr>
          <w:sz w:val="25"/>
        </w:rPr>
        <w:t xml:space="preserve"> </w:t>
      </w:r>
      <w:r>
        <w:rPr>
          <w:bCs/>
          <w:b/>
          <w:sz w:val="25"/>
        </w:rPr>
        <w:t xml:space="preserve">Trigger:</w:t>
      </w:r>
      <w:r>
        <w:rPr>
          <w:sz w:val="25"/>
        </w:rPr>
        <w:t xml:space="preserve"> </w:t>
      </w:r>
      <w:r>
        <w:rPr>
          <w:sz w:val="25"/>
        </w:rPr>
        <w:t xml:space="preserve">Main Project schedule slip logged, or a Phase Gate checkpoint reached ·</w:t>
      </w:r>
      <w:r>
        <w:rPr>
          <w:sz w:val="25"/>
        </w:rPr>
        <w:t xml:space="preserve"> </w:t>
      </w:r>
      <w:r>
        <w:rPr>
          <w:bCs/>
          <w:b/>
          <w:sz w:val="25"/>
        </w:rPr>
        <w:t xml:space="preserve">Terminal state:</w:t>
      </w:r>
      <w:r>
        <w:rPr>
          <w:sz w:val="25"/>
        </w:rPr>
        <w:t xml:space="preserve"> </w:t>
      </w:r>
      <w:r>
        <w:rPr>
          <w:sz w:val="25"/>
        </w:rPr>
        <w:t xml:space="preserve">a Joint Decision Record (Go / Go with Conditions / No-Go), with PM and CM inputs preserved independently and exactly one Accountable role named — selectable, and may differ from either input’s author</w:t>
      </w:r>
    </w:p>
    <w:p>
      <w:pPr>
        <w:pStyle w:val="BodyText"/>
      </w:pPr>
      <w:r>
        <w:rPr>
          <w:bCs/>
          <w:b/>
          <w:sz w:val="25"/>
        </w:rPr>
        <w:t xml:space="preserve">In the Bouregreg scenario:</w:t>
      </w:r>
      <w:r>
        <w:rPr>
          <w:sz w:val="25"/>
        </w:rPr>
        <w:t xml:space="preserve"> </w:t>
      </w:r>
      <w:r>
        <w:rPr>
          <w:sz w:val="25"/>
        </w:rPr>
        <w:t xml:space="preserve">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pPr>
      <w:r>
        <w:rPr>
          <w:bCs/>
          <w:b/>
          <w:sz w:val="25"/>
        </w:rPr>
        <w:t xml:space="preserve">Week reference:</w:t>
      </w:r>
      <w:r>
        <w:rPr>
          <w:sz w:val="25"/>
        </w:rPr>
        <w:t xml:space="preserve"> </w:t>
      </w:r>
      <w:r>
        <w:rPr>
          <w:sz w:val="25"/>
        </w:rPr>
        <w:t xml:space="preserve">most active at each phase gate in Part 1B.3 — W8, W14, W30, W38, W42, W43, W50, and W64 — since a Phase Gate checkpoint is this loop’s most common trigger.</w:t>
      </w:r>
    </w:p>
    <w:bookmarkEnd w:id="86"/>
    <w:bookmarkStart w:id="87" w:name="e2e-07-champion-early-warning-loop"/>
    <w:p>
      <w:pPr>
        <w:pStyle w:val="Heading4"/>
      </w:pPr>
      <w:r>
        <w:rPr>
          <w:b/>
          <w:color w:val="5A8F89"/>
          <w:sz w:val="26"/>
        </w:rPr>
        <w:t xml:space="preserve">E2E-07 — Champion Early-Warning Loop</w:t>
      </w:r>
    </w:p>
    <w:p>
      <w:pPr>
        <w:pStyle w:val="FirstParagraph"/>
      </w:pPr>
      <w:r>
        <w:rPr>
          <w:bCs/>
          <w:b/>
          <w:sz w:val="25"/>
        </w:rPr>
        <w:t xml:space="preserve">Composition:</w:t>
      </w:r>
      <w:r>
        <w:rPr>
          <w:sz w:val="25"/>
        </w:rPr>
        <w:t xml:space="preserve"> </w:t>
      </w:r>
      <w:r>
        <w:rPr>
          <w:sz w:val="25"/>
        </w:rPr>
        <w:t xml:space="preserve">MP-06 → MP-04 ·</w:t>
      </w:r>
      <w:r>
        <w:rPr>
          <w:sz w:val="25"/>
        </w:rPr>
        <w:t xml:space="preserve"> </w:t>
      </w:r>
      <w:r>
        <w:rPr>
          <w:bCs/>
          <w:b/>
          <w:sz w:val="25"/>
        </w:rPr>
        <w:t xml:space="preserve">Trigger:</w:t>
      </w:r>
      <w:r>
        <w:rPr>
          <w:sz w:val="25"/>
        </w:rPr>
        <w:t xml:space="preserve"> </w:t>
      </w:r>
      <w:r>
        <w:rPr>
          <w:sz w:val="25"/>
        </w:rPr>
        <w:t xml:space="preserve">champion floor-level observation logged ·</w:t>
      </w:r>
      <w:r>
        <w:rPr>
          <w:sz w:val="25"/>
        </w:rPr>
        <w:t xml:space="preserve"> </w:t>
      </w:r>
      <w:r>
        <w:rPr>
          <w:bCs/>
          <w:b/>
          <w:sz w:val="25"/>
        </w:rPr>
        <w:t xml:space="preserve">Terminal state:</w:t>
      </w:r>
      <w:r>
        <w:rPr>
          <w:sz w:val="25"/>
        </w:rPr>
        <w:t xml:space="preserve"> </w:t>
      </w:r>
      <w:r>
        <w:rPr>
          <w:sz w:val="25"/>
        </w:rPr>
        <w:t xml:space="preserve">the observation formalized into a Resistance Log barrier record</w:t>
      </w:r>
    </w:p>
    <w:p>
      <w:pPr>
        <w:pStyle w:val="BodyText"/>
      </w:pPr>
      <w:r>
        <w:rPr>
          <w:bCs/>
          <w:b/>
          <w:sz w:val="25"/>
        </w:rPr>
        <w:t xml:space="preserve">In the Bouregreg scenario:</w:t>
      </w:r>
      <w:r>
        <w:rPr>
          <w:sz w:val="25"/>
        </w:rPr>
        <w:t xml:space="preserve"> </w:t>
      </w:r>
      <w:r>
        <w:rPr>
          <w:sz w:val="25"/>
        </w:rPr>
        <w:t xml:space="preserve">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pPr>
      <w:r>
        <w:rPr>
          <w:bCs/>
          <w:b/>
          <w:sz w:val="25"/>
        </w:rPr>
        <w:t xml:space="preserve">Week reference:</w:t>
      </w:r>
      <w:r>
        <w:rPr>
          <w:sz w:val="25"/>
        </w:rPr>
        <w:t xml:space="preserve"> </w:t>
      </w:r>
      <w:r>
        <w:rPr>
          <w:sz w:val="25"/>
        </w:rPr>
        <w:t xml:space="preserve">operational from W12 onward, once Build’s Task 2 formally briefs the champion network (Phase 3) — and the exact mechanism that could have surfaced Exception E1’s Settat concern even earlier than the Desire score did.</w:t>
      </w:r>
    </w:p>
    <w:bookmarkEnd w:id="87"/>
    <w:bookmarkStart w:id="88" w:name="e2e-08-governance-escalation-loop"/>
    <w:p>
      <w:pPr>
        <w:pStyle w:val="Heading4"/>
      </w:pPr>
      <w:r>
        <w:rPr>
          <w:b/>
          <w:color w:val="5A8F89"/>
          <w:sz w:val="26"/>
        </w:rPr>
        <w:t xml:space="preserve">E2E-08 — Governance Escalation Loop</w:t>
      </w:r>
    </w:p>
    <w:p>
      <w:pPr>
        <w:pStyle w:val="FirstParagraph"/>
      </w:pPr>
      <w:r>
        <w:rPr>
          <w:bCs/>
          <w:b/>
          <w:sz w:val="25"/>
        </w:rPr>
        <w:t xml:space="preserve">Composition:</w:t>
      </w:r>
      <w:r>
        <w:rPr>
          <w:sz w:val="25"/>
        </w:rPr>
        <w:t xml:space="preserve"> </w:t>
      </w:r>
      <w:r>
        <w:rPr>
          <w:sz w:val="25"/>
        </w:rPr>
        <w:t xml:space="preserve">MP-02 → MP-10 ·</w:t>
      </w:r>
      <w:r>
        <w:rPr>
          <w:sz w:val="25"/>
        </w:rPr>
        <w:t xml:space="preserve"> </w:t>
      </w:r>
      <w:r>
        <w:rPr>
          <w:bCs/>
          <w:b/>
          <w:sz w:val="25"/>
        </w:rPr>
        <w:t xml:space="preserve">Trigger:</w:t>
      </w:r>
      <w:r>
        <w:rPr>
          <w:sz w:val="25"/>
        </w:rPr>
        <w:t xml:space="preserve"> </w:t>
      </w:r>
      <w:r>
        <w:rPr>
          <w:sz w:val="25"/>
        </w:rPr>
        <w:t xml:space="preserve">a Sponsor escalation action is logged ·</w:t>
      </w:r>
      <w:r>
        <w:rPr>
          <w:sz w:val="25"/>
        </w:rPr>
        <w:t xml:space="preserve"> </w:t>
      </w:r>
      <w:r>
        <w:rPr>
          <w:bCs/>
          <w:b/>
          <w:sz w:val="25"/>
        </w:rPr>
        <w:t xml:space="preserve">Terminal state:</w:t>
      </w:r>
      <w:r>
        <w:rPr>
          <w:sz w:val="25"/>
        </w:rPr>
        <w:t xml:space="preserve"> </w:t>
      </w:r>
      <w:r>
        <w:rPr>
          <w:sz w:val="25"/>
        </w:rPr>
        <w:t xml:space="preserve">the escalation resolved and reflected in the sustainment sign-off</w:t>
      </w:r>
    </w:p>
    <w:p>
      <w:pPr>
        <w:pStyle w:val="BodyText"/>
      </w:pPr>
      <w:r>
        <w:rPr>
          <w:bCs/>
          <w:b/>
          <w:sz w:val="25"/>
        </w:rPr>
        <w:t xml:space="preserve">In the Bouregreg scenario:</w:t>
      </w:r>
      <w:r>
        <w:rPr>
          <w:sz w:val="25"/>
        </w:rPr>
        <w:t xml:space="preserve"> </w:t>
      </w:r>
      <w:r>
        <w:rPr>
          <w:sz w:val="25"/>
        </w:rPr>
        <w:t xml:space="preserve">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pPr>
      <w:r>
        <w:rPr>
          <w:bCs/>
          <w:b/>
          <w:sz w:val="25"/>
        </w:rPr>
        <w:t xml:space="preserve">Week reference:</w:t>
      </w:r>
      <w:r>
        <w:rPr>
          <w:sz w:val="25"/>
        </w:rPr>
        <w:t xml:space="preserve"> </w:t>
      </w:r>
      <w:r>
        <w:rPr>
          <w:sz w:val="25"/>
        </w:rPr>
        <w:t xml:space="preserve">no fixed window — like E2E-05, it runs continuously wherever a Sponsor escalation and a sustainment checkpoint happen to coincide, most plausibly around Exception E5 in Part 1B.6’s Month 14.</w:t>
      </w:r>
    </w:p>
    <w:bookmarkEnd w:id="88"/>
    <w:bookmarkEnd w:id="89"/>
    <w:bookmarkStart w:id="90" w:name="X07935886bc9ab7c2d95bb977c10a7667c12258d"/>
    <w:p>
      <w:pPr>
        <w:pStyle w:val="Heading3"/>
      </w:pPr>
      <w:r>
        <w:rPr>
          <w:b/>
          <w:color w:val="3F827B"/>
          <w:sz w:val="29"/>
        </w:rPr>
        <w:t xml:space="preserve">Transformation-Type Lifecycles (8 archetypes, each with its own Phase Template)</w:t>
      </w:r>
    </w:p>
    <w:p>
      <w:pPr>
        <w:pStyle w:val="FirstParagraph"/>
      </w:pPr>
      <w:r>
        <w:rPr>
          <w:sz w:val="25"/>
        </w:rPr>
        <w:t xml:space="preserve">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E2E ID</w:t>
            </w:r>
          </w:p>
        </w:tc>
        <w:tc>
          <w:tcPr>
            <w:shd w:val="clear" w:fill="1F4B45"/>
          </w:tcPr>
          <w:p>
            <w:pPr>
              <w:pStyle w:val="Compact"/>
              <w:jc w:val="left"/>
            </w:pPr>
            <w:r>
              <w:rPr>
                <w:b/>
                <w:color w:val="FFFFFF"/>
                <w:sz w:val="22"/>
              </w:rPr>
              <w:t xml:space="preserve">Lifecycle</w:t>
            </w:r>
          </w:p>
        </w:tc>
        <w:tc>
          <w:tcPr>
            <w:shd w:val="clear" w:fill="1F4B45"/>
          </w:tcPr>
          <w:p>
            <w:pPr>
              <w:pStyle w:val="Compact"/>
              <w:jc w:val="left"/>
            </w:pPr>
            <w:r>
              <w:rPr>
                <w:b/>
                <w:color w:val="FFFFFF"/>
                <w:sz w:val="22"/>
              </w:rPr>
              <w:t xml:space="preserve">Composition</w:t>
            </w:r>
          </w:p>
        </w:tc>
        <w:tc>
          <w:tcPr>
            <w:shd w:val="clear" w:fill="1F4B45"/>
          </w:tcPr>
          <w:p>
            <w:pPr>
              <w:pStyle w:val="Compact"/>
              <w:jc w:val="left"/>
            </w:pPr>
            <w:r>
              <w:rPr>
                <w:b/>
                <w:color w:val="FFFFFF"/>
                <w:sz w:val="22"/>
              </w:rPr>
              <w:t xml:space="preserve">Phase Template</w:t>
            </w:r>
          </w:p>
        </w:tc>
        <w:tc>
          <w:tcPr>
            <w:shd w:val="clear" w:fill="1F4B45"/>
          </w:tcPr>
          <w:p>
            <w:pPr>
              <w:pStyle w:val="Compact"/>
              <w:jc w:val="left"/>
            </w:pPr>
            <w:r>
              <w:rPr>
                <w:b/>
                <w:color w:val="FFFFFF"/>
                <w:sz w:val="22"/>
              </w:rPr>
              <w:t xml:space="preserve">Part 4 case</w:t>
            </w:r>
          </w:p>
        </w:tc>
      </w:tr>
      <w:tr>
        <w:trPr>
          <w:cantSplit/>
        </w:trPr>
        <w:tc>
          <w:tcPr/>
          <w:p>
            <w:pPr>
              <w:pStyle w:val="Compact"/>
              <w:jc w:val="left"/>
            </w:pPr>
            <w:r>
              <w:rPr>
                <w:sz w:val="22"/>
              </w:rPr>
              <w:t xml:space="preserve">E2E-ERP</w:t>
            </w:r>
          </w:p>
        </w:tc>
        <w:tc>
          <w:tcPr/>
          <w:p>
            <w:pPr>
              <w:pStyle w:val="Compact"/>
              <w:jc w:val="left"/>
            </w:pPr>
            <w:r>
              <w:rPr>
                <w:sz w:val="22"/>
              </w:rPr>
              <w:t xml:space="preserve">ERP Implementation</w:t>
            </w:r>
          </w:p>
        </w:tc>
        <w:tc>
          <w:tcPr/>
          <w:p>
            <w:pPr>
              <w:pStyle w:val="Compact"/>
              <w:jc w:val="left"/>
            </w:pPr>
            <w:r>
              <w:rPr>
                <w:sz w:val="22"/>
              </w:rPr>
              <w:t xml:space="preserve">MP-01→02→03→05→07→09→10</w:t>
            </w:r>
          </w:p>
        </w:tc>
        <w:tc>
          <w:tcPr/>
          <w:p>
            <w:pPr>
              <w:pStyle w:val="Compact"/>
              <w:jc w:val="left"/>
            </w:pPr>
            <w:r>
              <w:rPr>
                <w:sz w:val="22"/>
              </w:rPr>
              <w:t xml:space="preserve">TPL-ERP-8</w:t>
            </w:r>
          </w:p>
        </w:tc>
        <w:tc>
          <w:tcPr/>
          <w:p>
            <w:pPr>
              <w:pStyle w:val="Compact"/>
              <w:jc w:val="left"/>
            </w:pPr>
            <w:r>
              <w:rPr>
                <w:sz w:val="22"/>
              </w:rPr>
              <w:t xml:space="preserve">Bouregreg ERP Adoption Program (Part 1’s throughline)</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w:t>
            </w:r>
          </w:p>
        </w:tc>
        <w:tc>
          <w:tcPr/>
          <w:p>
            <w:pPr>
              <w:pStyle w:val="Compact"/>
              <w:jc w:val="left"/>
            </w:pPr>
            <w:r>
              <w:rPr>
                <w:sz w:val="22"/>
              </w:rPr>
              <w:t xml:space="preserve">MP-01→02→03→05→07→08→09→10</w:t>
            </w:r>
          </w:p>
        </w:tc>
        <w:tc>
          <w:tcPr/>
          <w:p>
            <w:pPr>
              <w:pStyle w:val="Compact"/>
              <w:jc w:val="left"/>
            </w:pPr>
            <w:r>
              <w:rPr>
                <w:sz w:val="22"/>
              </w:rPr>
              <w:t xml:space="preserve">TPL-BPR-7</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w:t>
            </w:r>
          </w:p>
        </w:tc>
        <w:tc>
          <w:tcPr/>
          <w:p>
            <w:pPr>
              <w:pStyle w:val="Compact"/>
              <w:jc w:val="left"/>
            </w:pPr>
            <w:r>
              <w:rPr>
                <w:sz w:val="22"/>
              </w:rPr>
              <w:t xml:space="preserve">MP-01→02→03→05→07→08→09→10</w:t>
            </w:r>
          </w:p>
        </w:tc>
        <w:tc>
          <w:tcPr/>
          <w:p>
            <w:pPr>
              <w:pStyle w:val="Compact"/>
              <w:jc w:val="left"/>
            </w:pPr>
            <w:r>
              <w:rPr>
                <w:sz w:val="22"/>
              </w:rPr>
              <w:t xml:space="preserve">TPL-BPA-7</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w:t>
            </w:r>
          </w:p>
        </w:tc>
        <w:tc>
          <w:tcPr/>
          <w:p>
            <w:pPr>
              <w:pStyle w:val="Compact"/>
              <w:jc w:val="left"/>
            </w:pPr>
            <w:r>
              <w:rPr>
                <w:sz w:val="22"/>
              </w:rPr>
              <w:t xml:space="preserve">MP-01→02→03→05→07→08→09→10</w:t>
            </w:r>
          </w:p>
        </w:tc>
        <w:tc>
          <w:tcPr/>
          <w:p>
            <w:pPr>
              <w:pStyle w:val="Compact"/>
              <w:jc w:val="left"/>
            </w:pPr>
            <w:r>
              <w:rPr>
                <w:sz w:val="22"/>
              </w:rPr>
              <w:t xml:space="preserve">TPL-IMS-7</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w:t>
            </w:r>
          </w:p>
        </w:tc>
        <w:tc>
          <w:tcPr/>
          <w:p>
            <w:pPr>
              <w:pStyle w:val="Compact"/>
              <w:jc w:val="left"/>
            </w:pPr>
            <w:r>
              <w:rPr>
                <w:sz w:val="22"/>
              </w:rPr>
              <w:t xml:space="preserve">MP-01→02→03→04→06→07→08→09→10</w:t>
            </w:r>
          </w:p>
        </w:tc>
        <w:tc>
          <w:tcPr/>
          <w:p>
            <w:pPr>
              <w:pStyle w:val="Compact"/>
              <w:jc w:val="left"/>
            </w:pPr>
            <w:r>
              <w:rPr>
                <w:sz w:val="22"/>
              </w:rPr>
              <w:t xml:space="preserve">TPL-CULT-7</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w:t>
            </w:r>
          </w:p>
        </w:tc>
        <w:tc>
          <w:tcPr/>
          <w:p>
            <w:pPr>
              <w:pStyle w:val="Compact"/>
              <w:jc w:val="left"/>
            </w:pPr>
            <w:r>
              <w:rPr>
                <w:sz w:val="22"/>
              </w:rPr>
              <w:t xml:space="preserve">MP-01→02→03→05→07→08→09→10</w:t>
            </w:r>
          </w:p>
        </w:tc>
        <w:tc>
          <w:tcPr/>
          <w:p>
            <w:pPr>
              <w:pStyle w:val="Compact"/>
              <w:jc w:val="left"/>
            </w:pPr>
            <w:r>
              <w:rPr>
                <w:sz w:val="22"/>
              </w:rPr>
              <w:t xml:space="preserve">TPL-OM-7</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w:t>
            </w:r>
          </w:p>
        </w:tc>
        <w:tc>
          <w:tcPr/>
          <w:p>
            <w:pPr>
              <w:pStyle w:val="Compact"/>
              <w:jc w:val="left"/>
            </w:pPr>
            <w:r>
              <w:rPr>
                <w:sz w:val="22"/>
              </w:rPr>
              <w:t xml:space="preserve">MP-01→02→03→05→07→08→09→10</w:t>
            </w:r>
          </w:p>
        </w:tc>
        <w:tc>
          <w:tcPr/>
          <w:p>
            <w:pPr>
              <w:pStyle w:val="Compact"/>
              <w:jc w:val="left"/>
            </w:pPr>
            <w:r>
              <w:rPr>
                <w:sz w:val="22"/>
              </w:rPr>
              <w:t xml:space="preserve">TPL-COMP-7</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w:t>
            </w:r>
          </w:p>
        </w:tc>
        <w:tc>
          <w:tcPr/>
          <w:p>
            <w:pPr>
              <w:pStyle w:val="Compact"/>
              <w:jc w:val="left"/>
            </w:pPr>
            <w:r>
              <w:rPr>
                <w:sz w:val="22"/>
              </w:rPr>
              <w:t xml:space="preserve">MP-01→02→03→05→06→07→08→09→10</w:t>
            </w:r>
          </w:p>
        </w:tc>
        <w:tc>
          <w:tcPr/>
          <w:p>
            <w:pPr>
              <w:pStyle w:val="Compact"/>
              <w:jc w:val="left"/>
            </w:pPr>
            <w:r>
              <w:rPr>
                <w:sz w:val="22"/>
              </w:rPr>
              <w:t xml:space="preserve">TPL-TSD-7</w:t>
            </w:r>
          </w:p>
        </w:tc>
        <w:tc>
          <w:tcPr/>
          <w:p>
            <w:pPr>
              <w:pStyle w:val="Compact"/>
              <w:jc w:val="left"/>
            </w:pPr>
            <w:r>
              <w:rPr>
                <w:sz w:val="22"/>
              </w:rPr>
              <w:t xml:space="preserve">Plant Digital Skills Upskilling Program</w:t>
            </w:r>
          </w:p>
        </w:tc>
      </w:tr>
    </w:tbl>
    <w:p>
      <w:pPr>
        <w:pStyle w:val="BodyText"/>
      </w:pPr>
      <w:r>
        <w:rPr>
          <w:sz w:val="25"/>
        </w:rPr>
        <w:t xml:space="preserve">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r>
        <w:rPr>
          <w:sz w:val="25"/>
        </w:rPr>
        <w:pict>
          <v:rect style="width:0;height:1.5pt" o:hralign="center" o:hrstd="t" o:hr="t"/>
        </w:pict>
      </w:r>
    </w:p>
    <w:p>
      <w:r>
        <w:rPr>
          <w:sz w:val="25"/>
        </w:rPr>
        <w:pict>
          <v:rect style="width:0;height:1.5pt" o:hralign="center" o:hrstd="t" o:hr="t"/>
        </w:pict>
      </w:r>
    </w:p>
    <w:p>
      <w:pPr>
        <w:pStyle w:val="FirstParagraph"/>
      </w:pPr>
    </w:p>
    <w:bookmarkEnd w:id="90"/>
    <w:bookmarkEnd w:id="91"/>
    <w:bookmarkStart w:id="103" w:name="Xb062a9495713b8c8b037dca833442cfc66017b0"/>
    <w:p>
      <w:pPr>
        <w:pStyle w:val="Heading2"/>
      </w:pPr>
      <w:r>
        <w:rPr>
          <w:b/>
          <w:color w:val="275650"/>
          <w:sz w:val="34"/>
        </w:rPr>
        <w:t xml:space="preserve">Part 4 — Change Management Scenario Library</w:t>
      </w:r>
    </w:p>
    <w:p>
      <w:pPr>
        <w:pStyle w:val="FirstParagraph"/>
      </w:pPr>
      <w:r>
        <w:rPr>
          <w:sz w:val="25"/>
        </w:rPr>
        <w:t xml:space="preserve">Bouregreg Group’s single tenant (Part 1) holds one Organization, Bouregreg Manufacturing Maroc, under which every Change Management Project in this Part runs. journi’s own data model makes this the natural way to show</w:t>
      </w:r>
      <w:r>
        <w:rPr>
          <w:sz w:val="25"/>
        </w:rPr>
        <w:t xml:space="preserve"> </w:t>
      </w:r>
      <w:r>
        <w:rPr>
          <w:sz w:val="25"/>
        </w:rPr>
        <w:t xml:space="preserve">“</w:t>
      </w:r>
      <w:r>
        <w:rPr>
          <w:sz w:val="25"/>
        </w:rPr>
        <w:t xml:space="preserve">more than one kind of change</w:t>
      </w:r>
      <w:r>
        <w:rPr>
          <w:sz w:val="25"/>
        </w:rPr>
        <w:t xml:space="preserve">”</w:t>
      </w:r>
      <w:r>
        <w:rPr>
          <w:sz w:val="25"/>
        </w:rPr>
        <w:t xml:space="preserve"> </w:t>
      </w:r>
      <w:r>
        <w:rPr>
          <w:sz w:val="25"/>
        </w:rPr>
        <w:t xml:space="preserve">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pPr>
      <w:r>
        <w:rPr>
          <w:sz w:val="25"/>
        </w:rPr>
        <w:t xml:space="preserve">Each case below states its archetype, business driver, target population, starting readiness pattern, and — concretely, not abstractly — which of journi’s 9 live-computed alerts it is built to exercise.</w:t>
      </w:r>
    </w:p>
    <w:bookmarkStart w:id="92" w:name="the-scenario-library-at-a-glance"/>
    <w:p>
      <w:pPr>
        <w:pStyle w:val="Heading3"/>
      </w:pPr>
      <w:r>
        <w:rPr>
          <w:b/>
          <w:color w:val="3F827B"/>
          <w:sz w:val="29"/>
        </w:rPr>
        <w:t xml:space="preserve">The Scenario Library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Case</w:t>
            </w:r>
          </w:p>
        </w:tc>
        <w:tc>
          <w:tcPr>
            <w:shd w:val="clear" w:fill="1F4B45"/>
          </w:tcPr>
          <w:p>
            <w:pPr>
              <w:pStyle w:val="Compact"/>
              <w:jc w:val="left"/>
            </w:pPr>
            <w:r>
              <w:rPr>
                <w:b/>
                <w:color w:val="FFFFFF"/>
                <w:sz w:val="22"/>
              </w:rPr>
              <w:t xml:space="preserve">Archetype</w:t>
            </w:r>
          </w:p>
        </w:tc>
        <w:tc>
          <w:tcPr>
            <w:shd w:val="clear" w:fill="1F4B45"/>
          </w:tcPr>
          <w:p>
            <w:pPr>
              <w:pStyle w:val="Compact"/>
              <w:jc w:val="left"/>
            </w:pPr>
            <w:r>
              <w:rPr>
                <w:b/>
                <w:color w:val="FFFFFF"/>
                <w:sz w:val="22"/>
              </w:rPr>
              <w:t xml:space="preserve">Population</w:t>
            </w:r>
          </w:p>
        </w:tc>
        <w:tc>
          <w:tcPr>
            <w:shd w:val="clear" w:fill="1F4B45"/>
          </w:tcPr>
          <w:p>
            <w:pPr>
              <w:pStyle w:val="Compact"/>
              <w:jc w:val="left"/>
            </w:pPr>
            <w:r>
              <w:rPr>
                <w:b/>
                <w:color w:val="FFFFFF"/>
                <w:sz w:val="22"/>
              </w:rPr>
              <w:t xml:space="preserve">Weeks</w:t>
            </w:r>
          </w:p>
        </w:tc>
        <w:tc>
          <w:tcPr>
            <w:shd w:val="clear" w:fill="1F4B45"/>
          </w:tcPr>
          <w:p>
            <w:pPr>
              <w:pStyle w:val="Compact"/>
              <w:jc w:val="left"/>
            </w:pPr>
            <w:r>
              <w:rPr>
                <w:b/>
                <w:color w:val="FFFFFF"/>
                <w:sz w:val="22"/>
              </w:rPr>
              <w:t xml:space="preserve">Alert it exercises</w:t>
            </w:r>
          </w:p>
        </w:tc>
      </w:tr>
      <w:tr>
        <w:trPr>
          <w:cantSplit/>
        </w:trPr>
        <w:tc>
          <w:tcPr/>
          <w:p>
            <w:pPr>
              <w:pStyle w:val="Compact"/>
              <w:jc w:val="left"/>
            </w:pPr>
            <w:r>
              <w:rPr>
                <w:sz w:val="22"/>
              </w:rPr>
              <w:t xml:space="preserve">Bouregreg ERP Adoption Program</w:t>
            </w:r>
          </w:p>
        </w:tc>
        <w:tc>
          <w:tcPr/>
          <w:p>
            <w:pPr>
              <w:pStyle w:val="Compact"/>
              <w:jc w:val="left"/>
            </w:pPr>
            <w:r>
              <w:rPr>
                <w:sz w:val="22"/>
              </w:rPr>
              <w:t xml:space="preserve">ERP</w:t>
            </w:r>
          </w:p>
        </w:tc>
        <w:tc>
          <w:tcPr/>
          <w:p>
            <w:pPr>
              <w:pStyle w:val="Compact"/>
              <w:jc w:val="left"/>
            </w:pPr>
            <w:r>
              <w:rPr>
                <w:sz w:val="22"/>
              </w:rPr>
              <w:t xml:space="preserve">3,400 (all sites)</w:t>
            </w:r>
          </w:p>
        </w:tc>
        <w:tc>
          <w:tcPr/>
          <w:p>
            <w:pPr>
              <w:pStyle w:val="Compact"/>
              <w:jc w:val="left"/>
            </w:pPr>
            <w:r>
              <w:rPr>
                <w:sz w:val="22"/>
              </w:rPr>
              <w:t xml:space="preserve">W1–64</w:t>
            </w:r>
          </w:p>
        </w:tc>
        <w:tc>
          <w:tcPr/>
          <w:p>
            <w:pPr>
              <w:pStyle w:val="Compact"/>
              <w:jc w:val="left"/>
            </w:pPr>
            <w:r>
              <w:rPr>
                <w:sz w:val="22"/>
              </w:rPr>
              <w:t xml:space="preserve">ALT-001, ALT-009</w:t>
            </w:r>
          </w:p>
        </w:tc>
      </w:tr>
      <w:tr>
        <w:trPr>
          <w:cantSplit/>
        </w:trPr>
        <w:tc>
          <w:tcPr/>
          <w:p>
            <w:pPr>
              <w:pStyle w:val="Compact"/>
              <w:jc w:val="left"/>
            </w:pPr>
            <w:r>
              <w:rPr>
                <w:sz w:val="22"/>
              </w:rPr>
              <w:t xml:space="preserve">Order-to-Cash Process Redesign</w:t>
            </w:r>
          </w:p>
        </w:tc>
        <w:tc>
          <w:tcPr/>
          <w:p>
            <w:pPr>
              <w:pStyle w:val="Compact"/>
              <w:jc w:val="left"/>
            </w:pPr>
            <w:r>
              <w:rPr>
                <w:sz w:val="22"/>
              </w:rPr>
              <w:t xml:space="preserve">BPR</w:t>
            </w:r>
          </w:p>
        </w:tc>
        <w:tc>
          <w:tcPr/>
          <w:p>
            <w:pPr>
              <w:pStyle w:val="Compact"/>
              <w:jc w:val="left"/>
            </w:pPr>
            <w:r>
              <w:rPr>
                <w:sz w:val="22"/>
              </w:rPr>
              <w:t xml:space="preserve">140 (Casablanca finance)</w:t>
            </w:r>
          </w:p>
        </w:tc>
        <w:tc>
          <w:tcPr/>
          <w:p>
            <w:pPr>
              <w:pStyle w:val="Compact"/>
              <w:jc w:val="left"/>
            </w:pPr>
            <w:r>
              <w:rPr>
                <w:sz w:val="22"/>
              </w:rPr>
              <w:t xml:space="preserve">W3–52</w:t>
            </w:r>
          </w:p>
        </w:tc>
        <w:tc>
          <w:tcPr/>
          <w:p>
            <w:pPr>
              <w:pStyle w:val="Compact"/>
              <w:jc w:val="left"/>
            </w:pPr>
            <w:r>
              <w:rPr>
                <w:sz w:val="22"/>
              </w:rPr>
              <w:t xml:space="preserve">ALT-004</w:t>
            </w:r>
          </w:p>
        </w:tc>
      </w:tr>
      <w:tr>
        <w:trPr>
          <w:cantSplit/>
        </w:trPr>
        <w:tc>
          <w:tcPr/>
          <w:p>
            <w:pPr>
              <w:pStyle w:val="Compact"/>
              <w:jc w:val="left"/>
            </w:pPr>
            <w:r>
              <w:rPr>
                <w:sz w:val="22"/>
              </w:rPr>
              <w:t xml:space="preserve">Kenitra Invoice-Matching Automation</w:t>
            </w:r>
          </w:p>
        </w:tc>
        <w:tc>
          <w:tcPr/>
          <w:p>
            <w:pPr>
              <w:pStyle w:val="Compact"/>
              <w:jc w:val="left"/>
            </w:pPr>
            <w:r>
              <w:rPr>
                <w:sz w:val="22"/>
              </w:rPr>
              <w:t xml:space="preserve">Automation</w:t>
            </w:r>
          </w:p>
        </w:tc>
        <w:tc>
          <w:tcPr/>
          <w:p>
            <w:pPr>
              <w:pStyle w:val="Compact"/>
              <w:jc w:val="left"/>
            </w:pPr>
            <w:r>
              <w:rPr>
                <w:sz w:val="22"/>
              </w:rPr>
              <w:t xml:space="preserve">18 (Kenitra AP)</w:t>
            </w:r>
          </w:p>
        </w:tc>
        <w:tc>
          <w:tcPr/>
          <w:p>
            <w:pPr>
              <w:pStyle w:val="Compact"/>
              <w:jc w:val="left"/>
            </w:pPr>
            <w:r>
              <w:rPr>
                <w:sz w:val="22"/>
              </w:rPr>
              <w:t xml:space="preserve">W20–38</w:t>
            </w:r>
          </w:p>
        </w:tc>
        <w:tc>
          <w:tcPr/>
          <w:p>
            <w:pPr>
              <w:pStyle w:val="Compact"/>
              <w:jc w:val="left"/>
            </w:pPr>
            <w:r>
              <w:rPr>
                <w:sz w:val="22"/>
              </w:rPr>
              <w:t xml:space="preserve">None (clean-close contrast case)</w:t>
            </w:r>
          </w:p>
        </w:tc>
      </w:tr>
      <w:tr>
        <w:trPr>
          <w:cantSplit/>
        </w:trPr>
        <w:tc>
          <w:tcPr/>
          <w:p>
            <w:pPr>
              <w:pStyle w:val="Compact"/>
              <w:jc w:val="left"/>
            </w:pPr>
            <w:r>
              <w:rPr>
                <w:sz w:val="22"/>
              </w:rPr>
              <w:t xml:space="preserve">ISO 9001/14001 Integrated Management System</w:t>
            </w:r>
          </w:p>
        </w:tc>
        <w:tc>
          <w:tcPr/>
          <w:p>
            <w:pPr>
              <w:pStyle w:val="Compact"/>
              <w:jc w:val="left"/>
            </w:pPr>
            <w:r>
              <w:rPr>
                <w:sz w:val="22"/>
              </w:rPr>
              <w:t xml:space="preserve">QMS</w:t>
            </w:r>
          </w:p>
        </w:tc>
        <w:tc>
          <w:tcPr/>
          <w:p>
            <w:pPr>
              <w:pStyle w:val="Compact"/>
              <w:jc w:val="left"/>
            </w:pPr>
            <w:r>
              <w:rPr>
                <w:sz w:val="22"/>
              </w:rPr>
              <w:t xml:space="preserve">410 (Settat plant + quality)</w:t>
            </w:r>
          </w:p>
        </w:tc>
        <w:tc>
          <w:tcPr/>
          <w:p>
            <w:pPr>
              <w:pStyle w:val="Compact"/>
              <w:jc w:val="left"/>
            </w:pPr>
            <w:r>
              <w:rPr>
                <w:sz w:val="22"/>
              </w:rPr>
              <w:t xml:space="preserve">W1–52+</w:t>
            </w:r>
          </w:p>
        </w:tc>
        <w:tc>
          <w:tcPr/>
          <w:p>
            <w:pPr>
              <w:pStyle w:val="Compact"/>
              <w:jc w:val="left"/>
            </w:pPr>
            <w:r>
              <w:rPr>
                <w:sz w:val="22"/>
              </w:rPr>
              <w:t xml:space="preserve">ALT-010</w:t>
            </w:r>
          </w:p>
        </w:tc>
      </w:tr>
      <w:tr>
        <w:trPr>
          <w:cantSplit/>
        </w:trPr>
        <w:tc>
          <w:tcPr/>
          <w:p>
            <w:pPr>
              <w:pStyle w:val="Compact"/>
              <w:jc w:val="left"/>
            </w:pPr>
            <w:r>
              <w:rPr>
                <w:sz w:val="22"/>
              </w:rPr>
              <w:t xml:space="preserve">One Bouregreg: Culture Integration</w:t>
            </w:r>
          </w:p>
        </w:tc>
        <w:tc>
          <w:tcPr/>
          <w:p>
            <w:pPr>
              <w:pStyle w:val="Compact"/>
              <w:jc w:val="left"/>
            </w:pPr>
            <w:r>
              <w:rPr>
                <w:sz w:val="22"/>
              </w:rPr>
              <w:t xml:space="preserve">Cultural</w:t>
            </w:r>
          </w:p>
        </w:tc>
        <w:tc>
          <w:tcPr/>
          <w:p>
            <w:pPr>
              <w:pStyle w:val="Compact"/>
              <w:jc w:val="left"/>
            </w:pPr>
            <w:r>
              <w:rPr>
                <w:sz w:val="22"/>
              </w:rPr>
              <w:t xml:space="preserve">260 + counterparts (Tangier)</w:t>
            </w:r>
          </w:p>
        </w:tc>
        <w:tc>
          <w:tcPr/>
          <w:p>
            <w:pPr>
              <w:pStyle w:val="Compact"/>
              <w:jc w:val="left"/>
            </w:pPr>
            <w:r>
              <w:rPr>
                <w:sz w:val="22"/>
              </w:rPr>
              <w:t xml:space="preserve">W27–58+</w:t>
            </w:r>
          </w:p>
        </w:tc>
        <w:tc>
          <w:tcPr/>
          <w:p>
            <w:pPr>
              <w:pStyle w:val="Compact"/>
              <w:jc w:val="left"/>
            </w:pPr>
            <w:r>
              <w:rPr>
                <w:sz w:val="22"/>
              </w:rPr>
              <w:t xml:space="preserve">ALT-003</w:t>
            </w:r>
          </w:p>
        </w:tc>
      </w:tr>
      <w:tr>
        <w:trPr>
          <w:cantSplit/>
        </w:trPr>
        <w:tc>
          <w:tcPr/>
          <w:p>
            <w:pPr>
              <w:pStyle w:val="Compact"/>
              <w:jc w:val="left"/>
            </w:pPr>
            <w:r>
              <w:rPr>
                <w:sz w:val="22"/>
              </w:rPr>
              <w:t xml:space="preserve">Regional Operating Model Redesign</w:t>
            </w:r>
          </w:p>
        </w:tc>
        <w:tc>
          <w:tcPr/>
          <w:p>
            <w:pPr>
              <w:pStyle w:val="Compact"/>
              <w:jc w:val="left"/>
            </w:pPr>
            <w:r>
              <w:rPr>
                <w:sz w:val="22"/>
              </w:rPr>
              <w:t xml:space="preserve">Operating Model</w:t>
            </w:r>
          </w:p>
        </w:tc>
        <w:tc>
          <w:tcPr/>
          <w:p>
            <w:pPr>
              <w:pStyle w:val="Compact"/>
              <w:jc w:val="left"/>
            </w:pPr>
            <w:r>
              <w:rPr>
                <w:sz w:val="22"/>
              </w:rPr>
              <w:t xml:space="preserve">95 (people managers, 3 sites)</w:t>
            </w:r>
          </w:p>
        </w:tc>
        <w:tc>
          <w:tcPr/>
          <w:p>
            <w:pPr>
              <w:pStyle w:val="Compact"/>
              <w:jc w:val="left"/>
            </w:pPr>
            <w:r>
              <w:rPr>
                <w:sz w:val="22"/>
              </w:rPr>
              <w:t xml:space="preserve">W35–64</w:t>
            </w:r>
          </w:p>
        </w:tc>
        <w:tc>
          <w:tcPr/>
          <w:p>
            <w:pPr>
              <w:pStyle w:val="Compact"/>
              <w:jc w:val="left"/>
            </w:pPr>
            <w:r>
              <w:rPr>
                <w:sz w:val="22"/>
              </w:rPr>
              <w:t xml:space="preserve">ALT-002, ALT-015</w:t>
            </w:r>
          </w:p>
        </w:tc>
      </w:tr>
      <w:tr>
        <w:trPr>
          <w:cantSplit/>
        </w:trPr>
        <w:tc>
          <w:tcPr/>
          <w:p>
            <w:pPr>
              <w:pStyle w:val="Compact"/>
              <w:jc w:val="left"/>
            </w:pPr>
            <w:r>
              <w:rPr>
                <w:sz w:val="22"/>
              </w:rPr>
              <w:t xml:space="preserve">Loi 09-08 Compliance Program</w:t>
            </w:r>
          </w:p>
        </w:tc>
        <w:tc>
          <w:tcPr/>
          <w:p>
            <w:pPr>
              <w:pStyle w:val="Compact"/>
              <w:jc w:val="left"/>
            </w:pPr>
            <w:r>
              <w:rPr>
                <w:sz w:val="22"/>
              </w:rPr>
              <w:t xml:space="preserve">Compliance</w:t>
            </w:r>
          </w:p>
        </w:tc>
        <w:tc>
          <w:tcPr/>
          <w:p>
            <w:pPr>
              <w:pStyle w:val="Compact"/>
              <w:jc w:val="left"/>
            </w:pPr>
            <w:r>
              <w:rPr>
                <w:sz w:val="22"/>
              </w:rPr>
              <w:t xml:space="preserve">310 (HR, Sales, CS)</w:t>
            </w:r>
          </w:p>
        </w:tc>
        <w:tc>
          <w:tcPr/>
          <w:p>
            <w:pPr>
              <w:pStyle w:val="Compact"/>
              <w:jc w:val="left"/>
            </w:pPr>
            <w:r>
              <w:rPr>
                <w:sz w:val="22"/>
              </w:rPr>
              <w:t xml:space="preserve">W1–64</w:t>
            </w:r>
          </w:p>
        </w:tc>
        <w:tc>
          <w:tcPr/>
          <w:p>
            <w:pPr>
              <w:pStyle w:val="Compact"/>
              <w:jc w:val="left"/>
            </w:pPr>
            <w:r>
              <w:rPr>
                <w:sz w:val="22"/>
              </w:rPr>
              <w:t xml:space="preserve">ALT-009 (schedule-critical)</w:t>
            </w:r>
          </w:p>
        </w:tc>
      </w:tr>
      <w:tr>
        <w:trPr>
          <w:cantSplit/>
        </w:trPr>
        <w:tc>
          <w:tcPr/>
          <w:p>
            <w:pPr>
              <w:pStyle w:val="Compact"/>
              <w:jc w:val="left"/>
            </w:pPr>
            <w:r>
              <w:rPr>
                <w:sz w:val="22"/>
              </w:rPr>
              <w:t xml:space="preserve">Plant Digital Skills Upskilling</w:t>
            </w:r>
          </w:p>
        </w:tc>
        <w:tc>
          <w:tcPr/>
          <w:p>
            <w:pPr>
              <w:pStyle w:val="Compact"/>
              <w:jc w:val="left"/>
            </w:pPr>
            <w:r>
              <w:rPr>
                <w:sz w:val="22"/>
              </w:rPr>
              <w:t xml:space="preserve">Training &amp; Skills</w:t>
            </w:r>
          </w:p>
        </w:tc>
        <w:tc>
          <w:tcPr/>
          <w:p>
            <w:pPr>
              <w:pStyle w:val="Compact"/>
              <w:jc w:val="left"/>
            </w:pPr>
            <w:r>
              <w:rPr>
                <w:sz w:val="22"/>
              </w:rPr>
              <w:t xml:space="preserve">620 (plant floor, 2 sites)</w:t>
            </w:r>
          </w:p>
        </w:tc>
        <w:tc>
          <w:tcPr/>
          <w:p>
            <w:pPr>
              <w:pStyle w:val="Compact"/>
              <w:jc w:val="left"/>
            </w:pPr>
            <w:r>
              <w:rPr>
                <w:sz w:val="22"/>
              </w:rPr>
              <w:t xml:space="preserve">W16–58</w:t>
            </w:r>
          </w:p>
        </w:tc>
        <w:tc>
          <w:tcPr/>
          <w:p>
            <w:pPr>
              <w:pStyle w:val="Compact"/>
              <w:jc w:val="left"/>
            </w:pPr>
            <w:r>
              <w:rPr>
                <w:sz w:val="22"/>
              </w:rPr>
              <w:t xml:space="preserve">None (independent of a go-live)</w:t>
            </w:r>
          </w:p>
        </w:tc>
      </w:tr>
      <w:tr>
        <w:trPr>
          <w:cantSplit/>
        </w:trPr>
        <w:tc>
          <w:tcPr/>
          <w:p>
            <w:pPr>
              <w:pStyle w:val="Compact"/>
              <w:jc w:val="left"/>
            </w:pPr>
            <w:r>
              <w:rPr>
                <w:sz w:val="22"/>
              </w:rPr>
              <w:t xml:space="preserve">Settat Plant Consolidation &amp; Restructuring</w:t>
            </w:r>
          </w:p>
        </w:tc>
        <w:tc>
          <w:tcPr/>
          <w:p>
            <w:pPr>
              <w:pStyle w:val="Compact"/>
              <w:jc w:val="left"/>
            </w:pPr>
            <w:r>
              <w:rPr>
                <w:sz w:val="22"/>
              </w:rPr>
              <w:t xml:space="preserve">Restructuring</w:t>
            </w:r>
          </w:p>
        </w:tc>
        <w:tc>
          <w:tcPr/>
          <w:p>
            <w:pPr>
              <w:pStyle w:val="Compact"/>
              <w:jc w:val="left"/>
            </w:pPr>
            <w:r>
              <w:rPr>
                <w:sz w:val="22"/>
              </w:rPr>
              <w:t xml:space="preserve">130 (affected line)</w:t>
            </w:r>
          </w:p>
        </w:tc>
        <w:tc>
          <w:tcPr/>
          <w:p>
            <w:pPr>
              <w:pStyle w:val="Compact"/>
              <w:jc w:val="left"/>
            </w:pPr>
            <w:r>
              <w:rPr>
                <w:sz w:val="22"/>
              </w:rPr>
              <w:t xml:space="preserve">W40–64</w:t>
            </w:r>
          </w:p>
        </w:tc>
        <w:tc>
          <w:tcPr/>
          <w:p>
            <w:pPr>
              <w:pStyle w:val="Compact"/>
              <w:jc w:val="left"/>
            </w:pPr>
            <w:r>
              <w:rPr>
                <w:sz w:val="22"/>
              </w:rPr>
              <w:t xml:space="preserve">ALT-004</w:t>
            </w:r>
          </w:p>
        </w:tc>
      </w:tr>
    </w:tbl>
    <w:p>
      <w:pPr>
        <w:pStyle w:val="BodyText"/>
      </w:pPr>
      <w:r>
        <w:rPr>
          <w:sz w:val="25"/>
        </w:rPr>
        <w:t xml:space="preserve">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p>
    <w:bookmarkEnd w:id="92"/>
    <w:bookmarkStart w:id="93" w:name="X8f9567737741ab3c6a83fb539ea0246a11ba92c"/>
    <w:p>
      <w:pPr>
        <w:pStyle w:val="Heading3"/>
      </w:pPr>
      <w:r>
        <w:rPr>
          <w:b/>
          <w:color w:val="3F827B"/>
          <w:sz w:val="29"/>
        </w:rPr>
        <w:t xml:space="preserve">Bouregreg ERP Adoption Program</w:t>
      </w:r>
      <w:r>
        <w:rPr>
          <w:b/>
          <w:color w:val="3F827B"/>
          <w:sz w:val="29"/>
        </w:rPr>
        <w:t xml:space="preserve"> </w:t>
      </w:r>
      <w:r>
        <w:rPr>
          <w:iCs/>
          <w:b/>
          <w:i/>
          <w:color w:val="3F827B"/>
          <w:sz w:val="29"/>
        </w:rPr>
        <w:t xml:space="preserve">(archetype: ERP — E2E-ERP)</w:t>
      </w:r>
    </w:p>
    <w:p>
      <w:pPr>
        <w:pStyle w:val="FirstParagraph"/>
      </w:pPr>
      <w:r>
        <w:rPr>
          <w:sz w:val="25"/>
        </w:rPr>
        <w:t xml:space="preserve">Covered in full in Part 1 (setup) and Part 3 (E2E-01 through E2E-04, and E2E-ERP). Target population: all 3,400 staff across Casablanca, Kenitra, and Settat. Starting Lewin phase: Unfreeze. This is the throughline case, and the one most likely to trigger</w:t>
      </w:r>
      <w:r>
        <w:rPr>
          <w:sz w:val="25"/>
        </w:rPr>
        <w:t xml:space="preserve"> </w:t>
      </w:r>
      <w:r>
        <w:rPr>
          <w:bCs/>
          <w:b/>
          <w:sz w:val="25"/>
        </w:rPr>
        <w:t xml:space="preserve">ALT-001 (Divergence Pattern Detected)</w:t>
      </w:r>
      <w:r>
        <w:rPr>
          <w:sz w:val="25"/>
        </w:rPr>
        <w:t xml:space="preserve"> </w:t>
      </w:r>
      <w:r>
        <w:rPr>
          <w:sz w:val="25"/>
        </w:rPr>
        <w:t xml:space="preserve">at UAT if a cohort’s Knowledge and Ability scores both reach 4 while Bridges still reads Ending — and</w:t>
      </w:r>
      <w:r>
        <w:rPr>
          <w:sz w:val="25"/>
        </w:rPr>
        <w:t xml:space="preserve"> </w:t>
      </w:r>
      <w:r>
        <w:rPr>
          <w:bCs/>
          <w:b/>
          <w:sz w:val="25"/>
        </w:rPr>
        <w:t xml:space="preserve">ALT-009 (Phase Gate No-Go / Conditional)</w:t>
      </w:r>
      <w:r>
        <w:rPr>
          <w:sz w:val="25"/>
        </w:rPr>
        <w:t xml:space="preserve"> </w:t>
      </w:r>
      <w:r>
        <w:rPr>
          <w:sz w:val="25"/>
        </w:rPr>
        <w:t xml:space="preserve">if a Phase Gate closes as anything other than a clean Go.</w:t>
      </w:r>
    </w:p>
    <w:bookmarkEnd w:id="93"/>
    <w:bookmarkStart w:id="94" w:name="Xc24d01c77d44894f2465531ef76a97acdfd22e6"/>
    <w:p>
      <w:pPr>
        <w:pStyle w:val="Heading3"/>
      </w:pPr>
      <w:r>
        <w:rPr>
          <w:b/>
          <w:color w:val="3F827B"/>
          <w:sz w:val="29"/>
        </w:rPr>
        <w:t xml:space="preserve">Order-to-Cash Process Redesign</w:t>
      </w:r>
      <w:r>
        <w:rPr>
          <w:b/>
          <w:color w:val="3F827B"/>
          <w:sz w:val="29"/>
        </w:rPr>
        <w:t xml:space="preserve"> </w:t>
      </w:r>
      <w:r>
        <w:rPr>
          <w:iCs/>
          <w:b/>
          <w:i/>
          <w:color w:val="3F827B"/>
          <w:sz w:val="29"/>
        </w:rPr>
        <w:t xml:space="preserve">(archetype: BPR — E2E-BPR)</w:t>
      </w:r>
    </w:p>
    <w:p>
      <w:pPr>
        <w:pStyle w:val="FirstParagraph"/>
      </w:pPr>
      <w:r>
        <w:rPr>
          <w:sz w:val="25"/>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w:t>
      </w:r>
      <w:r>
        <w:rPr>
          <w:sz w:val="25"/>
        </w:rPr>
        <w:t xml:space="preserve"> </w:t>
      </w:r>
      <w:r>
        <w:rPr>
          <w:bCs/>
          <w:b/>
          <w:sz w:val="25"/>
        </w:rPr>
        <w:t xml:space="preserve">ALT-004 (Resistance Escalation Threshold Breached)</w:t>
      </w:r>
      <w:r>
        <w:rPr>
          <w:sz w:val="25"/>
        </w:rPr>
        <w:t xml:space="preserve"> </w:t>
      </w:r>
      <w:r>
        <w:rPr>
          <w:sz w:val="25"/>
        </w:rPr>
        <w:t xml:space="preserve">once three or more open resistance entries accumulate.</w:t>
      </w:r>
    </w:p>
    <w:p>
      <w:pPr>
        <w:pStyle w:val="BodyText"/>
      </w:pPr>
      <w:r>
        <w:rPr>
          <w:bCs/>
          <w:b/>
          <w:sz w:val="25"/>
        </w:rPr>
        <w:t xml:space="preserve">Milestones:</w:t>
      </w:r>
      <w:r>
        <w:rPr>
          <w:sz w:val="25"/>
        </w:rPr>
        <w:t xml:space="preserve"> </w:t>
      </w:r>
      <w:r>
        <w:rPr>
          <w:sz w:val="25"/>
        </w:rPr>
        <w:t xml:space="preserve">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p>
    <w:bookmarkEnd w:id="94"/>
    <w:bookmarkStart w:id="95" w:name="Xf809a11e051728219602f4df9a59bd412be5988"/>
    <w:p>
      <w:pPr>
        <w:pStyle w:val="Heading3"/>
      </w:pPr>
      <w:r>
        <w:rPr>
          <w:b/>
          <w:color w:val="3F827B"/>
          <w:sz w:val="29"/>
        </w:rPr>
        <w:t xml:space="preserve">Kenitra Invoice-Matching Automation</w:t>
      </w:r>
      <w:r>
        <w:rPr>
          <w:b/>
          <w:color w:val="3F827B"/>
          <w:sz w:val="29"/>
        </w:rPr>
        <w:t xml:space="preserve"> </w:t>
      </w:r>
      <w:r>
        <w:rPr>
          <w:iCs/>
          <w:b/>
          <w:i/>
          <w:color w:val="3F827B"/>
          <w:sz w:val="29"/>
        </w:rPr>
        <w:t xml:space="preserve">(archetype: Automation — E2E-BPA)</w:t>
      </w:r>
    </w:p>
    <w:p>
      <w:pPr>
        <w:pStyle w:val="FirstParagraph"/>
      </w:pPr>
      <w:r>
        <w:rPr>
          <w:sz w:val="25"/>
        </w:rPr>
        <w:t xml:space="preserve">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pPr>
      <w:r>
        <w:rPr>
          <w:bCs/>
          <w:b/>
          <w:sz w:val="25"/>
        </w:rPr>
        <w:t xml:space="preserve">Milestones:</w:t>
      </w:r>
      <w:r>
        <w:rPr>
          <w:sz w:val="25"/>
        </w:rPr>
        <w:t xml:space="preserve"> </w:t>
      </w:r>
      <w:r>
        <w:rPr>
          <w:sz w:val="25"/>
        </w:rPr>
        <w:t xml:space="preserve">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p>
    <w:bookmarkEnd w:id="95"/>
    <w:bookmarkStart w:id="96" w:name="X5bff64c3c3a26e5e158972a6291c1c524f666df"/>
    <w:p>
      <w:pPr>
        <w:pStyle w:val="Heading3"/>
      </w:pPr>
      <w:r>
        <w:rPr>
          <w:b/>
          <w:color w:val="3F827B"/>
          <w:sz w:val="29"/>
        </w:rPr>
        <w:t xml:space="preserve">ISO 9001/14001 Integrated Management System</w:t>
      </w:r>
      <w:r>
        <w:rPr>
          <w:b/>
          <w:color w:val="3F827B"/>
          <w:sz w:val="29"/>
        </w:rPr>
        <w:t xml:space="preserve"> </w:t>
      </w:r>
      <w:r>
        <w:rPr>
          <w:iCs/>
          <w:b/>
          <w:i/>
          <w:color w:val="3F827B"/>
          <w:sz w:val="29"/>
        </w:rPr>
        <w:t xml:space="preserve">(archetype: QMS — E2E-IMS)</w:t>
      </w:r>
    </w:p>
    <w:p>
      <w:pPr>
        <w:pStyle w:val="FirstParagraph"/>
      </w:pPr>
      <w:r>
        <w:rPr>
          <w:sz w:val="25"/>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w:t>
      </w:r>
      <w:r>
        <w:rPr>
          <w:sz w:val="25"/>
        </w:rPr>
        <w:t xml:space="preserve"> </w:t>
      </w:r>
      <w:r>
        <w:rPr>
          <w:bCs/>
          <w:b/>
          <w:sz w:val="25"/>
        </w:rPr>
        <w:t xml:space="preserve">ALT-010 (Guiding Coalition Gap)</w:t>
      </w:r>
      <w:r>
        <w:rPr>
          <w:sz w:val="25"/>
        </w:rPr>
        <w:t xml:space="preserve"> </w:t>
      </w:r>
      <w:r>
        <w:rPr>
          <w:sz w:val="25"/>
        </w:rPr>
        <w:t xml:space="preserve">once the Sponsor &amp; Coalition record (M7) shows fewer than two named coalition members.</w:t>
      </w:r>
    </w:p>
    <w:p>
      <w:pPr>
        <w:pStyle w:val="BodyText"/>
      </w:pPr>
      <w:r>
        <w:rPr>
          <w:bCs/>
          <w:b/>
          <w:sz w:val="25"/>
        </w:rPr>
        <w:t xml:space="preserve">Milestones:</w:t>
      </w:r>
      <w:r>
        <w:rPr>
          <w:sz w:val="25"/>
        </w:rPr>
        <w:t xml:space="preserve"> </w:t>
      </w:r>
      <w:r>
        <w:rPr>
          <w:sz w:val="25"/>
        </w:rPr>
        <w:t xml:space="preserve">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p>
    <w:bookmarkEnd w:id="96"/>
    <w:bookmarkStart w:id="97" w:name="X58b69ff03d5e781d9ee9b64dcd60096cf2e421f"/>
    <w:p>
      <w:pPr>
        <w:pStyle w:val="Heading3"/>
      </w:pPr>
      <w:r>
        <w:rPr>
          <w:b/>
          <w:color w:val="3F827B"/>
          <w:sz w:val="29"/>
        </w:rPr>
        <w:t xml:space="preserve">One Bouregreg: Post-Acquisition Culture Integration</w:t>
      </w:r>
      <w:r>
        <w:rPr>
          <w:b/>
          <w:color w:val="3F827B"/>
          <w:sz w:val="29"/>
        </w:rPr>
        <w:t xml:space="preserve"> </w:t>
      </w:r>
      <w:r>
        <w:rPr>
          <w:iCs/>
          <w:b/>
          <w:i/>
          <w:color w:val="3F827B"/>
          <w:sz w:val="29"/>
        </w:rPr>
        <w:t xml:space="preserve">(archetype: Cultural — E2E-CULT)</w:t>
      </w:r>
    </w:p>
    <w:p>
      <w:pPr>
        <w:pStyle w:val="FirstParagraph"/>
      </w:pPr>
      <w:r>
        <w:rPr>
          <w:sz w:val="25"/>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w:t>
      </w:r>
      <w:r>
        <w:rPr>
          <w:sz w:val="25"/>
        </w:rPr>
        <w:t xml:space="preserve"> </w:t>
      </w:r>
      <w:r>
        <w:rPr>
          <w:bCs/>
          <w:b/>
          <w:sz w:val="25"/>
        </w:rPr>
        <w:t xml:space="preserve">ALT-003 (Sponsor Coverage Gap)</w:t>
      </w:r>
      <w:r>
        <w:rPr>
          <w:sz w:val="25"/>
        </w:rPr>
        <w:t xml:space="preserve"> </w:t>
      </w:r>
      <w:r>
        <w:rPr>
          <w:sz w:val="25"/>
        </w:rPr>
        <w:t xml:space="preserve">in the program’s early weeks, before that Sponsor’s first town hall is logged.</w:t>
      </w:r>
    </w:p>
    <w:p>
      <w:pPr>
        <w:pStyle w:val="BodyText"/>
      </w:pPr>
      <w:r>
        <w:rPr>
          <w:bCs/>
          <w:b/>
          <w:sz w:val="25"/>
        </w:rPr>
        <w:t xml:space="preserve">Milestones:</w:t>
      </w:r>
      <w:r>
        <w:rPr>
          <w:sz w:val="25"/>
        </w:rPr>
        <w:t xml:space="preserve"> </w:t>
      </w:r>
      <w:r>
        <w:rPr>
          <w:sz w:val="25"/>
        </w:rPr>
        <w:t xml:space="preserve">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p>
    <w:bookmarkEnd w:id="97"/>
    <w:bookmarkStart w:id="98" w:name="Xd1da5f2b710a482859daf2c6bd05f400afab0a6"/>
    <w:p>
      <w:pPr>
        <w:pStyle w:val="Heading3"/>
      </w:pPr>
      <w:r>
        <w:rPr>
          <w:b/>
          <w:color w:val="3F827B"/>
          <w:sz w:val="29"/>
        </w:rPr>
        <w:t xml:space="preserve">Regional Operating Model Redesign</w:t>
      </w:r>
      <w:r>
        <w:rPr>
          <w:b/>
          <w:color w:val="3F827B"/>
          <w:sz w:val="29"/>
        </w:rPr>
        <w:t xml:space="preserve"> </w:t>
      </w:r>
      <w:r>
        <w:rPr>
          <w:iCs/>
          <w:b/>
          <w:i/>
          <w:color w:val="3F827B"/>
          <w:sz w:val="29"/>
        </w:rPr>
        <w:t xml:space="preserve">(archetype: Operating Model — E2E-OM)</w:t>
      </w:r>
    </w:p>
    <w:p>
      <w:pPr>
        <w:pStyle w:val="FirstParagraph"/>
      </w:pPr>
      <w:r>
        <w:rPr>
          <w:sz w:val="25"/>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w:t>
      </w:r>
      <w:r>
        <w:rPr>
          <w:sz w:val="25"/>
        </w:rPr>
        <w:t xml:space="preserve"> </w:t>
      </w:r>
      <w:r>
        <w:rPr>
          <w:bCs/>
          <w:b/>
          <w:sz w:val="25"/>
        </w:rPr>
        <w:t xml:space="preserve">ALT-002 (Regression Risk Score Critical)</w:t>
      </w:r>
      <w:r>
        <w:rPr>
          <w:sz w:val="25"/>
        </w:rPr>
        <w:t xml:space="preserve"> </w:t>
      </w:r>
      <w:r>
        <w:rPr>
          <w:sz w:val="25"/>
        </w:rPr>
        <w:t xml:space="preserve">at that checkpoint, and consequently</w:t>
      </w:r>
      <w:r>
        <w:rPr>
          <w:sz w:val="25"/>
        </w:rPr>
        <w:t xml:space="preserve"> </w:t>
      </w:r>
      <w:r>
        <w:rPr>
          <w:bCs/>
          <w:b/>
          <w:sz w:val="25"/>
        </w:rPr>
        <w:t xml:space="preserve">ALT-015 (Sustainment Sign-Off Blocked)</w:t>
      </w:r>
      <w:r>
        <w:rPr>
          <w:sz w:val="25"/>
        </w:rPr>
        <w:t xml:space="preserve"> </w:t>
      </w:r>
      <w:r>
        <w:rPr>
          <w:sz w:val="25"/>
        </w:rPr>
        <w:t xml:space="preserve">until the regression is resolved and a clean checkpoint follows.</w:t>
      </w:r>
    </w:p>
    <w:p>
      <w:pPr>
        <w:pStyle w:val="BodyText"/>
      </w:pPr>
      <w:r>
        <w:rPr>
          <w:bCs/>
          <w:b/>
          <w:sz w:val="25"/>
        </w:rPr>
        <w:t xml:space="preserve">Milestones:</w:t>
      </w:r>
      <w:r>
        <w:rPr>
          <w:sz w:val="25"/>
        </w:rPr>
        <w:t xml:space="preserve"> </w:t>
      </w:r>
      <w:r>
        <w:rPr>
          <w:sz w:val="25"/>
        </w:rPr>
        <w:t xml:space="preserve">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p>
    <w:bookmarkEnd w:id="98"/>
    <w:bookmarkStart w:id="99" w:name="Xbdad89381d253d0349901a77aa9f9d33db0c4d7"/>
    <w:p>
      <w:pPr>
        <w:pStyle w:val="Heading3"/>
      </w:pPr>
      <w:r>
        <w:rPr>
          <w:b/>
          <w:color w:val="3F827B"/>
          <w:sz w:val="29"/>
        </w:rPr>
        <w:t xml:space="preserve">Loi 09-08 Data Protection Compliance Program</w:t>
      </w:r>
      <w:r>
        <w:rPr>
          <w:b/>
          <w:color w:val="3F827B"/>
          <w:sz w:val="29"/>
        </w:rPr>
        <w:t xml:space="preserve"> </w:t>
      </w:r>
      <w:r>
        <w:rPr>
          <w:iCs/>
          <w:b/>
          <w:i/>
          <w:color w:val="3F827B"/>
          <w:sz w:val="29"/>
        </w:rPr>
        <w:t xml:space="preserve">(archetype: Compliance — E2E-COMP)</w:t>
      </w:r>
    </w:p>
    <w:p>
      <w:pPr>
        <w:pStyle w:val="FirstParagraph"/>
      </w:pPr>
      <w:r>
        <w:rPr>
          <w:sz w:val="25"/>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w:t>
      </w:r>
      <w:r>
        <w:rPr>
          <w:sz w:val="25"/>
        </w:rPr>
        <w:t xml:space="preserve"> </w:t>
      </w:r>
      <w:r>
        <w:rPr>
          <w:bCs/>
          <w:b/>
          <w:sz w:val="25"/>
        </w:rPr>
        <w:t xml:space="preserve">ALT-009</w:t>
      </w:r>
      <w:r>
        <w:rPr>
          <w:sz w:val="25"/>
        </w:rPr>
        <w:t xml:space="preserve"> </w:t>
      </w:r>
      <w:r>
        <w:rPr>
          <w:sz w:val="25"/>
        </w:rPr>
        <w:t xml:space="preserve">matters most here even when it does not fire.</w:t>
      </w:r>
    </w:p>
    <w:p>
      <w:pPr>
        <w:pStyle w:val="BodyText"/>
      </w:pPr>
      <w:r>
        <w:rPr>
          <w:bCs/>
          <w:b/>
          <w:sz w:val="25"/>
        </w:rPr>
        <w:t xml:space="preserve">Milestones:</w:t>
      </w:r>
      <w:r>
        <w:rPr>
          <w:sz w:val="25"/>
        </w:rPr>
        <w:t xml:space="preserve"> </w:t>
      </w:r>
      <w:r>
        <w:rPr>
          <w:sz w:val="25"/>
        </w:rPr>
        <w:t xml:space="preserve">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p>
    <w:bookmarkEnd w:id="99"/>
    <w:bookmarkStart w:id="100" w:name="Xd2703e5f97ca8b66b1a6308b2a70c5ae7e2b0e8"/>
    <w:p>
      <w:pPr>
        <w:pStyle w:val="Heading3"/>
      </w:pPr>
      <w:r>
        <w:rPr>
          <w:b/>
          <w:color w:val="3F827B"/>
          <w:sz w:val="29"/>
        </w:rPr>
        <w:t xml:space="preserve">Plant Digital Skills Upskilling Program</w:t>
      </w:r>
      <w:r>
        <w:rPr>
          <w:b/>
          <w:color w:val="3F827B"/>
          <w:sz w:val="29"/>
        </w:rPr>
        <w:t xml:space="preserve"> </w:t>
      </w:r>
      <w:r>
        <w:rPr>
          <w:iCs/>
          <w:b/>
          <w:i/>
          <w:color w:val="3F827B"/>
          <w:sz w:val="29"/>
        </w:rPr>
        <w:t xml:space="preserve">(archetype: Training &amp; Skills Development — E2E-TSD)</w:t>
      </w:r>
    </w:p>
    <w:p>
      <w:pPr>
        <w:pStyle w:val="FirstParagraph"/>
      </w:pPr>
      <w:r>
        <w:rPr>
          <w:sz w:val="25"/>
        </w:rPr>
        <w:t xml:space="preserve">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pPr>
      <w:r>
        <w:rPr>
          <w:bCs/>
          <w:b/>
          <w:sz w:val="25"/>
        </w:rPr>
        <w:t xml:space="preserve">Milestones:</w:t>
      </w:r>
      <w:r>
        <w:rPr>
          <w:sz w:val="25"/>
        </w:rPr>
        <w:t xml:space="preserve"> </w:t>
      </w:r>
      <w:r>
        <w:rPr>
          <w:sz w:val="25"/>
        </w:rPr>
        <w:t xml:space="preserve">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p>
    <w:bookmarkEnd w:id="100"/>
    <w:bookmarkStart w:id="101" w:name="Xbac664706ee9184f4e0881521cc2cb67c743150"/>
    <w:p>
      <w:pPr>
        <w:pStyle w:val="Heading3"/>
      </w:pPr>
      <w:r>
        <w:rPr>
          <w:b/>
          <w:color w:val="3F827B"/>
          <w:sz w:val="29"/>
        </w:rPr>
        <w:t xml:space="preserve">Settat Plant Consolidation &amp; Workforce Restructuring</w:t>
      </w:r>
      <w:r>
        <w:rPr>
          <w:b/>
          <w:color w:val="3F827B"/>
          <w:sz w:val="29"/>
        </w:rPr>
        <w:t xml:space="preserve"> </w:t>
      </w:r>
      <w:r>
        <w:rPr>
          <w:iCs/>
          <w:b/>
          <w:i/>
          <w:color w:val="3F827B"/>
          <w:sz w:val="29"/>
        </w:rPr>
        <w:t xml:space="preserve">(archetype: Restructuring — no dedicated E2E lifecycle)</w:t>
      </w:r>
    </w:p>
    <w:p>
      <w:pPr>
        <w:pStyle w:val="FirstParagraph"/>
      </w:pPr>
      <w:r>
        <w:rPr>
          <w:sz w:val="25"/>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w:t>
      </w:r>
      <w:r>
        <w:rPr>
          <w:sz w:val="25"/>
        </w:rPr>
        <w:t xml:space="preserve"> </w:t>
      </w:r>
      <w:r>
        <w:rPr>
          <w:bCs/>
          <w:b/>
          <w:sz w:val="25"/>
        </w:rPr>
        <w:t xml:space="preserve">ALT-004</w:t>
      </w:r>
      <w:r>
        <w:rPr>
          <w:sz w:val="25"/>
        </w:rPr>
        <w:t xml:space="preserve"> </w:t>
      </w:r>
      <w:r>
        <w:rPr>
          <w:sz w:val="25"/>
        </w:rPr>
        <w:t xml:space="preserve">firing in this Organization.</w:t>
      </w:r>
    </w:p>
    <w:p>
      <w:pPr>
        <w:pStyle w:val="BodyText"/>
      </w:pPr>
      <w:r>
        <w:rPr>
          <w:bCs/>
          <w:b/>
          <w:sz w:val="25"/>
        </w:rPr>
        <w:t xml:space="preserve">Milestones:</w:t>
      </w:r>
      <w:r>
        <w:rPr>
          <w:sz w:val="25"/>
        </w:rPr>
        <w:t xml:space="preserve"> </w:t>
      </w:r>
      <w:r>
        <w:rPr>
          <w:sz w:val="25"/>
        </w:rPr>
        <w:t xml:space="preserve">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p>
    <w:bookmarkEnd w:id="101"/>
    <w:bookmarkStart w:id="102" w:name="what-the-portfolio-view-shows"/>
    <w:p>
      <w:pPr>
        <w:pStyle w:val="Heading3"/>
      </w:pPr>
      <w:r>
        <w:rPr>
          <w:b/>
          <w:color w:val="3F827B"/>
          <w:sz w:val="29"/>
        </w:rPr>
        <w:t xml:space="preserve">What the portfolio view shows</w:t>
      </w:r>
    </w:p>
    <w:p>
      <w:pPr>
        <w:pStyle w:val="FirstParagraph"/>
      </w:pPr>
      <w:r>
        <w:rPr>
          <w:sz w:val="25"/>
        </w:rPr>
        <w:t xml:space="preserve">With nine Change Management Projects now running under one Organization, two alerts become visible that no single project could trigger alone:</w:t>
      </w:r>
    </w:p>
    <w:p>
      <w:pPr>
        <w:numPr>
          <w:ilvl w:val="0"/>
          <w:numId w:val="1020"/>
        </w:numPr>
        <w:pStyle w:val="Compact"/>
      </w:pPr>
      <w:r>
        <w:rPr>
          <w:bCs/>
          <w:b/>
          <w:sz w:val="25"/>
        </w:rPr>
        <w:t xml:space="preserve">ALT-008 (Change Saturation Threshold Breached)</w:t>
      </w:r>
      <w:r>
        <w:rPr>
          <w:sz w:val="25"/>
        </w:rPr>
        <w:t xml:space="preserve"> </w:t>
      </w:r>
      <w:r>
        <w:rPr>
          <w:sz w:val="25"/>
        </w:rPr>
        <w:t xml:space="preserve">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numPr>
          <w:ilvl w:val="0"/>
          <w:numId w:val="1020"/>
        </w:numPr>
        <w:pStyle w:val="Compact"/>
      </w:pPr>
      <w:r>
        <w:rPr>
          <w:bCs/>
          <w:b/>
          <w:sz w:val="25"/>
        </w:rPr>
        <w:t xml:space="preserve">ALT-011 (Communication Overload Detected)</w:t>
      </w:r>
      <w:r>
        <w:rPr>
          <w:sz w:val="25"/>
        </w:rPr>
        <w:t xml:space="preserve"> </w:t>
      </w:r>
      <w:r>
        <w:rPr>
          <w:sz w:val="25"/>
        </w:rPr>
        <w:t xml:space="preserve">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pPr>
      <w:r>
        <w:rPr>
          <w:sz w:val="25"/>
        </w:rPr>
        <w:t xml:space="preserve">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pPr>
      <w:r>
        <w:rPr>
          <w:sz w:val="25"/>
        </w:rPr>
        <w:t xml:space="preserve">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r>
        <w:rPr>
          <w:sz w:val="25"/>
        </w:rPr>
        <w:pict>
          <v:rect style="width:0;height:1.5pt" o:hralign="center" o:hrstd="t" o:hr="t"/>
        </w:pict>
      </w:r>
    </w:p>
    <w:p>
      <w:r>
        <w:rPr>
          <w:sz w:val="25"/>
        </w:rPr>
        <w:pict>
          <v:rect style="width:0;height:1.5pt" o:hralign="center" o:hrstd="t" o:hr="t"/>
        </w:pict>
      </w:r>
    </w:p>
    <w:p>
      <w:pPr>
        <w:pStyle w:val="FirstParagraph"/>
      </w:pPr>
    </w:p>
    <w:bookmarkEnd w:id="102"/>
    <w:bookmarkEnd w:id="103"/>
    <w:bookmarkStart w:id="110" w:name="part-5-alerts-and-analytics-reference"/>
    <w:p>
      <w:pPr>
        <w:pStyle w:val="Heading2"/>
      </w:pPr>
      <w:r>
        <w:rPr>
          <w:b/>
          <w:color w:val="275650"/>
          <w:sz w:val="34"/>
        </w:rPr>
        <w:t xml:space="preserve">Part 5 — Alerts and Analytics Reference</w:t>
      </w:r>
    </w:p>
    <w:bookmarkStart w:id="104" w:name="how-alerts-work-in-journi"/>
    <w:p>
      <w:pPr>
        <w:pStyle w:val="Heading3"/>
      </w:pPr>
      <w:r>
        <w:rPr>
          <w:b/>
          <w:color w:val="3F827B"/>
          <w:sz w:val="29"/>
        </w:rPr>
        <w:t xml:space="preserve">5.1 How alerts work in journi</w:t>
      </w:r>
    </w:p>
    <w:p>
      <w:pPr>
        <w:pStyle w:val="FirstParagraph"/>
      </w:pPr>
      <w:r>
        <w:rPr>
          <w:sz w:val="25"/>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w:t>
      </w:r>
      <w:r>
        <w:rPr>
          <w:sz w:val="25"/>
        </w:rPr>
        <w:t xml:space="preserve"> </w:t>
      </w:r>
      <w:r>
        <w:rPr>
          <w:bCs/>
          <w:b/>
          <w:sz w:val="25"/>
        </w:rPr>
        <w:t xml:space="preserve">9 have a condition directly computable from data already in journi’s client-side model, and are live</w:t>
      </w:r>
      <w:r>
        <w:rPr>
          <w:sz w:val="25"/>
        </w:rPr>
        <w:t xml:space="preserve"> </w:t>
      </w:r>
      <w:r>
        <w:rPr>
          <w:sz w:val="25"/>
        </w:rPr>
        <w:t xml:space="preserve">—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p>
    <w:bookmarkEnd w:id="104"/>
    <w:bookmarkStart w:id="105" w:name="the-9-live-alerts"/>
    <w:p>
      <w:pPr>
        <w:pStyle w:val="Heading3"/>
      </w:pPr>
      <w:r>
        <w:rPr>
          <w:b/>
          <w:color w:val="3F827B"/>
          <w:sz w:val="29"/>
        </w:rPr>
        <w:t xml:space="preserve">5.2 The 9 live alerts</w:t>
      </w:r>
    </w:p>
    <w:tbl>
      <w:tblPr>
        <w:tblStyle w:val="Table"/>
        <w:tblW w:type="pct" w:w="5000"/>
        <w:jc w:val="center"/>
        <w:tblLayout w:type="fixed"/>
        <w:tblLook w:firstRow="1" w:lastRow="0" w:firstColumn="0" w:lastColumn="0" w:noHBand="0" w:noVBand="0" w:val="0020"/>
      </w:tblPr>
      <w:tblGrid>
        <w:gridCol w:w="600760"/>
        <w:gridCol w:w="1001268"/>
        <w:gridCol w:w="534009"/>
        <w:gridCol w:w="2536545"/>
        <w:gridCol w:w="1001268"/>
        <w:gridCol w:w="1001268"/>
      </w:tblGrid>
      <w:tr>
        <w:trPr>
          <w:tblHeader w:val="true"/>
          <w:cantSplit/>
        </w:trPr>
        <w:tc>
          <w:tcPr>
            <w:tcW w:type="dxa" w:w="946"/>
            <w:shd w:val="clear" w:fill="1F4B45"/>
          </w:tcPr>
          <w:p>
            <w:pPr>
              <w:pStyle w:val="Compact"/>
              <w:jc w:val="left"/>
            </w:pPr>
            <w:r>
              <w:rPr>
                <w:b/>
                <w:color w:val="FFFFFF"/>
                <w:sz w:val="22"/>
              </w:rPr>
              <w:t xml:space="preserve">ID</w:t>
            </w:r>
          </w:p>
        </w:tc>
        <w:tc>
          <w:tcPr>
            <w:tcW w:type="dxa" w:w="1576"/>
            <w:shd w:val="clear" w:fill="1F4B45"/>
          </w:tcPr>
          <w:p>
            <w:pPr>
              <w:pStyle w:val="Compact"/>
              <w:jc w:val="left"/>
            </w:pPr>
            <w:r>
              <w:rPr>
                <w:b/>
                <w:color w:val="FFFFFF"/>
                <w:sz w:val="22"/>
              </w:rPr>
              <w:t xml:space="preserve">Name</w:t>
            </w:r>
          </w:p>
        </w:tc>
        <w:tc>
          <w:tcPr>
            <w:tcW w:type="dxa" w:w="840"/>
            <w:shd w:val="clear" w:fill="1F4B45"/>
          </w:tcPr>
          <w:p>
            <w:pPr>
              <w:pStyle w:val="Compact"/>
              <w:jc w:val="left"/>
            </w:pPr>
            <w:r>
              <w:rPr>
                <w:b/>
                <w:color w:val="FFFFFF"/>
                <w:sz w:val="22"/>
              </w:rPr>
              <w:t xml:space="preserve">Severity</w:t>
            </w:r>
          </w:p>
        </w:tc>
        <w:tc>
          <w:tcPr>
            <w:tcW w:type="dxa" w:w="3994"/>
            <w:shd w:val="clear" w:fill="1F4B45"/>
          </w:tcPr>
          <w:p>
            <w:pPr>
              <w:pStyle w:val="Compact"/>
              <w:jc w:val="left"/>
            </w:pPr>
            <w:r>
              <w:rPr>
                <w:b/>
                <w:color w:val="FFFFFF"/>
                <w:sz w:val="22"/>
              </w:rPr>
              <w:t xml:space="preserve">Trigger condition (as actually computed)</w:t>
            </w:r>
          </w:p>
        </w:tc>
        <w:tc>
          <w:tcPr>
            <w:tcW w:type="dxa" w:w="1576"/>
            <w:shd w:val="clear" w:fill="1F4B45"/>
          </w:tcPr>
          <w:p>
            <w:pPr>
              <w:pStyle w:val="Compact"/>
              <w:jc w:val="left"/>
            </w:pPr>
            <w:r>
              <w:rPr>
                <w:b/>
                <w:color w:val="FFFFFF"/>
                <w:sz w:val="22"/>
              </w:rPr>
              <w:t xml:space="preserve">Escalation</w:t>
            </w:r>
          </w:p>
        </w:tc>
        <w:tc>
          <w:tcPr>
            <w:tcW w:type="dxa" w:w="1576"/>
            <w:shd w:val="clear" w:fill="1F4B45"/>
          </w:tcPr>
          <w:p>
            <w:pPr>
              <w:pStyle w:val="Compact"/>
              <w:jc w:val="left"/>
            </w:pPr>
            <w:r>
              <w:rPr>
                <w:b/>
                <w:color w:val="FFFFFF"/>
                <w:sz w:val="22"/>
              </w:rPr>
              <w:t xml:space="preserve">SLA</w:t>
            </w:r>
          </w:p>
        </w:tc>
      </w:tr>
      <w:tr>
        <w:trPr>
          <w:cantSplit/>
        </w:trPr>
        <w:tc>
          <w:tcPr>
            <w:tcW w:type="dxa" w:w="946"/>
          </w:tcPr>
          <w:p>
            <w:pPr>
              <w:pStyle w:val="Compact"/>
              <w:jc w:val="left"/>
            </w:pPr>
            <w:r>
              <w:rPr>
                <w:sz w:val="22"/>
              </w:rPr>
              <w:t xml:space="preserve">ALT-001</w:t>
            </w:r>
          </w:p>
        </w:tc>
        <w:tc>
          <w:tcPr>
            <w:tcW w:type="dxa" w:w="1576"/>
          </w:tcPr>
          <w:p>
            <w:pPr>
              <w:pStyle w:val="Compact"/>
              <w:jc w:val="left"/>
            </w:pPr>
            <w:r>
              <w:rPr>
                <w:sz w:val="22"/>
              </w:rPr>
              <w:t xml:space="preserve">Divergence Pattern Detected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Knowledge ≥ 4</w:t>
            </w:r>
            <w:r>
              <w:rPr>
                <w:sz w:val="22"/>
              </w:rPr>
              <w:t xml:space="preserve"> </w:t>
            </w:r>
            <w:r>
              <w:rPr>
                <w:bCs/>
                <w:b/>
                <w:sz w:val="22"/>
              </w:rPr>
              <w:t xml:space="preserve">and</w:t>
            </w:r>
            <w:r>
              <w:rPr>
                <w:sz w:val="22"/>
              </w:rPr>
              <w:t xml:space="preserve"> </w:t>
            </w:r>
            <w:r>
              <w:rPr>
                <w:sz w:val="22"/>
              </w:rPr>
              <w:t xml:space="preserve">Ability ≥ 4 on M5, while Bridges reads exactly</w:t>
            </w:r>
            <w:r>
              <w:rPr>
                <w:sz w:val="22"/>
              </w:rPr>
              <w:t xml:space="preserve"> </w:t>
            </w:r>
            <w:r>
              <w:rPr>
                <w:sz w:val="22"/>
              </w:rPr>
              <w:t xml:space="preserve">“</w:t>
            </w:r>
            <w:r>
              <w:rPr>
                <w:sz w:val="22"/>
              </w:rPr>
              <w:t xml:space="preserve">Ending</w:t>
            </w:r>
            <w:r>
              <w:rPr>
                <w:sz w:val="22"/>
              </w:rPr>
              <w:t xml:space="preserve">”</w:t>
            </w:r>
            <w:r>
              <w:rPr>
                <w:sz w:val="22"/>
              </w:rPr>
              <w:t xml:space="preserve"> </w:t>
            </w:r>
            <w:r>
              <w:rPr>
                <w:sz w:val="22"/>
              </w:rPr>
              <w:t xml:space="preserve">on M6, for the same cohort</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48h</w:t>
            </w:r>
          </w:p>
        </w:tc>
      </w:tr>
      <w:tr>
        <w:trPr>
          <w:cantSplit/>
        </w:trPr>
        <w:tc>
          <w:tcPr>
            <w:tcW w:type="dxa" w:w="946"/>
          </w:tcPr>
          <w:p>
            <w:pPr>
              <w:pStyle w:val="Compact"/>
              <w:jc w:val="left"/>
            </w:pPr>
            <w:r>
              <w:rPr>
                <w:sz w:val="22"/>
              </w:rPr>
              <w:t xml:space="preserve">ALT-002</w:t>
            </w:r>
          </w:p>
        </w:tc>
        <w:tc>
          <w:tcPr>
            <w:tcW w:type="dxa" w:w="1576"/>
          </w:tcPr>
          <w:p>
            <w:pPr>
              <w:pStyle w:val="Compact"/>
              <w:jc w:val="left"/>
            </w:pPr>
            <w:r>
              <w:rPr>
                <w:sz w:val="22"/>
              </w:rPr>
              <w:t xml:space="preserve">Regression Risk Score Critical</w:t>
            </w:r>
          </w:p>
        </w:tc>
        <w:tc>
          <w:tcPr>
            <w:tcW w:type="dxa" w:w="840"/>
          </w:tcPr>
          <w:p>
            <w:pPr>
              <w:pStyle w:val="Compact"/>
              <w:jc w:val="left"/>
            </w:pPr>
            <w:r>
              <w:rPr>
                <w:sz w:val="22"/>
              </w:rPr>
              <w:t xml:space="preserve">Critical</w:t>
            </w:r>
          </w:p>
        </w:tc>
        <w:tc>
          <w:tcPr>
            <w:tcW w:type="dxa" w:w="3994"/>
          </w:tcPr>
          <w:p>
            <w:pPr>
              <w:pStyle w:val="Compact"/>
              <w:jc w:val="left"/>
            </w:pPr>
            <w:r>
              <w:rPr>
                <w:sz w:val="22"/>
              </w:rPr>
              <w:t xml:space="preserve">A sustainment checkpoint on M12 is marked complete with regression risk logged as High</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24h</w:t>
            </w:r>
          </w:p>
        </w:tc>
      </w:tr>
      <w:tr>
        <w:trPr>
          <w:cantSplit/>
        </w:trPr>
        <w:tc>
          <w:tcPr>
            <w:tcW w:type="dxa" w:w="946"/>
          </w:tcPr>
          <w:p>
            <w:pPr>
              <w:pStyle w:val="Compact"/>
              <w:jc w:val="left"/>
            </w:pPr>
            <w:r>
              <w:rPr>
                <w:sz w:val="22"/>
              </w:rPr>
              <w:t xml:space="preserve">ALT-003</w:t>
            </w:r>
          </w:p>
        </w:tc>
        <w:tc>
          <w:tcPr>
            <w:tcW w:type="dxa" w:w="1576"/>
          </w:tcPr>
          <w:p>
            <w:pPr>
              <w:pStyle w:val="Compact"/>
              <w:jc w:val="left"/>
            </w:pPr>
            <w:r>
              <w:rPr>
                <w:sz w:val="22"/>
              </w:rPr>
              <w:t xml:space="preserve">Sponsor Coverage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Sponsor visibility on M7 is logged as</w:t>
            </w:r>
            <w:r>
              <w:rPr>
                <w:sz w:val="22"/>
              </w:rPr>
              <w:t xml:space="preserve"> </w:t>
            </w:r>
            <w:r>
              <w:rPr>
                <w:sz w:val="22"/>
              </w:rPr>
              <w:t xml:space="preserve">“</w:t>
            </w:r>
            <w:r>
              <w:rPr>
                <w:sz w:val="22"/>
              </w:rPr>
              <w:t xml:space="preserve">weak</w:t>
            </w:r>
            <w:r>
              <w:rPr>
                <w:sz w:val="22"/>
              </w:rPr>
              <w:t xml:space="preserve">”</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Acknowledge within 5 business days</w:t>
            </w:r>
          </w:p>
        </w:tc>
      </w:tr>
      <w:tr>
        <w:trPr>
          <w:cantSplit/>
        </w:trPr>
        <w:tc>
          <w:tcPr>
            <w:tcW w:type="dxa" w:w="946"/>
          </w:tcPr>
          <w:p>
            <w:pPr>
              <w:pStyle w:val="Compact"/>
              <w:jc w:val="left"/>
            </w:pPr>
            <w:r>
              <w:rPr>
                <w:sz w:val="22"/>
              </w:rPr>
              <w:t xml:space="preserve">ALT-004</w:t>
            </w:r>
          </w:p>
        </w:tc>
        <w:tc>
          <w:tcPr>
            <w:tcW w:type="dxa" w:w="1576"/>
          </w:tcPr>
          <w:p>
            <w:pPr>
              <w:pStyle w:val="Compact"/>
              <w:jc w:val="left"/>
            </w:pPr>
            <w:r>
              <w:rPr>
                <w:sz w:val="22"/>
              </w:rPr>
              <w:t xml:space="preserve">Resistance Escalation Threshold Breached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3 or more open (non-closed) entries in the Resistance Log on M10</w:t>
            </w:r>
          </w:p>
        </w:tc>
        <w:tc>
          <w:tcPr>
            <w:tcW w:type="dxa" w:w="1576"/>
          </w:tcPr>
          <w:p>
            <w:pPr>
              <w:pStyle w:val="Compact"/>
              <w:jc w:val="left"/>
            </w:pPr>
            <w:r>
              <w:rPr>
                <w:sz w:val="22"/>
              </w:rPr>
              <w:t xml:space="preserve">L2 — Steering Committee</w:t>
            </w:r>
          </w:p>
        </w:tc>
        <w:tc>
          <w:tcPr>
            <w:tcW w:type="dxa" w:w="1576"/>
          </w:tcPr>
          <w:p>
            <w:pPr>
              <w:pStyle w:val="Compact"/>
              <w:jc w:val="left"/>
            </w:pPr>
            <w:r>
              <w:rPr>
                <w:sz w:val="22"/>
              </w:rPr>
              <w:t xml:space="preserve">Acknowledge within 3 business days</w:t>
            </w:r>
          </w:p>
        </w:tc>
      </w:tr>
      <w:tr>
        <w:trPr>
          <w:cantSplit/>
        </w:trPr>
        <w:tc>
          <w:tcPr>
            <w:tcW w:type="dxa" w:w="946"/>
          </w:tcPr>
          <w:p>
            <w:pPr>
              <w:pStyle w:val="Compact"/>
              <w:jc w:val="left"/>
            </w:pPr>
            <w:r>
              <w:rPr>
                <w:sz w:val="22"/>
              </w:rPr>
              <w:t xml:space="preserve">ALT-008</w:t>
            </w:r>
          </w:p>
        </w:tc>
        <w:tc>
          <w:tcPr>
            <w:tcW w:type="dxa" w:w="1576"/>
          </w:tcPr>
          <w:p>
            <w:pPr>
              <w:pStyle w:val="Compact"/>
              <w:jc w:val="left"/>
            </w:pPr>
            <w:r>
              <w:rPr>
                <w:sz w:val="22"/>
              </w:rPr>
              <w:t xml:space="preserve">Change Saturation Threshold Breached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A project’s population segment is targeted by 2 or more other concurrent CM Projects in the same Organization</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ALT-009</w:t>
            </w:r>
          </w:p>
        </w:tc>
        <w:tc>
          <w:tcPr>
            <w:tcW w:type="dxa" w:w="1576"/>
          </w:tcPr>
          <w:p>
            <w:pPr>
              <w:pStyle w:val="Compact"/>
              <w:jc w:val="left"/>
            </w:pPr>
            <w:r>
              <w:rPr>
                <w:sz w:val="22"/>
              </w:rPr>
              <w:t xml:space="preserve">Phase Gate No-Go / Conditional</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A Phase Gate on M17 records a Joint Decision other than a clean</w:t>
            </w:r>
            <w:r>
              <w:rPr>
                <w:sz w:val="22"/>
              </w:rPr>
              <w:t xml:space="preserve"> </w:t>
            </w:r>
            <w:r>
              <w:rPr>
                <w:sz w:val="22"/>
              </w:rPr>
              <w:t xml:space="preserve">“</w:t>
            </w:r>
            <w:r>
              <w:rPr>
                <w:sz w:val="22"/>
              </w:rPr>
              <w:t xml:space="preserve">Go</w:t>
            </w:r>
            <w:r>
              <w:rPr>
                <w:sz w:val="22"/>
              </w:rPr>
              <w:t xml:space="preserve">”</w:t>
            </w:r>
          </w:p>
        </w:tc>
        <w:tc>
          <w:tcPr>
            <w:tcW w:type="dxa" w:w="1576"/>
          </w:tcPr>
          <w:p>
            <w:pPr>
              <w:pStyle w:val="Compact"/>
              <w:jc w:val="left"/>
            </w:pPr>
            <w:r>
              <w:rPr>
                <w:sz w:val="22"/>
              </w:rPr>
              <w:t xml:space="preserve">L2 — Program/Project Manager</w:t>
            </w:r>
          </w:p>
        </w:tc>
        <w:tc>
          <w:tcPr>
            <w:tcW w:type="dxa" w:w="1576"/>
          </w:tcPr>
          <w:p>
            <w:pPr>
              <w:pStyle w:val="Compact"/>
              <w:jc w:val="left"/>
            </w:pPr>
            <w:r>
              <w:rPr>
                <w:sz w:val="22"/>
              </w:rPr>
              <w:t xml:space="preserve">Review within 3 business days</w:t>
            </w:r>
          </w:p>
        </w:tc>
      </w:tr>
      <w:tr>
        <w:trPr>
          <w:cantSplit/>
        </w:trPr>
        <w:tc>
          <w:tcPr>
            <w:tcW w:type="dxa" w:w="946"/>
          </w:tcPr>
          <w:p>
            <w:pPr>
              <w:pStyle w:val="Compact"/>
              <w:jc w:val="left"/>
            </w:pPr>
            <w:r>
              <w:rPr>
                <w:sz w:val="22"/>
              </w:rPr>
              <w:t xml:space="preserve">ALT-010</w:t>
            </w:r>
          </w:p>
        </w:tc>
        <w:tc>
          <w:tcPr>
            <w:tcW w:type="dxa" w:w="1576"/>
          </w:tcPr>
          <w:p>
            <w:pPr>
              <w:pStyle w:val="Compact"/>
              <w:jc w:val="left"/>
            </w:pPr>
            <w:r>
              <w:rPr>
                <w:sz w:val="22"/>
              </w:rPr>
              <w:t xml:space="preserve">Guiding Coalition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The Sponsor &amp; Coalition record on M7 names fewer than 2 coalition members</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ALT-011</w:t>
            </w:r>
          </w:p>
        </w:tc>
        <w:tc>
          <w:tcPr>
            <w:tcW w:type="dxa" w:w="1576"/>
          </w:tcPr>
          <w:p>
            <w:pPr>
              <w:pStyle w:val="Compact"/>
              <w:jc w:val="left"/>
            </w:pPr>
            <w:r>
              <w:rPr>
                <w:sz w:val="22"/>
              </w:rPr>
              <w:t xml:space="preserve">Communication Overload Detected</w:t>
            </w:r>
          </w:p>
        </w:tc>
        <w:tc>
          <w:tcPr>
            <w:tcW w:type="dxa" w:w="840"/>
          </w:tcPr>
          <w:p>
            <w:pPr>
              <w:pStyle w:val="Compact"/>
              <w:jc w:val="left"/>
            </w:pPr>
            <w:r>
              <w:rPr>
                <w:sz w:val="22"/>
              </w:rPr>
              <w:t xml:space="preserve">Low</w:t>
            </w:r>
          </w:p>
        </w:tc>
        <w:tc>
          <w:tcPr>
            <w:tcW w:type="dxa" w:w="3994"/>
          </w:tcPr>
          <w:p>
            <w:pPr>
              <w:pStyle w:val="Compact"/>
              <w:jc w:val="left"/>
            </w:pPr>
            <w:r>
              <w:rPr>
                <w:sz w:val="22"/>
              </w:rPr>
              <w:t xml:space="preserve">More than 3 not-yet-sent communications are queued for one population across this and other concurrent projects in the same Organization</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r>
        <w:trPr>
          <w:cantSplit/>
        </w:trPr>
        <w:tc>
          <w:tcPr>
            <w:tcW w:type="dxa" w:w="946"/>
          </w:tcPr>
          <w:p>
            <w:pPr>
              <w:pStyle w:val="Compact"/>
              <w:jc w:val="left"/>
            </w:pPr>
            <w:r>
              <w:rPr>
                <w:sz w:val="22"/>
              </w:rPr>
              <w:t xml:space="preserve">ALT-015</w:t>
            </w:r>
          </w:p>
        </w:tc>
        <w:tc>
          <w:tcPr>
            <w:tcW w:type="dxa" w:w="1576"/>
          </w:tcPr>
          <w:p>
            <w:pPr>
              <w:pStyle w:val="Compact"/>
              <w:jc w:val="left"/>
            </w:pPr>
            <w:r>
              <w:rPr>
                <w:sz w:val="22"/>
              </w:rPr>
              <w:t xml:space="preserve">Sustainment Sign-Off Blocked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Sign-off on M12 is not yet given, and a checkpoint carries a High regression-risk flag</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bl>
    <w:p>
      <w:pPr>
        <w:pStyle w:val="BodyText"/>
      </w:pPr>
      <w:r>
        <w:rPr>
          <w:sz w:val="25"/>
        </w:rPr>
        <w:t xml:space="preserve">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p>
    <w:bookmarkEnd w:id="105"/>
    <w:bookmarkStart w:id="106" w:name="the-7-catalogued-but-non-live-alerts"/>
    <w:p>
      <w:pPr>
        <w:pStyle w:val="Heading3"/>
      </w:pPr>
      <w:r>
        <w:rPr>
          <w:b/>
          <w:color w:val="3F827B"/>
          <w:sz w:val="29"/>
        </w:rPr>
        <w:t xml:space="preserve">5.3 The 7 catalogued but non-live alerts</w:t>
      </w:r>
    </w:p>
    <w:tbl>
      <w:tblPr>
        <w:tblStyle w:val="Table"/>
        <w:tblW w:type="pct" w:w="5000"/>
        <w:jc w:val="center"/>
        <w:tblLayout w:type="fixed"/>
        <w:tblLook w:firstRow="1" w:lastRow="0" w:firstColumn="0" w:lastColumn="0" w:noHBand="0" w:noVBand="0" w:val="0020"/>
      </w:tblPr>
      <w:tblGrid>
        <w:gridCol w:w="600760"/>
        <w:gridCol w:w="1869033"/>
        <w:gridCol w:w="4205325"/>
      </w:tblGrid>
      <w:tr>
        <w:trPr>
          <w:tblHeader w:val="true"/>
          <w:cantSplit/>
        </w:trPr>
        <w:tc>
          <w:tcPr>
            <w:tcW w:type="dxa" w:w="946"/>
            <w:shd w:val="clear" w:fill="1F4B45"/>
          </w:tcPr>
          <w:p>
            <w:pPr>
              <w:pStyle w:val="Compact"/>
              <w:jc w:val="left"/>
            </w:pPr>
            <w:r>
              <w:rPr>
                <w:b/>
                <w:color w:val="FFFFFF"/>
                <w:sz w:val="22"/>
              </w:rPr>
              <w:t xml:space="preserve">ID</w:t>
            </w:r>
          </w:p>
        </w:tc>
        <w:tc>
          <w:tcPr>
            <w:tcW w:type="dxa" w:w="2943"/>
            <w:shd w:val="clear" w:fill="1F4B45"/>
          </w:tcPr>
          <w:p>
            <w:pPr>
              <w:pStyle w:val="Compact"/>
              <w:jc w:val="left"/>
            </w:pPr>
            <w:r>
              <w:rPr>
                <w:b/>
                <w:color w:val="FFFFFF"/>
                <w:sz w:val="22"/>
              </w:rPr>
              <w:t xml:space="preserve">Name</w:t>
            </w:r>
          </w:p>
        </w:tc>
        <w:tc>
          <w:tcPr>
            <w:tcW w:type="dxa" w:w="6622"/>
            <w:shd w:val="clear" w:fill="1F4B45"/>
          </w:tcPr>
          <w:p>
            <w:pPr>
              <w:pStyle w:val="Compact"/>
              <w:jc w:val="left"/>
            </w:pPr>
            <w:r>
              <w:rPr>
                <w:b/>
                <w:color w:val="FFFFFF"/>
                <w:sz w:val="22"/>
              </w:rPr>
              <w:t xml:space="preserve">Why it never fires here</w:t>
            </w:r>
          </w:p>
        </w:tc>
      </w:tr>
      <w:tr>
        <w:trPr>
          <w:cantSplit/>
        </w:trPr>
        <w:tc>
          <w:tcPr>
            <w:tcW w:type="dxa" w:w="946"/>
          </w:tcPr>
          <w:p>
            <w:pPr>
              <w:pStyle w:val="Compact"/>
              <w:jc w:val="left"/>
            </w:pPr>
            <w:r>
              <w:rPr>
                <w:sz w:val="22"/>
              </w:rPr>
              <w:t xml:space="preserve">ALT-005</w:t>
            </w:r>
          </w:p>
        </w:tc>
        <w:tc>
          <w:tcPr>
            <w:tcW w:type="dxa" w:w="2943"/>
          </w:tcPr>
          <w:p>
            <w:pPr>
              <w:pStyle w:val="Compact"/>
              <w:jc w:val="left"/>
            </w:pPr>
            <w:r>
              <w:rPr>
                <w:sz w:val="22"/>
              </w:rPr>
              <w:t xml:space="preserve">Survey Exception Escalated to Admin</w:t>
            </w:r>
          </w:p>
        </w:tc>
        <w:tc>
          <w:tcPr>
            <w:tcW w:type="dxa" w:w="6622"/>
          </w:tcPr>
          <w:p>
            <w:pPr>
              <w:pStyle w:val="Compact"/>
              <w:jc w:val="left"/>
            </w:pPr>
            <w:r>
              <w:rPr>
                <w:sz w:val="22"/>
              </w:rPr>
              <w:t xml:space="preserve">Depends on a real backend to run and retry surveys</w:t>
            </w:r>
          </w:p>
        </w:tc>
      </w:tr>
      <w:tr>
        <w:trPr>
          <w:cantSplit/>
        </w:trPr>
        <w:tc>
          <w:tcPr>
            <w:tcW w:type="dxa" w:w="946"/>
          </w:tcPr>
          <w:p>
            <w:pPr>
              <w:pStyle w:val="Compact"/>
              <w:jc w:val="left"/>
            </w:pPr>
            <w:r>
              <w:rPr>
                <w:sz w:val="22"/>
              </w:rPr>
              <w:t xml:space="preserve">ALT-006</w:t>
            </w:r>
          </w:p>
        </w:tc>
        <w:tc>
          <w:tcPr>
            <w:tcW w:type="dxa" w:w="2943"/>
          </w:tcPr>
          <w:p>
            <w:pPr>
              <w:pStyle w:val="Compact"/>
              <w:jc w:val="left"/>
            </w:pPr>
            <w:r>
              <w:rPr>
                <w:sz w:val="22"/>
              </w:rPr>
              <w:t xml:space="preserve">Champion Coverage Below Target</w:t>
            </w:r>
          </w:p>
        </w:tc>
        <w:tc>
          <w:tcPr>
            <w:tcW w:type="dxa" w:w="6622"/>
          </w:tcPr>
          <w:p>
            <w:pPr>
              <w:pStyle w:val="Compact"/>
              <w:jc w:val="left"/>
            </w:pPr>
            <w:r>
              <w:rPr>
                <w:sz w:val="22"/>
              </w:rPr>
              <w:t xml:space="preserve">No governed Champion data entity exists to compute against — see 5.1</w:t>
            </w:r>
          </w:p>
        </w:tc>
      </w:tr>
      <w:tr>
        <w:trPr>
          <w:cantSplit/>
        </w:trPr>
        <w:tc>
          <w:tcPr>
            <w:tcW w:type="dxa" w:w="946"/>
          </w:tcPr>
          <w:p>
            <w:pPr>
              <w:pStyle w:val="Compact"/>
              <w:jc w:val="left"/>
            </w:pPr>
            <w:r>
              <w:rPr>
                <w:sz w:val="22"/>
              </w:rPr>
              <w:t xml:space="preserve">ALT-007</w:t>
            </w:r>
          </w:p>
        </w:tc>
        <w:tc>
          <w:tcPr>
            <w:tcW w:type="dxa" w:w="2943"/>
          </w:tcPr>
          <w:p>
            <w:pPr>
              <w:pStyle w:val="Compact"/>
              <w:jc w:val="left"/>
            </w:pPr>
            <w:r>
              <w:rPr>
                <w:sz w:val="22"/>
              </w:rPr>
              <w:t xml:space="preserve">AI Use Case Confidence Below Threshold</w:t>
            </w:r>
          </w:p>
        </w:tc>
        <w:tc>
          <w:tcPr>
            <w:tcW w:type="dxa" w:w="6622"/>
          </w:tcPr>
          <w:p>
            <w:pPr>
              <w:pStyle w:val="Compact"/>
              <w:jc w:val="left"/>
            </w:pPr>
            <w:r>
              <w:rPr>
                <w:sz w:val="22"/>
              </w:rPr>
              <w:t xml:space="preserve">Depends on a real AI confidence-scoring pipeline</w:t>
            </w:r>
          </w:p>
        </w:tc>
      </w:tr>
      <w:tr>
        <w:trPr>
          <w:cantSplit/>
        </w:trPr>
        <w:tc>
          <w:tcPr>
            <w:tcW w:type="dxa" w:w="946"/>
          </w:tcPr>
          <w:p>
            <w:pPr>
              <w:pStyle w:val="Compact"/>
              <w:jc w:val="left"/>
            </w:pPr>
            <w:r>
              <w:rPr>
                <w:sz w:val="22"/>
              </w:rPr>
              <w:t xml:space="preserve">ALT-012</w:t>
            </w:r>
          </w:p>
        </w:tc>
        <w:tc>
          <w:tcPr>
            <w:tcW w:type="dxa" w:w="2943"/>
          </w:tcPr>
          <w:p>
            <w:pPr>
              <w:pStyle w:val="Compact"/>
              <w:jc w:val="left"/>
            </w:pPr>
            <w:r>
              <w:rPr>
                <w:sz w:val="22"/>
              </w:rPr>
              <w:t xml:space="preserve">Import Integrity Check Failed</w:t>
            </w:r>
          </w:p>
        </w:tc>
        <w:tc>
          <w:tcPr>
            <w:tcW w:type="dxa" w:w="6622"/>
          </w:tcPr>
          <w:p>
            <w:pPr>
              <w:pStyle w:val="Compact"/>
              <w:jc w:val="left"/>
            </w:pPr>
            <w:r>
              <w:rPr>
                <w:sz w:val="22"/>
              </w:rPr>
              <w:t xml:space="preserve">Depends on a real backend data-import pipeline</w:t>
            </w:r>
          </w:p>
        </w:tc>
      </w:tr>
      <w:tr>
        <w:trPr>
          <w:cantSplit/>
        </w:trPr>
        <w:tc>
          <w:tcPr>
            <w:tcW w:type="dxa" w:w="946"/>
          </w:tcPr>
          <w:p>
            <w:pPr>
              <w:pStyle w:val="Compact"/>
              <w:jc w:val="left"/>
            </w:pPr>
            <w:r>
              <w:rPr>
                <w:sz w:val="22"/>
              </w:rPr>
              <w:t xml:space="preserve">ALT-013</w:t>
            </w:r>
          </w:p>
        </w:tc>
        <w:tc>
          <w:tcPr>
            <w:tcW w:type="dxa" w:w="2943"/>
          </w:tcPr>
          <w:p>
            <w:pPr>
              <w:pStyle w:val="Compact"/>
              <w:jc w:val="left"/>
            </w:pPr>
            <w:r>
              <w:rPr>
                <w:sz w:val="22"/>
              </w:rPr>
              <w:t xml:space="preserve">Administrative Account Locked</w:t>
            </w:r>
          </w:p>
        </w:tc>
        <w:tc>
          <w:tcPr>
            <w:tcW w:type="dxa" w:w="6622"/>
          </w:tcPr>
          <w:p>
            <w:pPr>
              <w:pStyle w:val="Compact"/>
              <w:jc w:val="left"/>
            </w:pPr>
            <w:r>
              <w:rPr>
                <w:sz w:val="22"/>
              </w:rPr>
              <w:t xml:space="preserve">Depends on real authentication/lockout infrastructure</w:t>
            </w:r>
          </w:p>
        </w:tc>
      </w:tr>
      <w:tr>
        <w:trPr>
          <w:cantSplit/>
        </w:trPr>
        <w:tc>
          <w:tcPr>
            <w:tcW w:type="dxa" w:w="946"/>
          </w:tcPr>
          <w:p>
            <w:pPr>
              <w:pStyle w:val="Compact"/>
              <w:jc w:val="left"/>
            </w:pPr>
            <w:r>
              <w:rPr>
                <w:sz w:val="22"/>
              </w:rPr>
              <w:t xml:space="preserve">ALT-014</w:t>
            </w:r>
          </w:p>
        </w:tc>
        <w:tc>
          <w:tcPr>
            <w:tcW w:type="dxa" w:w="2943"/>
          </w:tcPr>
          <w:p>
            <w:pPr>
              <w:pStyle w:val="Compact"/>
              <w:jc w:val="left"/>
            </w:pPr>
            <w:r>
              <w:rPr>
                <w:sz w:val="22"/>
              </w:rPr>
              <w:t xml:space="preserve">GDPR Request SLA at Risk</w:t>
            </w:r>
          </w:p>
        </w:tc>
        <w:tc>
          <w:tcPr>
            <w:tcW w:type="dxa" w:w="6622"/>
          </w:tcPr>
          <w:p>
            <w:pPr>
              <w:pStyle w:val="Compact"/>
              <w:jc w:val="left"/>
            </w:pPr>
            <w:r>
              <w:rPr>
                <w:sz w:val="22"/>
              </w:rPr>
              <w:t xml:space="preserve">Depends on a real request-tracking system</w:t>
            </w:r>
          </w:p>
        </w:tc>
      </w:tr>
      <w:tr>
        <w:trPr>
          <w:cantSplit/>
        </w:trPr>
        <w:tc>
          <w:tcPr>
            <w:tcW w:type="dxa" w:w="946"/>
          </w:tcPr>
          <w:p>
            <w:pPr>
              <w:pStyle w:val="Compact"/>
              <w:jc w:val="left"/>
            </w:pPr>
            <w:r>
              <w:rPr>
                <w:sz w:val="22"/>
              </w:rPr>
              <w:t xml:space="preserve">ALT-016</w:t>
            </w:r>
          </w:p>
        </w:tc>
        <w:tc>
          <w:tcPr>
            <w:tcW w:type="dxa" w:w="2943"/>
          </w:tcPr>
          <w:p>
            <w:pPr>
              <w:pStyle w:val="Compact"/>
              <w:jc w:val="left"/>
            </w:pPr>
            <w:r>
              <w:rPr>
                <w:sz w:val="22"/>
              </w:rPr>
              <w:t xml:space="preserve">AI Provider Fallback Triggered</w:t>
            </w:r>
          </w:p>
        </w:tc>
        <w:tc>
          <w:tcPr>
            <w:tcW w:type="dxa" w:w="6622"/>
          </w:tcPr>
          <w:p>
            <w:pPr>
              <w:pStyle w:val="Compact"/>
              <w:jc w:val="left"/>
            </w:pPr>
            <w:r>
              <w:rPr>
                <w:sz w:val="22"/>
              </w:rPr>
              <w:t xml:space="preserve">Depends on a real multi-provider AI backend</w:t>
            </w:r>
          </w:p>
        </w:tc>
      </w:tr>
    </w:tbl>
    <w:bookmarkEnd w:id="106"/>
    <w:bookmarkStart w:id="107" w:name="Xf6565557127911adf304fe9ac3cbe63c836db27"/>
    <w:p>
      <w:pPr>
        <w:pStyle w:val="Heading3"/>
      </w:pPr>
      <w:r>
        <w:rPr>
          <w:b/>
          <w:color w:val="3F827B"/>
          <w:sz w:val="29"/>
        </w:rPr>
        <w:t xml:space="preserve">5.4 The two computed metrics behind the alerts</w:t>
      </w:r>
    </w:p>
    <w:p>
      <w:pPr>
        <w:pStyle w:val="FirstParagraph"/>
      </w:pPr>
      <w:r>
        <w:rPr>
          <w:sz w:val="25"/>
        </w:rPr>
        <w:t xml:space="preserve">Two numbers drive several of the alerts and dashboards above, and journi computes both automatically rather than leave them to a Change Manager’s arithmetic:</w:t>
      </w:r>
    </w:p>
    <w:p>
      <w:pPr>
        <w:numPr>
          <w:ilvl w:val="0"/>
          <w:numId w:val="1021"/>
        </w:numPr>
        <w:pStyle w:val="Compact"/>
      </w:pPr>
      <w:r>
        <w:rPr>
          <w:bCs/>
          <w:b/>
          <w:sz w:val="25"/>
        </w:rPr>
        <w:t xml:space="preserve">Composite Readiness Index</w:t>
      </w:r>
      <w:r>
        <w:rPr>
          <w:sz w:val="25"/>
        </w:rPr>
        <w:t xml:space="preserve"> </w:t>
      </w:r>
      <w:r>
        <w:rPr>
          <w:sz w:val="25"/>
        </w:rPr>
        <w:t xml:space="preserve">(M14):</w:t>
      </w:r>
      <w:r>
        <w:rPr>
          <w:sz w:val="25"/>
        </w:rPr>
        <w:t xml:space="preserve"> </w:t>
      </w:r>
      <w:r>
        <w:rPr>
          <w:rStyle w:val="VerbatimChar"/>
          <w:sz w:val="25"/>
        </w:rPr>
        <w:t xml:space="preserve">ADKAR% × 0.50 + Kübler-Ross sentiment% × 0.25 + Training completion% × 0.25</w:t>
      </w:r>
      <w:r>
        <w:rPr>
          <w:sz w:val="25"/>
        </w:rPr>
        <w:t xml:space="preserve">. Recalculated live as any of its three inputs change; this is the number the Steering Committee reviews at every phase gate in Part 3 and Part 4.</w:t>
      </w:r>
    </w:p>
    <w:p>
      <w:pPr>
        <w:numPr>
          <w:ilvl w:val="0"/>
          <w:numId w:val="1021"/>
        </w:numPr>
        <w:pStyle w:val="Compact"/>
      </w:pPr>
      <w:r>
        <w:rPr>
          <w:bCs/>
          <w:b/>
          <w:sz w:val="25"/>
        </w:rPr>
        <w:t xml:space="preserve">Divergence Pattern Detector</w:t>
      </w:r>
      <w:r>
        <w:rPr>
          <w:sz w:val="25"/>
        </w:rPr>
        <w:t xml:space="preserve">: the same boolean rule that drives ALT-001 — Knowledge ≥ 4 and Ability ≥ 4 while Bridges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It is not a separate module; it is computed live from M5 and M6 data and surfaces exclusively as ALT-001 in the Notification Center.</w:t>
      </w:r>
    </w:p>
    <w:bookmarkEnd w:id="107"/>
    <w:bookmarkStart w:id="108" w:name="where-to-look-by-role"/>
    <w:p>
      <w:pPr>
        <w:pStyle w:val="Heading3"/>
      </w:pPr>
      <w:r>
        <w:rPr>
          <w:b/>
          <w:color w:val="3F827B"/>
          <w:sz w:val="29"/>
        </w:rPr>
        <w:t xml:space="preserve">5.5 Where to look, by role</w:t>
      </w:r>
    </w:p>
    <w:p>
      <w:pPr>
        <w:numPr>
          <w:ilvl w:val="0"/>
          <w:numId w:val="1022"/>
        </w:numPr>
        <w:pStyle w:val="Compact"/>
      </w:pPr>
      <w:r>
        <w:rPr>
          <w:bCs/>
          <w:b/>
          <w:sz w:val="25"/>
        </w:rPr>
        <w:t xml:space="preserve">Change Manager</w:t>
      </w:r>
      <w:r>
        <w:rPr>
          <w:sz w:val="25"/>
        </w:rPr>
        <w:t xml:space="preserve"> </w:t>
      </w:r>
      <w:r>
        <w:rPr>
          <w:sz w:val="25"/>
        </w:rPr>
        <w:t xml:space="preserve">(Driss El Amrani, Houda Zerouali on their own scenarios): the Notification Center bell first, then M14 for the trend behind whatever fired.</w:t>
      </w:r>
    </w:p>
    <w:p>
      <w:pPr>
        <w:numPr>
          <w:ilvl w:val="0"/>
          <w:numId w:val="1022"/>
        </w:numPr>
        <w:pStyle w:val="Compact"/>
      </w:pPr>
      <w:r>
        <w:rPr>
          <w:bCs/>
          <w:b/>
          <w:sz w:val="25"/>
        </w:rPr>
        <w:t xml:space="preserve">Executive Sponsor / Steering Committee</w:t>
      </w:r>
      <w:r>
        <w:rPr>
          <w:sz w:val="25"/>
        </w:rPr>
        <w:t xml:space="preserve">: M14’s benchmarking view for the blended readiness trend; ALT-003, ALT-004, ALT-009, and ALT-010 are the four most likely to name them directly as a recipient.</w:t>
      </w:r>
    </w:p>
    <w:p>
      <w:pPr>
        <w:numPr>
          <w:ilvl w:val="0"/>
          <w:numId w:val="1022"/>
        </w:numPr>
        <w:pStyle w:val="Compact"/>
      </w:pPr>
      <w:r>
        <w:rPr>
          <w:bCs/>
          <w:b/>
          <w:sz w:val="25"/>
        </w:rPr>
        <w:t xml:space="preserve">PMO / Program Manager</w:t>
      </w:r>
      <w:r>
        <w:rPr>
          <w:sz w:val="25"/>
        </w:rPr>
        <w:t xml:space="preserve">: ALT-008 and ALT-009 are PM-facing by design — saturation and gate outcomes are portfolio- and schedule-level concerns first.</w:t>
      </w:r>
    </w:p>
    <w:p>
      <w:pPr>
        <w:numPr>
          <w:ilvl w:val="0"/>
          <w:numId w:val="1022"/>
        </w:numPr>
        <w:pStyle w:val="Compact"/>
      </w:pPr>
      <w:r>
        <w:rPr>
          <w:bCs/>
          <w:b/>
          <w:sz w:val="25"/>
        </w:rPr>
        <w:t xml:space="preserve">Super Admin</w:t>
      </w:r>
      <w:r>
        <w:rPr>
          <w:sz w:val="25"/>
        </w:rPr>
        <w:t xml:space="preserve">: none of the 9 live alerts route to Super Admin by default; their standing responsibility is Part 1’s tenant configuration (License, Permission Matrix, Governance Settings), not day-to-day alert triage.</w:t>
      </w:r>
    </w:p>
    <w:bookmarkEnd w:id="108"/>
    <w:bookmarkStart w:id="109" w:name="alert-to-scenario-cross-reference"/>
    <w:p>
      <w:pPr>
        <w:pStyle w:val="Heading3"/>
      </w:pPr>
      <w:r>
        <w:rPr>
          <w:b/>
          <w:color w:val="3F827B"/>
          <w:sz w:val="29"/>
        </w:rPr>
        <w:t xml:space="preserve">5.6 Alert-to-Scenario Cross-Reference</w:t>
      </w:r>
    </w:p>
    <w:p>
      <w:pPr>
        <w:pStyle w:val="FirstParagraph"/>
      </w:pPr>
      <w:r>
        <w:rPr>
          <w:sz w:val="25"/>
        </w:rPr>
        <w:t xml:space="preserve">Part 4’s nine-project library was purpose-built so every live alert has a real, traceable origin in this guide rather than existing only as an abstract rule. This table is the index back to where each one actually fires: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Alert</w:t>
            </w:r>
          </w:p>
        </w:tc>
        <w:tc>
          <w:tcPr>
            <w:shd w:val="clear" w:fill="1F4B45"/>
          </w:tcPr>
          <w:p>
            <w:pPr>
              <w:pStyle w:val="Compact"/>
              <w:jc w:val="left"/>
            </w:pPr>
            <w:r>
              <w:rPr>
                <w:b/>
                <w:color w:val="FFFFFF"/>
                <w:sz w:val="22"/>
              </w:rPr>
              <w:t xml:space="preserve">Fires in</w:t>
            </w:r>
          </w:p>
        </w:tc>
        <w:tc>
          <w:tcPr>
            <w:shd w:val="clear" w:fill="1F4B45"/>
          </w:tcPr>
          <w:p>
            <w:pPr>
              <w:pStyle w:val="Compact"/>
              <w:jc w:val="left"/>
            </w:pPr>
            <w:r>
              <w:rPr>
                <w:b/>
                <w:color w:val="FFFFFF"/>
                <w:sz w:val="22"/>
              </w:rPr>
              <w:t xml:space="preserve">When (approximate week)</w:t>
            </w:r>
          </w:p>
        </w:tc>
      </w:tr>
      <w:tr>
        <w:trPr>
          <w:cantSplit/>
        </w:trPr>
        <w:tc>
          <w:tcPr/>
          <w:p>
            <w:pPr>
              <w:pStyle w:val="Compact"/>
              <w:jc w:val="left"/>
            </w:pPr>
            <w:r>
              <w:rPr>
                <w:sz w:val="22"/>
              </w:rPr>
              <w:t xml:space="preserve">ALT-001 Divergence Pattern Detected</w:t>
            </w:r>
          </w:p>
        </w:tc>
        <w:tc>
          <w:tcPr/>
          <w:p>
            <w:pPr>
              <w:pStyle w:val="Compact"/>
              <w:jc w:val="left"/>
            </w:pPr>
            <w:r>
              <w:rPr>
                <w:sz w:val="22"/>
              </w:rPr>
              <w:t xml:space="preserve">Bouregreg ERP Adoption Program</w:t>
            </w:r>
          </w:p>
        </w:tc>
        <w:tc>
          <w:tcPr/>
          <w:p>
            <w:pPr>
              <w:pStyle w:val="Compact"/>
              <w:jc w:val="left"/>
            </w:pPr>
            <w:r>
              <w:rPr>
                <w:sz w:val="22"/>
              </w:rPr>
              <w:t xml:space="preserve">W28–38 (Test), Exception E2</w:t>
            </w:r>
          </w:p>
        </w:tc>
      </w:tr>
      <w:tr>
        <w:trPr>
          <w:cantSplit/>
        </w:trPr>
        <w:tc>
          <w:tcPr/>
          <w:p>
            <w:pPr>
              <w:pStyle w:val="Compact"/>
              <w:jc w:val="left"/>
            </w:pPr>
            <w:r>
              <w:rPr>
                <w:sz w:val="22"/>
              </w:rPr>
              <w:t xml:space="preserve">ALT-002 Regression Risk Score Critical</w:t>
            </w:r>
          </w:p>
        </w:tc>
        <w:tc>
          <w:tcPr/>
          <w:p>
            <w:pPr>
              <w:pStyle w:val="Compact"/>
              <w:jc w:val="left"/>
            </w:pPr>
            <w:r>
              <w:rPr>
                <w:sz w:val="22"/>
              </w:rPr>
              <w:t xml:space="preserve">Regional Operating Model Redesign</w:t>
            </w:r>
          </w:p>
        </w:tc>
        <w:tc>
          <w:tcPr/>
          <w:p>
            <w:pPr>
              <w:pStyle w:val="Compact"/>
              <w:jc w:val="left"/>
            </w:pPr>
            <w:r>
              <w:rPr>
                <w:sz w:val="22"/>
              </w:rPr>
              <w:t xml:space="preserve">~W56, first 30-day checkpoint</w:t>
            </w:r>
          </w:p>
        </w:tc>
      </w:tr>
      <w:tr>
        <w:trPr>
          <w:cantSplit/>
        </w:trPr>
        <w:tc>
          <w:tcPr/>
          <w:p>
            <w:pPr>
              <w:pStyle w:val="Compact"/>
              <w:jc w:val="left"/>
            </w:pPr>
            <w:r>
              <w:rPr>
                <w:sz w:val="22"/>
              </w:rPr>
              <w:t xml:space="preserve">ALT-003 Sponsor Coverage Gap</w:t>
            </w:r>
          </w:p>
        </w:tc>
        <w:tc>
          <w:tcPr/>
          <w:p>
            <w:pPr>
              <w:pStyle w:val="Compact"/>
              <w:jc w:val="left"/>
            </w:pPr>
            <w:r>
              <w:rPr>
                <w:sz w:val="22"/>
              </w:rPr>
              <w:t xml:space="preserve">One Bouregreg: Post-Acquisition Culture Integration</w:t>
            </w:r>
          </w:p>
        </w:tc>
        <w:tc>
          <w:tcPr/>
          <w:p>
            <w:pPr>
              <w:pStyle w:val="Compact"/>
              <w:jc w:val="left"/>
            </w:pPr>
            <w:r>
              <w:rPr>
                <w:sz w:val="22"/>
              </w:rPr>
              <w:t xml:space="preserve">~W27–30, before the integration Sponsor’s first logged action</w:t>
            </w:r>
          </w:p>
        </w:tc>
      </w:tr>
      <w:tr>
        <w:trPr>
          <w:cantSplit/>
        </w:trPr>
        <w:tc>
          <w:tcPr/>
          <w:p>
            <w:pPr>
              <w:pStyle w:val="Compact"/>
              <w:jc w:val="left"/>
            </w:pPr>
            <w:r>
              <w:rPr>
                <w:sz w:val="22"/>
              </w:rPr>
              <w:t xml:space="preserve">ALT-004 Resistance Escalation Threshold Breached</w:t>
            </w:r>
          </w:p>
        </w:tc>
        <w:tc>
          <w:tcPr/>
          <w:p>
            <w:pPr>
              <w:pStyle w:val="Compact"/>
              <w:jc w:val="left"/>
            </w:pPr>
            <w:r>
              <w:rPr>
                <w:sz w:val="22"/>
              </w:rPr>
              <w:t xml:space="preserve">Order-to-Cash Process Redesign; Settat Plant Consolidation &amp; Workforce Restructuring</w:t>
            </w:r>
          </w:p>
        </w:tc>
        <w:tc>
          <w:tcPr/>
          <w:p>
            <w:pPr>
              <w:pStyle w:val="Compact"/>
              <w:jc w:val="left"/>
            </w:pPr>
            <w:r>
              <w:rPr>
                <w:sz w:val="22"/>
              </w:rPr>
              <w:t xml:space="preserve">W22–26 (Order-to-Cash pilot); W46 (Settat restructuring)</w:t>
            </w:r>
          </w:p>
        </w:tc>
      </w:tr>
      <w:tr>
        <w:trPr>
          <w:cantSplit/>
        </w:trPr>
        <w:tc>
          <w:tcPr/>
          <w:p>
            <w:pPr>
              <w:pStyle w:val="Compact"/>
              <w:jc w:val="left"/>
            </w:pPr>
            <w:r>
              <w:rPr>
                <w:sz w:val="22"/>
              </w:rPr>
              <w:t xml:space="preserve">ALT-008 Change Saturation Threshold Breached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Continuous, once 3+ projects run concurrently</w:t>
            </w:r>
          </w:p>
        </w:tc>
      </w:tr>
      <w:tr>
        <w:trPr>
          <w:cantSplit/>
        </w:trPr>
        <w:tc>
          <w:tcPr/>
          <w:p>
            <w:pPr>
              <w:pStyle w:val="Compact"/>
              <w:jc w:val="left"/>
            </w:pPr>
            <w:r>
              <w:rPr>
                <w:sz w:val="22"/>
              </w:rPr>
              <w:t xml:space="preserve">ALT-009 Phase Gate No-Go / Conditional</w:t>
            </w:r>
          </w:p>
        </w:tc>
        <w:tc>
          <w:tcPr/>
          <w:p>
            <w:pPr>
              <w:pStyle w:val="Compact"/>
              <w:jc w:val="left"/>
            </w:pPr>
            <w:r>
              <w:rPr>
                <w:sz w:val="22"/>
              </w:rPr>
              <w:t xml:space="preserve">Bouregreg ERP Adoption Program (if triggered); most schedule-sensitive in the Loi 09-08 Compliance Program</w:t>
            </w:r>
          </w:p>
        </w:tc>
        <w:tc>
          <w:tcPr/>
          <w:p>
            <w:pPr>
              <w:pStyle w:val="Compact"/>
              <w:jc w:val="left"/>
            </w:pPr>
            <w:r>
              <w:rPr>
                <w:sz w:val="22"/>
              </w:rPr>
              <w:t xml:space="preserve">Any Phase Gate, Part 1B.3</w:t>
            </w:r>
          </w:p>
        </w:tc>
      </w:tr>
      <w:tr>
        <w:trPr>
          <w:cantSplit/>
        </w:trPr>
        <w:tc>
          <w:tcPr/>
          <w:p>
            <w:pPr>
              <w:pStyle w:val="Compact"/>
              <w:jc w:val="left"/>
            </w:pPr>
            <w:r>
              <w:rPr>
                <w:sz w:val="22"/>
              </w:rPr>
              <w:t xml:space="preserve">ALT-010 Guiding Coalition Gap</w:t>
            </w:r>
          </w:p>
        </w:tc>
        <w:tc>
          <w:tcPr/>
          <w:p>
            <w:pPr>
              <w:pStyle w:val="Compact"/>
              <w:jc w:val="left"/>
            </w:pPr>
            <w:r>
              <w:rPr>
                <w:sz w:val="22"/>
              </w:rPr>
              <w:t xml:space="preserve">ISO 9001/14001 Integrated Management System</w:t>
            </w:r>
          </w:p>
        </w:tc>
        <w:tc>
          <w:tcPr/>
          <w:p>
            <w:pPr>
              <w:pStyle w:val="Compact"/>
              <w:jc w:val="left"/>
            </w:pPr>
            <w:r>
              <w:rPr>
                <w:sz w:val="22"/>
              </w:rPr>
              <w:t xml:space="preserve">~W26, Implementation phase</w:t>
            </w:r>
          </w:p>
        </w:tc>
      </w:tr>
      <w:tr>
        <w:trPr>
          <w:cantSplit/>
        </w:trPr>
        <w:tc>
          <w:tcPr/>
          <w:p>
            <w:pPr>
              <w:pStyle w:val="Compact"/>
              <w:jc w:val="left"/>
            </w:pPr>
            <w:r>
              <w:rPr>
                <w:sz w:val="22"/>
              </w:rPr>
              <w:t xml:space="preserve">ALT-011 Communication Overload Detected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Most acute around W43 (ERP go-live week)</w:t>
            </w:r>
          </w:p>
        </w:tc>
      </w:tr>
      <w:tr>
        <w:trPr>
          <w:cantSplit/>
        </w:trPr>
        <w:tc>
          <w:tcPr/>
          <w:p>
            <w:pPr>
              <w:pStyle w:val="Compact"/>
              <w:jc w:val="left"/>
            </w:pPr>
            <w:r>
              <w:rPr>
                <w:sz w:val="22"/>
              </w:rPr>
              <w:t xml:space="preserve">ALT-015 Sustainment Sign-Off Blocked</w:t>
            </w:r>
          </w:p>
        </w:tc>
        <w:tc>
          <w:tcPr/>
          <w:p>
            <w:pPr>
              <w:pStyle w:val="Compact"/>
              <w:jc w:val="left"/>
            </w:pPr>
            <w:r>
              <w:rPr>
                <w:sz w:val="22"/>
              </w:rPr>
              <w:t xml:space="preserve">Regional Operating Model Redesign</w:t>
            </w:r>
          </w:p>
        </w:tc>
        <w:tc>
          <w:tcPr/>
          <w:p>
            <w:pPr>
              <w:pStyle w:val="Compact"/>
              <w:jc w:val="left"/>
            </w:pPr>
            <w:r>
              <w:rPr>
                <w:sz w:val="22"/>
              </w:rPr>
              <w:t xml:space="preserve">~W56, following ALT-002</w:t>
            </w:r>
          </w:p>
        </w:tc>
      </w:tr>
    </w:tbl>
    <w:p>
      <w:r>
        <w:rPr>
          <w:sz w:val="25"/>
        </w:rPr>
        <w:pict>
          <v:rect style="width:0;height:1.5pt" o:hralign="center" o:hrstd="t" o:hr="t"/>
        </w:pict>
      </w:r>
    </w:p>
    <w:p>
      <w:r>
        <w:rPr>
          <w:sz w:val="25"/>
        </w:rPr>
        <w:pict>
          <v:rect style="width:0;height:1.5pt" o:hralign="center" o:hrstd="t" o:hr="t"/>
        </w:pict>
      </w:r>
    </w:p>
    <w:p>
      <w:pPr>
        <w:pStyle w:val="FirstParagraph"/>
      </w:pPr>
    </w:p>
    <w:bookmarkEnd w:id="109"/>
    <w:bookmarkEnd w:id="110"/>
    <w:bookmarkStart w:id="121" w:name="appendix-quick-reference"/>
    <w:p>
      <w:pPr>
        <w:pStyle w:val="Heading2"/>
      </w:pPr>
      <w:r>
        <w:rPr>
          <w:b/>
          <w:color w:val="275650"/>
          <w:sz w:val="34"/>
        </w:rPr>
        <w:t xml:space="preserve">Appendix — Quick Reference</w:t>
      </w:r>
    </w:p>
    <w:bookmarkStart w:id="111" w:name="a.1-role-legend"/>
    <w:p>
      <w:pPr>
        <w:pStyle w:val="Heading3"/>
      </w:pPr>
      <w:r>
        <w:rPr>
          <w:b/>
          <w:color w:val="3F827B"/>
          <w:sz w:val="29"/>
        </w:rPr>
        <w:t xml:space="preserve">A.1 Role Legend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level</w:t>
            </w:r>
          </w:p>
        </w:tc>
        <w:tc>
          <w:tcPr>
            <w:shd w:val="clear" w:fill="1F4B45"/>
          </w:tcPr>
          <w:p>
            <w:pPr>
              <w:pStyle w:val="Compact"/>
              <w:jc w:val="left"/>
            </w:pPr>
            <w:r>
              <w:rPr>
                <w:b/>
                <w:color w:val="FFFFFF"/>
                <w:sz w:val="22"/>
              </w:rPr>
              <w:t xml:space="preserve">Individual visibility?</w:t>
            </w:r>
          </w:p>
        </w:tc>
        <w:tc>
          <w:tcPr>
            <w:shd w:val="clear" w:fill="1F4B45"/>
          </w:tcPr>
          <w:p>
            <w:pPr>
              <w:pStyle w:val="Compact"/>
              <w:jc w:val="left"/>
            </w:pPr>
            <w:r>
              <w:rPr>
                <w:b/>
                <w:color w:val="FFFFFF"/>
                <w:sz w:val="22"/>
              </w:rPr>
              <w:t xml:space="preserve">General write access?</w:t>
            </w:r>
          </w:p>
        </w:tc>
        <w:tc>
          <w:tcPr>
            <w:shd w:val="clear" w:fill="1F4B45"/>
          </w:tcPr>
          <w:p>
            <w:pPr>
              <w:pStyle w:val="Compact"/>
              <w:jc w:val="left"/>
            </w:pPr>
            <w:r>
              <w:rPr>
                <w:b/>
                <w:color w:val="FFFFFF"/>
                <w:sz w:val="22"/>
              </w:rPr>
              <w:t xml:space="preserve">Bouregreg example</w:t>
            </w:r>
          </w:p>
        </w:tc>
      </w:tr>
      <w:tr>
        <w:trPr>
          <w:cantSplit/>
        </w:trPr>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Yes</w:t>
            </w:r>
          </w:p>
        </w:tc>
        <w:tc>
          <w:tcPr/>
          <w:p>
            <w:pPr>
              <w:pStyle w:val="Compact"/>
              <w:jc w:val="left"/>
            </w:pPr>
            <w:r>
              <w:rPr>
                <w:sz w:val="22"/>
              </w:rPr>
              <w:t xml:space="preserve">Yes (plus License, Permission Matrix)</w:t>
            </w:r>
          </w:p>
        </w:tc>
        <w:tc>
          <w:tcPr/>
          <w:p>
            <w:pPr>
              <w:pStyle w:val="Compact"/>
              <w:jc w:val="left"/>
            </w:pPr>
            <w:r>
              <w:rPr>
                <w:sz w:val="22"/>
              </w:rPr>
              <w:t xml:space="preserve">Zineb Alaoui</w:t>
            </w:r>
          </w:p>
        </w:tc>
      </w:tr>
      <w:tr>
        <w:trPr>
          <w:cantSplit/>
        </w:trPr>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Anas Bouzid</w:t>
            </w:r>
          </w:p>
        </w:tc>
      </w:tr>
      <w:tr>
        <w:trPr>
          <w:cantSplit/>
        </w:trPr>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Meryem Sabri</w:t>
            </w:r>
          </w:p>
        </w:tc>
      </w:tr>
      <w:tr>
        <w:trPr>
          <w:cantSplit/>
        </w:trPr>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Driss El Amrani</w:t>
            </w:r>
          </w:p>
        </w:tc>
      </w:tr>
      <w:tr>
        <w:trPr>
          <w:cantSplit/>
        </w:trPr>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Houda Zerouali</w:t>
            </w:r>
          </w:p>
        </w:tc>
      </w:tr>
      <w:tr>
        <w:trPr>
          <w:cantSplit/>
        </w:trPr>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No (aggregated only)</w:t>
            </w:r>
          </w:p>
        </w:tc>
        <w:tc>
          <w:tcPr/>
          <w:p>
            <w:pPr>
              <w:pStyle w:val="Compact"/>
              <w:jc w:val="left"/>
            </w:pPr>
            <w:r>
              <w:rPr>
                <w:sz w:val="22"/>
              </w:rPr>
              <w:t xml:space="preserve">Yes</w:t>
            </w:r>
          </w:p>
        </w:tc>
        <w:tc>
          <w:tcPr/>
          <w:p>
            <w:pPr>
              <w:pStyle w:val="Compact"/>
              <w:jc w:val="left"/>
            </w:pPr>
            <w:r>
              <w:rPr>
                <w:sz w:val="22"/>
              </w:rPr>
              <w:t xml:space="preserve">Ghita Bennis</w:t>
            </w:r>
          </w:p>
        </w:tc>
      </w:tr>
      <w:tr>
        <w:trPr>
          <w:cantSplit/>
        </w:trPr>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 (own roadmap actions only)</w:t>
            </w:r>
          </w:p>
        </w:tc>
        <w:tc>
          <w:tcPr/>
          <w:p>
            <w:pPr>
              <w:pStyle w:val="Compact"/>
              <w:jc w:val="left"/>
            </w:pPr>
            <w:r>
              <w:rPr>
                <w:sz w:val="22"/>
              </w:rPr>
              <w:t xml:space="preserve">CFO, Bouregreg Group</w:t>
            </w:r>
          </w:p>
        </w:tc>
      </w:tr>
      <w:tr>
        <w:trPr>
          <w:cantSplit/>
        </w:trPr>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Board Executive Viewer</w:t>
            </w:r>
          </w:p>
        </w:tc>
      </w:tr>
      <w:tr>
        <w:trPr>
          <w:cantSplit/>
        </w:trPr>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Reda Loukili</w:t>
            </w:r>
          </w:p>
        </w:tc>
      </w:tr>
    </w:tbl>
    <w:bookmarkEnd w:id="111"/>
    <w:bookmarkStart w:id="112" w:name="a.2-racsi-legend"/>
    <w:p>
      <w:pPr>
        <w:pStyle w:val="Heading3"/>
      </w:pPr>
      <w:r>
        <w:rPr>
          <w:b/>
          <w:color w:val="3F827B"/>
          <w:sz w:val="29"/>
        </w:rPr>
        <w:t xml:space="preserve">A.2 RACSI Legend</w:t>
      </w:r>
    </w:p>
    <w:p>
      <w:pPr>
        <w:pStyle w:val="FirstParagraph"/>
      </w:pPr>
      <w:r>
        <w:rPr>
          <w:sz w:val="25"/>
        </w:rPr>
        <w:t xml:space="preserve">journi’s RACSI convention (D17 CAT-02) uses seven role codes rather than the generic five RACI roles, so a Change Management responsibility and a Project Management one can be named separately in the same grid: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Meaning</w:t>
            </w:r>
          </w:p>
        </w:tc>
        <w:tc>
          <w:tcPr>
            <w:shd w:val="clear" w:fill="1F4B45"/>
          </w:tcPr>
          <w:p>
            <w:pPr>
              <w:pStyle w:val="Compact"/>
              <w:jc w:val="left"/>
            </w:pPr>
            <w:r>
              <w:rPr>
                <w:b/>
                <w:color w:val="FFFFFF"/>
                <w:sz w:val="22"/>
              </w:rPr>
              <w:t xml:space="preserve">Rule</w:t>
            </w:r>
          </w:p>
        </w:tc>
      </w:tr>
      <w:tr>
        <w:trPr>
          <w:cantSplit/>
        </w:trPr>
        <w:tc>
          <w:tcPr/>
          <w:p>
            <w:pPr>
              <w:pStyle w:val="Compact"/>
              <w:jc w:val="left"/>
            </w:pPr>
            <w:r>
              <w:rPr>
                <w:bCs/>
                <w:b/>
                <w:sz w:val="22"/>
              </w:rPr>
              <w:t xml:space="preserve">R</w:t>
            </w:r>
          </w:p>
        </w:tc>
        <w:tc>
          <w:tcPr/>
          <w:p>
            <w:pPr>
              <w:pStyle w:val="Compact"/>
              <w:jc w:val="left"/>
            </w:pPr>
            <w:r>
              <w:rPr>
                <w:sz w:val="22"/>
              </w:rPr>
              <w:t xml:space="preserve">Responsible</w:t>
            </w:r>
          </w:p>
        </w:tc>
        <w:tc>
          <w:tcPr/>
          <w:p>
            <w:pPr>
              <w:pStyle w:val="Compact"/>
              <w:jc w:val="left"/>
            </w:pPr>
            <w:r>
              <w:rPr>
                <w:sz w:val="22"/>
              </w:rPr>
              <w:t xml:space="preserve">May be more than one role per Task or process</w:t>
            </w:r>
          </w:p>
        </w:tc>
      </w:tr>
      <w:tr>
        <w:trPr>
          <w:cantSplit/>
        </w:trPr>
        <w:tc>
          <w:tcPr/>
          <w:p>
            <w:pPr>
              <w:pStyle w:val="Compact"/>
              <w:jc w:val="left"/>
            </w:pPr>
            <w:r>
              <w:rPr>
                <w:bCs/>
                <w:b/>
                <w:sz w:val="22"/>
              </w:rPr>
              <w:t xml:space="preserve">A</w:t>
            </w:r>
          </w:p>
        </w:tc>
        <w:tc>
          <w:tcPr/>
          <w:p>
            <w:pPr>
              <w:pStyle w:val="Compact"/>
              <w:jc w:val="left"/>
            </w:pPr>
            <w:r>
              <w:rPr>
                <w:sz w:val="22"/>
              </w:rPr>
              <w:t xml:space="preserve">Accountable</w:t>
            </w:r>
          </w:p>
        </w:tc>
        <w:tc>
          <w:tcPr/>
          <w:p>
            <w:pPr>
              <w:pStyle w:val="Compact"/>
              <w:jc w:val="left"/>
            </w:pPr>
            <w:r>
              <w:rPr>
                <w:sz w:val="22"/>
              </w:rPr>
              <w:t xml:space="preserve">Exactly one role, always</w:t>
            </w:r>
          </w:p>
        </w:tc>
      </w:tr>
      <w:tr>
        <w:trPr>
          <w:cantSplit/>
        </w:trPr>
        <w:tc>
          <w:tcPr/>
          <w:p>
            <w:pPr>
              <w:pStyle w:val="Compact"/>
              <w:jc w:val="left"/>
            </w:pPr>
            <w:r>
              <w:rPr>
                <w:bCs/>
                <w:b/>
                <w:sz w:val="22"/>
              </w:rPr>
              <w:t xml:space="preserve">C</w:t>
            </w:r>
          </w:p>
        </w:tc>
        <w:tc>
          <w:tcPr/>
          <w:p>
            <w:pPr>
              <w:pStyle w:val="Compact"/>
              <w:jc w:val="left"/>
            </w:pPr>
            <w:r>
              <w:rPr>
                <w:sz w:val="22"/>
              </w:rPr>
              <w:t xml:space="preserve">Consulted</w:t>
            </w:r>
          </w:p>
        </w:tc>
        <w:tc>
          <w:tcPr/>
          <w:p>
            <w:pPr>
              <w:pStyle w:val="Compact"/>
              <w:jc w:val="left"/>
            </w:pPr>
            <w:r>
              <w:rPr>
                <w:sz w:val="22"/>
              </w:rPr>
              <w:t xml:space="preserve">Two-way input sought before the decision</w:t>
            </w:r>
          </w:p>
        </w:tc>
      </w:tr>
      <w:tr>
        <w:trPr>
          <w:cantSplit/>
        </w:trPr>
        <w:tc>
          <w:tcPr/>
          <w:p>
            <w:pPr>
              <w:pStyle w:val="Compact"/>
              <w:jc w:val="left"/>
            </w:pPr>
            <w:r>
              <w:rPr>
                <w:bCs/>
                <w:b/>
                <w:sz w:val="22"/>
              </w:rPr>
              <w:t xml:space="preserve">S</w:t>
            </w:r>
          </w:p>
        </w:tc>
        <w:tc>
          <w:tcPr/>
          <w:p>
            <w:pPr>
              <w:pStyle w:val="Compact"/>
              <w:jc w:val="left"/>
            </w:pPr>
            <w:r>
              <w:rPr>
                <w:sz w:val="22"/>
              </w:rPr>
              <w:t xml:space="preserve">Support</w:t>
            </w:r>
          </w:p>
        </w:tc>
        <w:tc>
          <w:tcPr/>
          <w:p>
            <w:pPr>
              <w:pStyle w:val="Compact"/>
              <w:jc w:val="left"/>
            </w:pPr>
            <w:r>
              <w:rPr>
                <w:sz w:val="22"/>
              </w:rPr>
              <w:t xml:space="preserve">Contributes effort but is not Responsible</w:t>
            </w:r>
          </w:p>
        </w:tc>
      </w:tr>
      <w:tr>
        <w:trPr>
          <w:cantSplit/>
        </w:trPr>
        <w:tc>
          <w:tcPr/>
          <w:p>
            <w:pPr>
              <w:pStyle w:val="Compact"/>
              <w:jc w:val="left"/>
            </w:pPr>
            <w:r>
              <w:rPr>
                <w:bCs/>
                <w:b/>
                <w:sz w:val="22"/>
              </w:rPr>
              <w:t xml:space="preserve">I</w:t>
            </w:r>
          </w:p>
        </w:tc>
        <w:tc>
          <w:tcPr/>
          <w:p>
            <w:pPr>
              <w:pStyle w:val="Compact"/>
              <w:jc w:val="left"/>
            </w:pPr>
            <w:r>
              <w:rPr>
                <w:sz w:val="22"/>
              </w:rPr>
              <w:t xml:space="preserve">Informed</w:t>
            </w:r>
          </w:p>
        </w:tc>
        <w:tc>
          <w:tcPr/>
          <w:p>
            <w:pPr>
              <w:pStyle w:val="Compact"/>
              <w:jc w:val="left"/>
            </w:pPr>
            <w:r>
              <w:rPr>
                <w:sz w:val="22"/>
              </w:rPr>
              <w:t xml:space="preserve">One-way notification after the fact</w:t>
            </w:r>
          </w:p>
        </w:tc>
      </w:tr>
    </w:tbl>
    <w:p>
      <w:pPr>
        <w:pStyle w:val="BodyText"/>
      </w:pPr>
      <w:r>
        <w:rPr>
          <w:sz w:val="25"/>
        </w:rPr>
        <w:t xml:space="preserve">Role-code abbreviations used throughout this guide:</w:t>
      </w:r>
      <w:r>
        <w:rPr>
          <w:sz w:val="25"/>
        </w:rPr>
        <w:t xml:space="preserve"> </w:t>
      </w:r>
      <w:r>
        <w:rPr>
          <w:bCs/>
          <w:b/>
          <w:sz w:val="25"/>
        </w:rPr>
        <w:t xml:space="preserve">ES</w:t>
      </w:r>
      <w:r>
        <w:rPr>
          <w:sz w:val="25"/>
        </w:rPr>
        <w:t xml:space="preserve"> </w:t>
      </w:r>
      <w:r>
        <w:rPr>
          <w:sz w:val="25"/>
        </w:rPr>
        <w:t xml:space="preserve">Executive Sponsor ·</w:t>
      </w:r>
      <w:r>
        <w:rPr>
          <w:sz w:val="25"/>
        </w:rPr>
        <w:t xml:space="preserve"> </w:t>
      </w:r>
      <w:r>
        <w:rPr>
          <w:bCs/>
          <w:b/>
          <w:sz w:val="25"/>
        </w:rPr>
        <w:t xml:space="preserve">CM</w:t>
      </w:r>
      <w:r>
        <w:rPr>
          <w:sz w:val="25"/>
        </w:rPr>
        <w:t xml:space="preserve"> </w:t>
      </w:r>
      <w:r>
        <w:rPr>
          <w:sz w:val="25"/>
        </w:rPr>
        <w:t xml:space="preserve">Change Manager ·</w:t>
      </w:r>
      <w:r>
        <w:rPr>
          <w:sz w:val="25"/>
        </w:rPr>
        <w:t xml:space="preserve"> </w:t>
      </w:r>
      <w:r>
        <w:rPr>
          <w:bCs/>
          <w:b/>
          <w:sz w:val="25"/>
        </w:rPr>
        <w:t xml:space="preserve">PM</w:t>
      </w:r>
      <w:r>
        <w:rPr>
          <w:sz w:val="25"/>
        </w:rPr>
        <w:t xml:space="preserve"> </w:t>
      </w:r>
      <w:r>
        <w:rPr>
          <w:sz w:val="25"/>
        </w:rPr>
        <w:t xml:space="preserve">Program/Project Manager ·</w:t>
      </w:r>
      <w:r>
        <w:rPr>
          <w:sz w:val="25"/>
        </w:rPr>
        <w:t xml:space="preserve"> </w:t>
      </w:r>
      <w:r>
        <w:rPr>
          <w:bCs/>
          <w:b/>
          <w:sz w:val="25"/>
        </w:rPr>
        <w:t xml:space="preserve">FPO</w:t>
      </w:r>
      <w:r>
        <w:rPr>
          <w:sz w:val="25"/>
        </w:rPr>
        <w:t xml:space="preserve"> </w:t>
      </w:r>
      <w:r>
        <w:rPr>
          <w:sz w:val="25"/>
        </w:rPr>
        <w:t xml:space="preserve">Functional Process Owner ·</w:t>
      </w:r>
      <w:r>
        <w:rPr>
          <w:sz w:val="25"/>
        </w:rPr>
        <w:t xml:space="preserve"> </w:t>
      </w:r>
      <w:r>
        <w:rPr>
          <w:bCs/>
          <w:b/>
          <w:sz w:val="25"/>
        </w:rPr>
        <w:t xml:space="preserve">ITL</w:t>
      </w:r>
      <w:r>
        <w:rPr>
          <w:sz w:val="25"/>
        </w:rPr>
        <w:t xml:space="preserve"> </w:t>
      </w:r>
      <w:r>
        <w:rPr>
          <w:sz w:val="25"/>
        </w:rPr>
        <w:t xml:space="preserve">IT/Technical Lead ·</w:t>
      </w:r>
      <w:r>
        <w:rPr>
          <w:sz w:val="25"/>
        </w:rPr>
        <w:t xml:space="preserve"> </w:t>
      </w:r>
      <w:r>
        <w:rPr>
          <w:bCs/>
          <w:b/>
          <w:sz w:val="25"/>
        </w:rPr>
        <w:t xml:space="preserve">SUP</w:t>
      </w:r>
      <w:r>
        <w:rPr>
          <w:sz w:val="25"/>
        </w:rPr>
        <w:t xml:space="preserve"> </w:t>
      </w:r>
      <w:r>
        <w:rPr>
          <w:sz w:val="25"/>
        </w:rPr>
        <w:t xml:space="preserve">Supervisor ·</w:t>
      </w:r>
      <w:r>
        <w:rPr>
          <w:sz w:val="25"/>
        </w:rPr>
        <w:t xml:space="preserve"> </w:t>
      </w:r>
      <w:r>
        <w:rPr>
          <w:bCs/>
          <w:b/>
          <w:sz w:val="25"/>
        </w:rPr>
        <w:t xml:space="preserve">EU</w:t>
      </w:r>
      <w:r>
        <w:rPr>
          <w:sz w:val="25"/>
        </w:rPr>
        <w:t xml:space="preserve"> </w:t>
      </w:r>
      <w:r>
        <w:rPr>
          <w:sz w:val="25"/>
        </w:rPr>
        <w:t xml:space="preserve">End User.</w:t>
      </w:r>
    </w:p>
    <w:bookmarkEnd w:id="112"/>
    <w:bookmarkStart w:id="113" w:name="a.3-the-four-frameworks-one-page"/>
    <w:p>
      <w:pPr>
        <w:pStyle w:val="Heading3"/>
      </w:pPr>
      <w:r>
        <w:rPr>
          <w:b/>
          <w:color w:val="3F827B"/>
          <w:sz w:val="29"/>
        </w:rPr>
        <w:t xml:space="preserve">A.3 The Four Frameworks, One Page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order</w:t>
            </w:r>
          </w:p>
        </w:tc>
        <w:tc>
          <w:tcPr>
            <w:shd w:val="clear" w:fill="1F4B45"/>
          </w:tcPr>
          <w:p>
            <w:pPr>
              <w:pStyle w:val="Compact"/>
              <w:jc w:val="left"/>
            </w:pPr>
            <w:r>
              <w:rPr>
                <w:b/>
                <w:color w:val="FFFFFF"/>
                <w:sz w:val="22"/>
              </w:rPr>
              <w:t xml:space="preserve">Logged on</w:t>
            </w:r>
          </w:p>
        </w:tc>
        <w:tc>
          <w:tcPr>
            <w:shd w:val="clear" w:fill="1F4B45"/>
          </w:tcPr>
          <w:p>
            <w:pPr>
              <w:pStyle w:val="Compact"/>
              <w:jc w:val="left"/>
            </w:pPr>
            <w:r>
              <w:rPr>
                <w:b/>
                <w:color w:val="FFFFFF"/>
                <w:sz w:val="22"/>
              </w:rPr>
              <w:t xml:space="preserve">Auto-computed?</w:t>
            </w:r>
          </w:p>
        </w:tc>
      </w:tr>
      <w:tr>
        <w:trPr>
          <w:cantSplit/>
        </w:trPr>
        <w:tc>
          <w:tcPr/>
          <w:p>
            <w:pPr>
              <w:pStyle w:val="Compact"/>
              <w:jc w:val="left"/>
            </w:pPr>
            <w:r>
              <w:rPr>
                <w:sz w:val="22"/>
              </w:rPr>
              <w:t xml:space="preserve">Lewin</w:t>
            </w:r>
          </w:p>
        </w:tc>
        <w:tc>
          <w:tcPr/>
          <w:p>
            <w:pPr>
              <w:pStyle w:val="Compact"/>
              <w:jc w:val="left"/>
            </w:pPr>
            <w:r>
              <w:rPr>
                <w:sz w:val="22"/>
              </w:rPr>
              <w:t xml:space="preserve">Organizational</w:t>
            </w:r>
          </w:p>
        </w:tc>
        <w:tc>
          <w:tcPr/>
          <w:p>
            <w:pPr>
              <w:pStyle w:val="Compact"/>
              <w:jc w:val="left"/>
            </w:pPr>
            <w:r>
              <w:rPr>
                <w:sz w:val="22"/>
              </w:rPr>
              <w:t xml:space="preserve">Unfreeze → Change → Refreeze</w:t>
            </w:r>
          </w:p>
        </w:tc>
        <w:tc>
          <w:tcPr/>
          <w:p>
            <w:pPr>
              <w:pStyle w:val="Compact"/>
              <w:jc w:val="left"/>
            </w:pPr>
            <w:r>
              <w:rPr>
                <w:sz w:val="22"/>
              </w:rPr>
              <w:t xml:space="preserve">M3</w:t>
            </w:r>
          </w:p>
        </w:tc>
        <w:tc>
          <w:tcPr/>
          <w:p>
            <w:pPr>
              <w:pStyle w:val="Compact"/>
              <w:jc w:val="left"/>
            </w:pPr>
            <w:r>
              <w:rPr>
                <w:sz w:val="22"/>
              </w:rPr>
              <w:t xml:space="preserve">No — judgment call</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w:t>
            </w:r>
          </w:p>
        </w:tc>
        <w:tc>
          <w:tcPr/>
          <w:p>
            <w:pPr>
              <w:pStyle w:val="Compact"/>
              <w:jc w:val="left"/>
            </w:pPr>
            <w:r>
              <w:rPr>
                <w:sz w:val="22"/>
              </w:rPr>
              <w:t xml:space="preserve">Awareness → Desire → Knowledge → Ability → Reinforcement</w:t>
            </w:r>
          </w:p>
        </w:tc>
        <w:tc>
          <w:tcPr/>
          <w:p>
            <w:pPr>
              <w:pStyle w:val="Compact"/>
              <w:jc w:val="left"/>
            </w:pPr>
            <w:r>
              <w:rPr>
                <w:sz w:val="22"/>
              </w:rPr>
              <w:t xml:space="preserve">M5</w:t>
            </w:r>
          </w:p>
        </w:tc>
        <w:tc>
          <w:tcPr/>
          <w:p>
            <w:pPr>
              <w:pStyle w:val="Compact"/>
              <w:jc w:val="left"/>
            </w:pPr>
            <w:r>
              <w:rPr>
                <w:sz w:val="22"/>
              </w:rPr>
              <w:t xml:space="preserve">No — judgment call, per block</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w:t>
            </w:r>
          </w:p>
        </w:tc>
        <w:tc>
          <w:tcPr/>
          <w:p>
            <w:pPr>
              <w:pStyle w:val="Compact"/>
              <w:jc w:val="left"/>
            </w:pPr>
            <w:r>
              <w:rPr>
                <w:sz w:val="22"/>
              </w:rPr>
              <w:t xml:space="preserve">Ending → Neutral Zone → New Beginning</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w:t>
            </w:r>
          </w:p>
        </w:tc>
        <w:tc>
          <w:tcPr/>
          <w:p>
            <w:pPr>
              <w:pStyle w:val="Compact"/>
              <w:jc w:val="left"/>
            </w:pPr>
            <w:r>
              <w:rPr>
                <w:sz w:val="22"/>
              </w:rPr>
              <w:t xml:space="preserve">Denial → Resistance/Anger → Exploration → Commitment</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iCs/>
                <w:i/>
                <w:sz w:val="22"/>
              </w:rPr>
              <w:t xml:space="preserve">(derived)</w:t>
            </w:r>
            <w:r>
              <w:rPr>
                <w:sz w:val="22"/>
              </w:rPr>
              <w:t xml:space="preserve"> </w:t>
            </w:r>
            <w:r>
              <w:rPr>
                <w:sz w:val="22"/>
              </w:rPr>
              <w:t xml:space="preserve">Composite Readiness Index</w:t>
            </w:r>
          </w:p>
        </w:tc>
        <w:tc>
          <w:tcPr/>
          <w:p>
            <w:pPr>
              <w:pStyle w:val="Compact"/>
              <w:jc w:val="left"/>
            </w:pPr>
            <w:r>
              <w:rPr>
                <w:sz w:val="22"/>
              </w:rPr>
              <w:t xml:space="preserve">Blended</w:t>
            </w:r>
          </w:p>
        </w:tc>
        <w:tc>
          <w:tcPr/>
          <w:p>
            <w:pPr>
              <w:pStyle w:val="Compact"/>
              <w:jc w:val="left"/>
            </w:pPr>
            <w:r>
              <w:rPr>
                <w:sz w:val="22"/>
              </w:rPr>
              <w:t xml:space="preserve">0–100%, ADKAR 50% + sentiment 25% + training 25%</w:t>
            </w:r>
          </w:p>
        </w:tc>
        <w:tc>
          <w:tcPr/>
          <w:p>
            <w:pPr>
              <w:pStyle w:val="Compact"/>
              <w:jc w:val="left"/>
            </w:pPr>
            <w:r>
              <w:rPr>
                <w:sz w:val="22"/>
              </w:rPr>
              <w:t xml:space="preserve">M14</w:t>
            </w:r>
          </w:p>
        </w:tc>
        <w:tc>
          <w:tcPr/>
          <w:p>
            <w:pPr>
              <w:pStyle w:val="Compact"/>
              <w:jc w:val="left"/>
            </w:pPr>
            <w:r>
              <w:rPr>
                <w:bCs/>
                <w:b/>
                <w:sz w:val="22"/>
              </w:rPr>
              <w:t xml:space="preserve">Yes</w:t>
            </w:r>
            <w:r>
              <w:rPr>
                <w:sz w:val="22"/>
              </w:rPr>
              <w:t xml:space="preserve"> </w:t>
            </w:r>
            <w:r>
              <w:rPr>
                <w:sz w:val="22"/>
              </w:rPr>
              <w:t xml:space="preserve">— live</w:t>
            </w:r>
          </w:p>
        </w:tc>
      </w:tr>
      <w:tr>
        <w:trPr>
          <w:cantSplit/>
        </w:trPr>
        <w:tc>
          <w:tcPr/>
          <w:p>
            <w:pPr>
              <w:pStyle w:val="Compact"/>
              <w:jc w:val="left"/>
            </w:pPr>
            <w:r>
              <w:rPr>
                <w:iCs/>
                <w:i/>
                <w:sz w:val="22"/>
              </w:rPr>
              <w:t xml:space="preserve">(derived)</w:t>
            </w:r>
            <w:r>
              <w:rPr>
                <w:sz w:val="22"/>
              </w:rPr>
              <w:t xml:space="preserve"> </w:t>
            </w:r>
            <w:r>
              <w:rPr>
                <w:sz w:val="22"/>
              </w:rPr>
              <w:t xml:space="preserve">Divergence Pattern Detector</w:t>
            </w:r>
          </w:p>
        </w:tc>
        <w:tc>
          <w:tcPr/>
          <w:p>
            <w:pPr>
              <w:pStyle w:val="Compact"/>
              <w:jc w:val="left"/>
            </w:pPr>
            <w:r>
              <w:rPr>
                <w:sz w:val="22"/>
              </w:rPr>
              <w:t xml:space="preserve">Blended</w:t>
            </w:r>
          </w:p>
        </w:tc>
        <w:tc>
          <w:tcPr/>
          <w:p>
            <w:pPr>
              <w:pStyle w:val="Compact"/>
              <w:jc w:val="left"/>
            </w:pPr>
            <w:r>
              <w:rPr>
                <w:sz w:val="22"/>
              </w:rPr>
              <w:t xml:space="preserve">Boolean: Knowledge ≥ 4 and Ability ≥ 4 while Bridges = Ending</w:t>
            </w:r>
          </w:p>
        </w:tc>
        <w:tc>
          <w:tcPr/>
          <w:p>
            <w:pPr>
              <w:pStyle w:val="Compact"/>
              <w:jc w:val="left"/>
            </w:pPr>
            <w:r>
              <w:rPr>
                <w:sz w:val="22"/>
              </w:rPr>
              <w:t xml:space="preserve">Surfaces as ALT-001</w:t>
            </w:r>
          </w:p>
        </w:tc>
        <w:tc>
          <w:tcPr/>
          <w:p>
            <w:pPr>
              <w:pStyle w:val="Compact"/>
              <w:jc w:val="left"/>
            </w:pPr>
            <w:r>
              <w:rPr>
                <w:bCs/>
                <w:b/>
                <w:sz w:val="22"/>
              </w:rPr>
              <w:t xml:space="preserve">Yes</w:t>
            </w:r>
            <w:r>
              <w:rPr>
                <w:sz w:val="22"/>
              </w:rPr>
              <w:t xml:space="preserve"> </w:t>
            </w:r>
            <w:r>
              <w:rPr>
                <w:sz w:val="22"/>
              </w:rPr>
              <w:t xml:space="preserve">— live</w:t>
            </w:r>
          </w:p>
        </w:tc>
      </w:tr>
    </w:tbl>
    <w:bookmarkEnd w:id="113"/>
    <w:bookmarkStart w:id="114" w:name="a.4-module-index-m1m20"/>
    <w:p>
      <w:pPr>
        <w:pStyle w:val="Heading3"/>
      </w:pPr>
      <w:r>
        <w:rPr>
          <w:b/>
          <w:color w:val="3F827B"/>
          <w:sz w:val="29"/>
        </w:rPr>
        <w:t xml:space="preserve">A.4 Module Index (M1–M20)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Module</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Primarily holds</w:t>
            </w:r>
          </w:p>
        </w:tc>
        <w:tc>
          <w:tcPr>
            <w:shd w:val="clear" w:fill="1F4B45"/>
          </w:tcPr>
          <w:p>
            <w:pPr>
              <w:pStyle w:val="Compact"/>
              <w:jc w:val="left"/>
            </w:pPr>
            <w:r>
              <w:rPr>
                <w:b/>
                <w:color w:val="FFFFFF"/>
                <w:sz w:val="22"/>
              </w:rPr>
              <w:t xml:space="preserve">Editable?</w:t>
            </w:r>
          </w:p>
        </w:tc>
      </w:tr>
      <w:tr>
        <w:trPr>
          <w:cantSplit/>
        </w:trPr>
        <w:tc>
          <w:tcPr/>
          <w:p>
            <w:pPr>
              <w:pStyle w:val="Compact"/>
              <w:jc w:val="left"/>
            </w:pPr>
            <w:r>
              <w:rPr>
                <w:sz w:val="22"/>
              </w:rPr>
              <w:t xml:space="preserve">M1</w:t>
            </w:r>
          </w:p>
        </w:tc>
        <w:tc>
          <w:tcPr/>
          <w:p>
            <w:pPr>
              <w:pStyle w:val="Compact"/>
              <w:jc w:val="left"/>
            </w:pPr>
            <w:r>
              <w:rPr>
                <w:sz w:val="22"/>
              </w:rPr>
              <w:t xml:space="preserve">Hierarchy</w:t>
            </w:r>
          </w:p>
        </w:tc>
        <w:tc>
          <w:tcPr/>
          <w:p>
            <w:pPr>
              <w:pStyle w:val="Compact"/>
              <w:jc w:val="left"/>
            </w:pPr>
            <w:r>
              <w:rPr>
                <w:sz w:val="22"/>
              </w:rPr>
              <w:t xml:space="preserve">Groups, Organizations, Main/CM Projects</w:t>
            </w:r>
          </w:p>
        </w:tc>
        <w:tc>
          <w:tcPr/>
          <w:p>
            <w:pPr>
              <w:pStyle w:val="Compact"/>
              <w:jc w:val="left"/>
            </w:pPr>
            <w:r>
              <w:rPr>
                <w:sz w:val="22"/>
              </w:rPr>
              <w:t xml:space="preserve">CRUD</w:t>
            </w:r>
          </w:p>
        </w:tc>
      </w:tr>
      <w:tr>
        <w:trPr>
          <w:cantSplit/>
        </w:trPr>
        <w:tc>
          <w:tcPr/>
          <w:p>
            <w:pPr>
              <w:pStyle w:val="Compact"/>
              <w:jc w:val="left"/>
            </w:pPr>
            <w:r>
              <w:rPr>
                <w:sz w:val="22"/>
              </w:rPr>
              <w:t xml:space="preserve">M2</w:t>
            </w:r>
          </w:p>
        </w:tc>
        <w:tc>
          <w:tcPr/>
          <w:p>
            <w:pPr>
              <w:pStyle w:val="Compact"/>
              <w:jc w:val="left"/>
            </w:pPr>
            <w:r>
              <w:rPr>
                <w:sz w:val="22"/>
              </w:rPr>
              <w:t xml:space="preserve">Identity &amp; RBAC</w:t>
            </w:r>
          </w:p>
        </w:tc>
        <w:tc>
          <w:tcPr/>
          <w:p>
            <w:pPr>
              <w:pStyle w:val="Compact"/>
              <w:jc w:val="left"/>
            </w:pPr>
            <w:r>
              <w:rPr>
                <w:sz w:val="22"/>
              </w:rPr>
              <w:t xml:space="preserve">Users, Permission Matrix, Governance, License</w:t>
            </w:r>
          </w:p>
        </w:tc>
        <w:tc>
          <w:tcPr/>
          <w:p>
            <w:pPr>
              <w:pStyle w:val="Compact"/>
              <w:jc w:val="left"/>
            </w:pPr>
            <w:r>
              <w:rPr>
                <w:sz w:val="22"/>
              </w:rPr>
              <w:t xml:space="preserve">CRUD</w:t>
            </w:r>
          </w:p>
        </w:tc>
      </w:tr>
      <w:tr>
        <w:trPr>
          <w:cantSplit/>
        </w:trPr>
        <w:tc>
          <w:tcPr/>
          <w:p>
            <w:pPr>
              <w:pStyle w:val="Compact"/>
              <w:jc w:val="left"/>
            </w:pPr>
            <w:r>
              <w:rPr>
                <w:sz w:val="22"/>
              </w:rPr>
              <w:t xml:space="preserve">M3</w:t>
            </w:r>
          </w:p>
        </w:tc>
        <w:tc>
          <w:tcPr/>
          <w:p>
            <w:pPr>
              <w:pStyle w:val="Compact"/>
              <w:jc w:val="left"/>
            </w:pPr>
            <w:r>
              <w:rPr>
                <w:sz w:val="22"/>
              </w:rPr>
              <w:t xml:space="preserve">Initiative Registry</w:t>
            </w:r>
          </w:p>
        </w:tc>
        <w:tc>
          <w:tcPr/>
          <w:p>
            <w:pPr>
              <w:pStyle w:val="Compact"/>
              <w:jc w:val="left"/>
            </w:pPr>
            <w:r>
              <w:rPr>
                <w:sz w:val="22"/>
              </w:rPr>
              <w:t xml:space="preserve">Business driver, scope, Lewin phase</w:t>
            </w:r>
          </w:p>
        </w:tc>
        <w:tc>
          <w:tcPr/>
          <w:p>
            <w:pPr>
              <w:pStyle w:val="Compact"/>
              <w:jc w:val="left"/>
            </w:pPr>
            <w:r>
              <w:rPr>
                <w:sz w:val="22"/>
              </w:rPr>
              <w:t xml:space="preserve">CRUD</w:t>
            </w:r>
          </w:p>
        </w:tc>
      </w:tr>
      <w:tr>
        <w:trPr>
          <w:cantSplit/>
        </w:trPr>
        <w:tc>
          <w:tcPr/>
          <w:p>
            <w:pPr>
              <w:pStyle w:val="Compact"/>
              <w:jc w:val="left"/>
            </w:pPr>
            <w:r>
              <w:rPr>
                <w:sz w:val="22"/>
              </w:rPr>
              <w:t xml:space="preserve">M4</w:t>
            </w:r>
          </w:p>
        </w:tc>
        <w:tc>
          <w:tcPr/>
          <w:p>
            <w:pPr>
              <w:pStyle w:val="Compact"/>
              <w:jc w:val="left"/>
            </w:pPr>
            <w:r>
              <w:rPr>
                <w:sz w:val="22"/>
              </w:rPr>
              <w:t xml:space="preserve">Stakeholder Mapping</w:t>
            </w:r>
          </w:p>
        </w:tc>
        <w:tc>
          <w:tcPr/>
          <w:p>
            <w:pPr>
              <w:pStyle w:val="Compact"/>
              <w:jc w:val="left"/>
            </w:pPr>
            <w:r>
              <w:rPr>
                <w:sz w:val="22"/>
              </w:rPr>
              <w:t xml:space="preserve">Cohorts, impact dimension/severity, champions</w:t>
            </w:r>
          </w:p>
        </w:tc>
        <w:tc>
          <w:tcPr/>
          <w:p>
            <w:pPr>
              <w:pStyle w:val="Compact"/>
              <w:jc w:val="left"/>
            </w:pPr>
            <w:r>
              <w:rPr>
                <w:sz w:val="22"/>
              </w:rPr>
              <w:t xml:space="preserve">CRUD</w:t>
            </w:r>
          </w:p>
        </w:tc>
      </w:tr>
      <w:tr>
        <w:trPr>
          <w:cantSplit/>
        </w:trPr>
        <w:tc>
          <w:tcPr/>
          <w:p>
            <w:pPr>
              <w:pStyle w:val="Compact"/>
              <w:jc w:val="left"/>
            </w:pPr>
            <w:r>
              <w:rPr>
                <w:sz w:val="22"/>
              </w:rPr>
              <w:t xml:space="preserve">M5</w:t>
            </w:r>
          </w:p>
        </w:tc>
        <w:tc>
          <w:tcPr/>
          <w:p>
            <w:pPr>
              <w:pStyle w:val="Compact"/>
              <w:jc w:val="left"/>
            </w:pPr>
            <w:r>
              <w:rPr>
                <w:sz w:val="22"/>
              </w:rPr>
              <w:t xml:space="preserve">ADKAR Engine</w:t>
            </w:r>
          </w:p>
        </w:tc>
        <w:tc>
          <w:tcPr/>
          <w:p>
            <w:pPr>
              <w:pStyle w:val="Compact"/>
              <w:jc w:val="left"/>
            </w:pPr>
            <w:r>
              <w:rPr>
                <w:sz w:val="22"/>
              </w:rPr>
              <w:t xml:space="preserve">Five block scores, barrier notes</w:t>
            </w:r>
          </w:p>
        </w:tc>
        <w:tc>
          <w:tcPr/>
          <w:p>
            <w:pPr>
              <w:pStyle w:val="Compact"/>
              <w:jc w:val="left"/>
            </w:pPr>
            <w:r>
              <w:rPr>
                <w:sz w:val="22"/>
              </w:rPr>
              <w:t xml:space="preserve">CRUD</w:t>
            </w:r>
          </w:p>
        </w:tc>
      </w:tr>
      <w:tr>
        <w:trPr>
          <w:cantSplit/>
        </w:trPr>
        <w:tc>
          <w:tcPr/>
          <w:p>
            <w:pPr>
              <w:pStyle w:val="Compact"/>
              <w:jc w:val="left"/>
            </w:pPr>
            <w:r>
              <w:rPr>
                <w:sz w:val="22"/>
              </w:rPr>
              <w:t xml:space="preserve">M6</w:t>
            </w:r>
          </w:p>
        </w:tc>
        <w:tc>
          <w:tcPr/>
          <w:p>
            <w:pPr>
              <w:pStyle w:val="Compact"/>
              <w:jc w:val="left"/>
            </w:pPr>
            <w:r>
              <w:rPr>
                <w:sz w:val="22"/>
              </w:rPr>
              <w:t xml:space="preserve">Emotional &amp; Transition</w:t>
            </w:r>
          </w:p>
        </w:tc>
        <w:tc>
          <w:tcPr/>
          <w:p>
            <w:pPr>
              <w:pStyle w:val="Compact"/>
              <w:jc w:val="left"/>
            </w:pPr>
            <w:r>
              <w:rPr>
                <w:sz w:val="22"/>
              </w:rPr>
              <w:t xml:space="preserve">Bridges stage, Kübler-Ross sentiment</w:t>
            </w:r>
          </w:p>
        </w:tc>
        <w:tc>
          <w:tcPr/>
          <w:p>
            <w:pPr>
              <w:pStyle w:val="Compact"/>
              <w:jc w:val="left"/>
            </w:pPr>
            <w:r>
              <w:rPr>
                <w:sz w:val="22"/>
              </w:rPr>
              <w:t xml:space="preserve">CRUD</w:t>
            </w:r>
          </w:p>
        </w:tc>
      </w:tr>
      <w:tr>
        <w:trPr>
          <w:cantSplit/>
        </w:trPr>
        <w:tc>
          <w:tcPr/>
          <w:p>
            <w:pPr>
              <w:pStyle w:val="Compact"/>
              <w:jc w:val="left"/>
            </w:pPr>
            <w:r>
              <w:rPr>
                <w:sz w:val="22"/>
              </w:rPr>
              <w:t xml:space="preserve">M7</w:t>
            </w:r>
          </w:p>
        </w:tc>
        <w:tc>
          <w:tcPr/>
          <w:p>
            <w:pPr>
              <w:pStyle w:val="Compact"/>
              <w:jc w:val="left"/>
            </w:pPr>
            <w:r>
              <w:rPr>
                <w:sz w:val="22"/>
              </w:rPr>
              <w:t xml:space="preserve">Sponsor &amp; Coalition</w:t>
            </w:r>
          </w:p>
        </w:tc>
        <w:tc>
          <w:tcPr/>
          <w:p>
            <w:pPr>
              <w:pStyle w:val="Compact"/>
              <w:jc w:val="left"/>
            </w:pPr>
            <w:r>
              <w:rPr>
                <w:sz w:val="22"/>
              </w:rPr>
              <w:t xml:space="preserve">Sponsor roadmap, coalition members</w:t>
            </w:r>
          </w:p>
        </w:tc>
        <w:tc>
          <w:tcPr/>
          <w:p>
            <w:pPr>
              <w:pStyle w:val="Compact"/>
              <w:jc w:val="left"/>
            </w:pPr>
            <w:r>
              <w:rPr>
                <w:sz w:val="22"/>
              </w:rPr>
              <w:t xml:space="preserve">CRUD</w:t>
            </w:r>
          </w:p>
        </w:tc>
      </w:tr>
      <w:tr>
        <w:trPr>
          <w:cantSplit/>
        </w:trPr>
        <w:tc>
          <w:tcPr/>
          <w:p>
            <w:pPr>
              <w:pStyle w:val="Compact"/>
              <w:jc w:val="left"/>
            </w:pPr>
            <w:r>
              <w:rPr>
                <w:sz w:val="22"/>
              </w:rPr>
              <w:t xml:space="preserve">M8</w:t>
            </w:r>
          </w:p>
        </w:tc>
        <w:tc>
          <w:tcPr/>
          <w:p>
            <w:pPr>
              <w:pStyle w:val="Compact"/>
              <w:jc w:val="left"/>
            </w:pPr>
            <w:r>
              <w:rPr>
                <w:sz w:val="22"/>
              </w:rPr>
              <w:t xml:space="preserve">Communications</w:t>
            </w:r>
          </w:p>
        </w:tc>
        <w:tc>
          <w:tcPr/>
          <w:p>
            <w:pPr>
              <w:pStyle w:val="Compact"/>
              <w:jc w:val="left"/>
            </w:pPr>
            <w:r>
              <w:rPr>
                <w:sz w:val="22"/>
              </w:rPr>
              <w:t xml:space="preserve">Message × audience × channel × timing</w:t>
            </w:r>
          </w:p>
        </w:tc>
        <w:tc>
          <w:tcPr/>
          <w:p>
            <w:pPr>
              <w:pStyle w:val="Compact"/>
              <w:jc w:val="left"/>
            </w:pPr>
            <w:r>
              <w:rPr>
                <w:sz w:val="22"/>
              </w:rPr>
              <w:t xml:space="preserve">CRUD</w:t>
            </w:r>
          </w:p>
        </w:tc>
      </w:tr>
      <w:tr>
        <w:trPr>
          <w:cantSplit/>
        </w:trPr>
        <w:tc>
          <w:tcPr/>
          <w:p>
            <w:pPr>
              <w:pStyle w:val="Compact"/>
              <w:jc w:val="left"/>
            </w:pPr>
            <w:r>
              <w:rPr>
                <w:sz w:val="22"/>
              </w:rPr>
              <w:t xml:space="preserve">M9</w:t>
            </w:r>
          </w:p>
        </w:tc>
        <w:tc>
          <w:tcPr/>
          <w:p>
            <w:pPr>
              <w:pStyle w:val="Compact"/>
              <w:jc w:val="left"/>
            </w:pPr>
            <w:r>
              <w:rPr>
                <w:sz w:val="22"/>
              </w:rPr>
              <w:t xml:space="preserve">Training</w:t>
            </w:r>
          </w:p>
        </w:tc>
        <w:tc>
          <w:tcPr/>
          <w:p>
            <w:pPr>
              <w:pStyle w:val="Compact"/>
              <w:jc w:val="left"/>
            </w:pPr>
            <w:r>
              <w:rPr>
                <w:sz w:val="22"/>
              </w:rPr>
              <w:t xml:space="preserve">Curriculum, completion, certification</w:t>
            </w:r>
          </w:p>
        </w:tc>
        <w:tc>
          <w:tcPr/>
          <w:p>
            <w:pPr>
              <w:pStyle w:val="Compact"/>
              <w:jc w:val="left"/>
            </w:pPr>
            <w:r>
              <w:rPr>
                <w:sz w:val="22"/>
              </w:rPr>
              <w:t xml:space="preserve">CRUD</w:t>
            </w:r>
          </w:p>
        </w:tc>
      </w:tr>
      <w:tr>
        <w:trPr>
          <w:cantSplit/>
        </w:trPr>
        <w:tc>
          <w:tcPr/>
          <w:p>
            <w:pPr>
              <w:pStyle w:val="Compact"/>
              <w:jc w:val="left"/>
            </w:pPr>
            <w:r>
              <w:rPr>
                <w:sz w:val="22"/>
              </w:rPr>
              <w:t xml:space="preserve">M10</w:t>
            </w:r>
          </w:p>
        </w:tc>
        <w:tc>
          <w:tcPr/>
          <w:p>
            <w:pPr>
              <w:pStyle w:val="Compact"/>
              <w:jc w:val="left"/>
            </w:pPr>
            <w:r>
              <w:rPr>
                <w:sz w:val="22"/>
              </w:rPr>
              <w:t xml:space="preserve">Resistance</w:t>
            </w:r>
          </w:p>
        </w:tc>
        <w:tc>
          <w:tcPr/>
          <w:p>
            <w:pPr>
              <w:pStyle w:val="Compact"/>
              <w:jc w:val="left"/>
            </w:pPr>
            <w:r>
              <w:rPr>
                <w:sz w:val="22"/>
              </w:rPr>
              <w:t xml:space="preserve">Resistance log, Qualitative Coding Workbench</w:t>
            </w:r>
          </w:p>
        </w:tc>
        <w:tc>
          <w:tcPr/>
          <w:p>
            <w:pPr>
              <w:pStyle w:val="Compact"/>
              <w:jc w:val="left"/>
            </w:pPr>
            <w:r>
              <w:rPr>
                <w:sz w:val="22"/>
              </w:rPr>
              <w:t xml:space="preserve">CRUD</w:t>
            </w:r>
          </w:p>
        </w:tc>
      </w:tr>
      <w:tr>
        <w:trPr>
          <w:cantSplit/>
        </w:trPr>
        <w:tc>
          <w:tcPr/>
          <w:p>
            <w:pPr>
              <w:pStyle w:val="Compact"/>
              <w:jc w:val="left"/>
            </w:pPr>
            <w:r>
              <w:rPr>
                <w:sz w:val="22"/>
              </w:rPr>
              <w:t xml:space="preserve">M11</w:t>
            </w:r>
          </w:p>
        </w:tc>
        <w:tc>
          <w:tcPr/>
          <w:p>
            <w:pPr>
              <w:pStyle w:val="Compact"/>
              <w:jc w:val="left"/>
            </w:pPr>
            <w:r>
              <w:rPr>
                <w:sz w:val="22"/>
              </w:rPr>
              <w:t xml:space="preserve">Manager as Coach</w:t>
            </w:r>
          </w:p>
        </w:tc>
        <w:tc>
          <w:tcPr/>
          <w:p>
            <w:pPr>
              <w:pStyle w:val="Compact"/>
              <w:jc w:val="left"/>
            </w:pPr>
            <w:r>
              <w:rPr>
                <w:sz w:val="22"/>
              </w:rPr>
              <w:t xml:space="preserve">Team ADKAR heatmap, coaching actions</w:t>
            </w:r>
          </w:p>
        </w:tc>
        <w:tc>
          <w:tcPr/>
          <w:p>
            <w:pPr>
              <w:pStyle w:val="Compact"/>
              <w:jc w:val="left"/>
            </w:pPr>
            <w:r>
              <w:rPr>
                <w:sz w:val="22"/>
              </w:rPr>
              <w:t xml:space="preserve">Computed view + logged actions</w:t>
            </w:r>
          </w:p>
        </w:tc>
      </w:tr>
      <w:tr>
        <w:trPr>
          <w:cantSplit/>
        </w:trPr>
        <w:tc>
          <w:tcPr/>
          <w:p>
            <w:pPr>
              <w:pStyle w:val="Compact"/>
              <w:jc w:val="left"/>
            </w:pPr>
            <w:r>
              <w:rPr>
                <w:sz w:val="22"/>
              </w:rPr>
              <w:t xml:space="preserve">M12</w:t>
            </w:r>
          </w:p>
        </w:tc>
        <w:tc>
          <w:tcPr/>
          <w:p>
            <w:pPr>
              <w:pStyle w:val="Compact"/>
              <w:jc w:val="left"/>
            </w:pPr>
            <w:r>
              <w:rPr>
                <w:sz w:val="22"/>
              </w:rPr>
              <w:t xml:space="preserve">Sustainment</w:t>
            </w:r>
          </w:p>
        </w:tc>
        <w:tc>
          <w:tcPr/>
          <w:p>
            <w:pPr>
              <w:pStyle w:val="Compact"/>
              <w:jc w:val="left"/>
            </w:pPr>
            <w:r>
              <w:rPr>
                <w:sz w:val="22"/>
              </w:rPr>
              <w:t xml:space="preserve">Checkpoints, quick wins, lessons, sign-off</w:t>
            </w:r>
          </w:p>
        </w:tc>
        <w:tc>
          <w:tcPr/>
          <w:p>
            <w:pPr>
              <w:pStyle w:val="Compact"/>
              <w:jc w:val="left"/>
            </w:pPr>
            <w:r>
              <w:rPr>
                <w:sz w:val="22"/>
              </w:rPr>
              <w:t xml:space="preserve">CRUD</w:t>
            </w:r>
          </w:p>
        </w:tc>
      </w:tr>
      <w:tr>
        <w:trPr>
          <w:cantSplit/>
        </w:trPr>
        <w:tc>
          <w:tcPr/>
          <w:p>
            <w:pPr>
              <w:pStyle w:val="Compact"/>
              <w:jc w:val="left"/>
            </w:pPr>
            <w:r>
              <w:rPr>
                <w:sz w:val="22"/>
              </w:rPr>
              <w:t xml:space="preserve">M13</w:t>
            </w:r>
          </w:p>
        </w:tc>
        <w:tc>
          <w:tcPr/>
          <w:p>
            <w:pPr>
              <w:pStyle w:val="Compact"/>
              <w:jc w:val="left"/>
            </w:pPr>
            <w:r>
              <w:rPr>
                <w:sz w:val="22"/>
              </w:rPr>
              <w:t xml:space="preserve">Risk Register</w:t>
            </w:r>
          </w:p>
        </w:tc>
        <w:tc>
          <w:tcPr/>
          <w:p>
            <w:pPr>
              <w:pStyle w:val="Compact"/>
              <w:jc w:val="left"/>
            </w:pPr>
            <w:r>
              <w:rPr>
                <w:sz w:val="22"/>
              </w:rPr>
              <w:t xml:space="preserve">CM-specific risk entries</w:t>
            </w:r>
          </w:p>
        </w:tc>
        <w:tc>
          <w:tcPr/>
          <w:p>
            <w:pPr>
              <w:pStyle w:val="Compact"/>
              <w:jc w:val="left"/>
            </w:pPr>
            <w:r>
              <w:rPr>
                <w:sz w:val="22"/>
              </w:rPr>
              <w:t xml:space="preserve">CRUD</w:t>
            </w:r>
          </w:p>
        </w:tc>
      </w:tr>
      <w:tr>
        <w:trPr>
          <w:cantSplit/>
        </w:trPr>
        <w:tc>
          <w:tcPr/>
          <w:p>
            <w:pPr>
              <w:pStyle w:val="Compact"/>
              <w:jc w:val="left"/>
            </w:pPr>
            <w:r>
              <w:rPr>
                <w:sz w:val="22"/>
              </w:rPr>
              <w:t xml:space="preserve">M14</w:t>
            </w:r>
          </w:p>
        </w:tc>
        <w:tc>
          <w:tcPr/>
          <w:p>
            <w:pPr>
              <w:pStyle w:val="Compact"/>
              <w:jc w:val="left"/>
            </w:pPr>
            <w:r>
              <w:rPr>
                <w:sz w:val="22"/>
              </w:rPr>
              <w:t xml:space="preserve">Analytics</w:t>
            </w:r>
          </w:p>
        </w:tc>
        <w:tc>
          <w:tcPr/>
          <w:p>
            <w:pPr>
              <w:pStyle w:val="Compact"/>
              <w:jc w:val="left"/>
            </w:pPr>
            <w:r>
              <w:rPr>
                <w:sz w:val="22"/>
              </w:rPr>
              <w:t xml:space="preserve">Composite Readiness Index, adoption curves</w:t>
            </w:r>
          </w:p>
        </w:tc>
        <w:tc>
          <w:tcPr/>
          <w:p>
            <w:pPr>
              <w:pStyle w:val="Compact"/>
              <w:jc w:val="left"/>
            </w:pPr>
            <w:r>
              <w:rPr>
                <w:sz w:val="22"/>
              </w:rPr>
              <w:t xml:space="preserve">Read-only (computed)</w:t>
            </w:r>
          </w:p>
        </w:tc>
      </w:tr>
      <w:tr>
        <w:trPr>
          <w:cantSplit/>
        </w:trPr>
        <w:tc>
          <w:tcPr/>
          <w:p>
            <w:pPr>
              <w:pStyle w:val="Compact"/>
              <w:jc w:val="left"/>
            </w:pPr>
            <w:r>
              <w:rPr>
                <w:sz w:val="22"/>
              </w:rPr>
              <w:t xml:space="preserve">M15</w:t>
            </w:r>
          </w:p>
        </w:tc>
        <w:tc>
          <w:tcPr/>
          <w:p>
            <w:pPr>
              <w:pStyle w:val="Compact"/>
              <w:jc w:val="left"/>
            </w:pPr>
            <w:r>
              <w:rPr>
                <w:sz w:val="22"/>
              </w:rPr>
              <w:t xml:space="preserve">Journey Map</w:t>
            </w:r>
          </w:p>
        </w:tc>
        <w:tc>
          <w:tcPr/>
          <w:p>
            <w:pPr>
              <w:pStyle w:val="Compact"/>
              <w:jc w:val="left"/>
            </w:pPr>
            <w:r>
              <w:rPr>
                <w:sz w:val="22"/>
              </w:rPr>
              <w:t xml:space="preserve">Combined ADKAR/Bridges/sentiment timeline</w:t>
            </w:r>
          </w:p>
        </w:tc>
        <w:tc>
          <w:tcPr/>
          <w:p>
            <w:pPr>
              <w:pStyle w:val="Compact"/>
              <w:jc w:val="left"/>
            </w:pPr>
            <w:r>
              <w:rPr>
                <w:sz w:val="22"/>
              </w:rPr>
              <w:t xml:space="preserve">Read-only (computed)</w:t>
            </w:r>
          </w:p>
        </w:tc>
      </w:tr>
      <w:tr>
        <w:trPr>
          <w:cantSplit/>
        </w:trPr>
        <w:tc>
          <w:tcPr/>
          <w:p>
            <w:pPr>
              <w:pStyle w:val="Compact"/>
              <w:jc w:val="left"/>
            </w:pPr>
            <w:r>
              <w:rPr>
                <w:sz w:val="22"/>
              </w:rPr>
              <w:t xml:space="preserve">M16</w:t>
            </w:r>
          </w:p>
        </w:tc>
        <w:tc>
          <w:tcPr/>
          <w:p>
            <w:pPr>
              <w:pStyle w:val="Compact"/>
              <w:jc w:val="left"/>
            </w:pPr>
            <w:r>
              <w:rPr>
                <w:sz w:val="22"/>
              </w:rPr>
              <w:t xml:space="preserve">AI Use Case Library</w:t>
            </w:r>
          </w:p>
        </w:tc>
        <w:tc>
          <w:tcPr/>
          <w:p>
            <w:pPr>
              <w:pStyle w:val="Compact"/>
              <w:jc w:val="left"/>
            </w:pPr>
            <w:r>
              <w:rPr>
                <w:sz w:val="22"/>
              </w:rPr>
              <w:t xml:space="preserve">Governed AI use-case catalog</w:t>
            </w:r>
          </w:p>
        </w:tc>
        <w:tc>
          <w:tcPr/>
          <w:p>
            <w:pPr>
              <w:pStyle w:val="Compact"/>
              <w:jc w:val="left"/>
            </w:pPr>
            <w:r>
              <w:rPr>
                <w:sz w:val="22"/>
              </w:rPr>
              <w:t xml:space="preserve">Activation toggles only</w:t>
            </w:r>
          </w:p>
        </w:tc>
      </w:tr>
      <w:tr>
        <w:trPr>
          <w:cantSplit/>
        </w:trPr>
        <w:tc>
          <w:tcPr/>
          <w:p>
            <w:pPr>
              <w:pStyle w:val="Compact"/>
              <w:jc w:val="left"/>
            </w:pPr>
            <w:r>
              <w:rPr>
                <w:sz w:val="22"/>
              </w:rPr>
              <w:t xml:space="preserve">M17</w:t>
            </w:r>
          </w:p>
        </w:tc>
        <w:tc>
          <w:tcPr/>
          <w:p>
            <w:pPr>
              <w:pStyle w:val="Compact"/>
              <w:jc w:val="left"/>
            </w:pPr>
            <w:r>
              <w:rPr>
                <w:sz w:val="22"/>
              </w:rPr>
              <w:t xml:space="preserve">WBS &amp; Gantt</w:t>
            </w:r>
          </w:p>
        </w:tc>
        <w:tc>
          <w:tcPr/>
          <w:p>
            <w:pPr>
              <w:pStyle w:val="Compact"/>
              <w:jc w:val="left"/>
            </w:pPr>
            <w:r>
              <w:rPr>
                <w:sz w:val="22"/>
              </w:rPr>
              <w:t xml:space="preserve">Baseline vs. actual schedule, Phase Gates</w:t>
            </w:r>
          </w:p>
        </w:tc>
        <w:tc>
          <w:tcPr/>
          <w:p>
            <w:pPr>
              <w:pStyle w:val="Compact"/>
              <w:jc w:val="left"/>
            </w:pPr>
            <w:r>
              <w:rPr>
                <w:sz w:val="22"/>
              </w:rPr>
              <w:t xml:space="preserve">CRUD</w:t>
            </w:r>
          </w:p>
        </w:tc>
      </w:tr>
      <w:tr>
        <w:trPr>
          <w:cantSplit/>
        </w:trPr>
        <w:tc>
          <w:tcPr/>
          <w:p>
            <w:pPr>
              <w:pStyle w:val="Compact"/>
              <w:jc w:val="left"/>
            </w:pPr>
            <w:r>
              <w:rPr>
                <w:sz w:val="22"/>
              </w:rPr>
              <w:t xml:space="preserve">M18</w:t>
            </w:r>
          </w:p>
        </w:tc>
        <w:tc>
          <w:tcPr/>
          <w:p>
            <w:pPr>
              <w:pStyle w:val="Compact"/>
              <w:jc w:val="left"/>
            </w:pPr>
            <w:r>
              <w:rPr>
                <w:sz w:val="22"/>
              </w:rPr>
              <w:t xml:space="preserve">Process Registry</w:t>
            </w:r>
          </w:p>
        </w:tc>
        <w:tc>
          <w:tcPr/>
          <w:p>
            <w:pPr>
              <w:pStyle w:val="Compact"/>
              <w:jc w:val="left"/>
            </w:pPr>
            <w:r>
              <w:rPr>
                <w:sz w:val="22"/>
              </w:rPr>
              <w:t xml:space="preserve">10 macro processes, 16 E2E chains, RACSI grid</w:t>
            </w:r>
          </w:p>
        </w:tc>
        <w:tc>
          <w:tcPr/>
          <w:p>
            <w:pPr>
              <w:pStyle w:val="Compact"/>
              <w:jc w:val="left"/>
            </w:pPr>
            <w:r>
              <w:rPr>
                <w:sz w:val="22"/>
              </w:rPr>
              <w:t xml:space="preserve">RACSI grid editable; catalogs read-only</w:t>
            </w:r>
          </w:p>
        </w:tc>
      </w:tr>
      <w:tr>
        <w:trPr>
          <w:cantSplit/>
        </w:trPr>
        <w:tc>
          <w:tcPr/>
          <w:p>
            <w:pPr>
              <w:pStyle w:val="Compact"/>
              <w:jc w:val="left"/>
            </w:pPr>
            <w:r>
              <w:rPr>
                <w:sz w:val="22"/>
              </w:rPr>
              <w:t xml:space="preserve">M19</w:t>
            </w:r>
          </w:p>
        </w:tc>
        <w:tc>
          <w:tcPr/>
          <w:p>
            <w:pPr>
              <w:pStyle w:val="Compact"/>
              <w:jc w:val="left"/>
            </w:pPr>
            <w:r>
              <w:rPr>
                <w:sz w:val="22"/>
              </w:rPr>
              <w:t xml:space="preserve">CM Charters</w:t>
            </w:r>
          </w:p>
        </w:tc>
        <w:tc>
          <w:tcPr/>
          <w:p>
            <w:pPr>
              <w:pStyle w:val="Compact"/>
              <w:jc w:val="left"/>
            </w:pPr>
            <w:r>
              <w:rPr>
                <w:sz w:val="22"/>
              </w:rPr>
              <w:t xml:space="preserve">8 signed behavioral standards, compliance log</w:t>
            </w:r>
          </w:p>
        </w:tc>
        <w:tc>
          <w:tcPr/>
          <w:p>
            <w:pPr>
              <w:pStyle w:val="Compact"/>
              <w:jc w:val="left"/>
            </w:pPr>
            <w:r>
              <w:rPr>
                <w:sz w:val="22"/>
              </w:rPr>
              <w:t xml:space="preserve">CRUD</w:t>
            </w:r>
          </w:p>
        </w:tc>
      </w:tr>
      <w:tr>
        <w:trPr>
          <w:cantSplit/>
        </w:trPr>
        <w:tc>
          <w:tcPr/>
          <w:p>
            <w:pPr>
              <w:pStyle w:val="Compact"/>
              <w:jc w:val="left"/>
            </w:pPr>
            <w:r>
              <w:rPr>
                <w:sz w:val="22"/>
              </w:rPr>
              <w:t xml:space="preserve">M20</w:t>
            </w:r>
          </w:p>
        </w:tc>
        <w:tc>
          <w:tcPr/>
          <w:p>
            <w:pPr>
              <w:pStyle w:val="Compact"/>
              <w:jc w:val="left"/>
            </w:pPr>
            <w:r>
              <w:rPr>
                <w:sz w:val="22"/>
              </w:rPr>
              <w:t xml:space="preserve">Journeys &amp; Analytics</w:t>
            </w:r>
          </w:p>
        </w:tc>
        <w:tc>
          <w:tcPr/>
          <w:p>
            <w:pPr>
              <w:pStyle w:val="Compact"/>
              <w:jc w:val="left"/>
            </w:pPr>
            <w:r>
              <w:rPr>
                <w:sz w:val="22"/>
              </w:rPr>
              <w:t xml:space="preserve">8 experience journeys, touchpoint evidence</w:t>
            </w:r>
          </w:p>
        </w:tc>
        <w:tc>
          <w:tcPr/>
          <w:p>
            <w:pPr>
              <w:pStyle w:val="Compact"/>
              <w:jc w:val="left"/>
            </w:pPr>
            <w:r>
              <w:rPr>
                <w:sz w:val="22"/>
              </w:rPr>
              <w:t xml:space="preserve">Evidence logging; templates read-only</w:t>
            </w:r>
          </w:p>
        </w:tc>
      </w:tr>
    </w:tbl>
    <w:bookmarkEnd w:id="114"/>
    <w:bookmarkStart w:id="115" w:name="a.5-the-16-end-to-end-processes-index"/>
    <w:p>
      <w:pPr>
        <w:pStyle w:val="Heading3"/>
      </w:pPr>
      <w:r>
        <w:rPr>
          <w:b/>
          <w:color w:val="3F827B"/>
          <w:sz w:val="29"/>
        </w:rPr>
        <w:t xml:space="preserve">A.5 The 16 End-to-End Processes Index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ID</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Kind</w:t>
            </w:r>
          </w:p>
        </w:tc>
        <w:tc>
          <w:tcPr>
            <w:shd w:val="clear" w:fill="1F4B45"/>
          </w:tcPr>
          <w:p>
            <w:pPr>
              <w:pStyle w:val="Compact"/>
              <w:jc w:val="left"/>
            </w:pPr>
            <w:r>
              <w:rPr>
                <w:b/>
                <w:color w:val="FFFFFF"/>
                <w:sz w:val="22"/>
              </w:rPr>
              <w:t xml:space="preserve">Bouregreg case</w:t>
            </w:r>
          </w:p>
        </w:tc>
      </w:tr>
      <w:tr>
        <w:trPr>
          <w:cantSplit/>
        </w:trPr>
        <w:tc>
          <w:tcPr/>
          <w:p>
            <w:pPr>
              <w:pStyle w:val="Compact"/>
              <w:jc w:val="left"/>
            </w:pPr>
            <w:r>
              <w:rPr>
                <w:sz w:val="22"/>
              </w:rPr>
              <w:t xml:space="preserve">E2E-01</w:t>
            </w:r>
          </w:p>
        </w:tc>
        <w:tc>
          <w:tcPr/>
          <w:p>
            <w:pPr>
              <w:pStyle w:val="Compact"/>
              <w:jc w:val="left"/>
            </w:pPr>
            <w:r>
              <w:rPr>
                <w:sz w:val="22"/>
              </w:rPr>
              <w:t xml:space="preserve">Readiness &amp; Mobilization</w:t>
            </w:r>
          </w:p>
        </w:tc>
        <w:tc>
          <w:tcPr/>
          <w:p>
            <w:pPr>
              <w:pStyle w:val="Compact"/>
              <w:jc w:val="left"/>
            </w:pPr>
            <w:r>
              <w:rPr>
                <w:sz w:val="22"/>
              </w:rPr>
              <w:t xml:space="preserve">Core</w:t>
            </w:r>
          </w:p>
        </w:tc>
        <w:tc>
          <w:tcPr/>
          <w:p>
            <w:pPr>
              <w:pStyle w:val="Compact"/>
              <w:jc w:val="left"/>
            </w:pPr>
            <w:r>
              <w:rPr>
                <w:sz w:val="22"/>
              </w:rPr>
              <w:t xml:space="preserve">ERP Adoption Program, W1–14</w:t>
            </w:r>
          </w:p>
        </w:tc>
      </w:tr>
      <w:tr>
        <w:trPr>
          <w:cantSplit/>
        </w:trPr>
        <w:tc>
          <w:tcPr/>
          <w:p>
            <w:pPr>
              <w:pStyle w:val="Compact"/>
              <w:jc w:val="left"/>
            </w:pPr>
            <w:r>
              <w:rPr>
                <w:sz w:val="22"/>
              </w:rPr>
              <w:t xml:space="preserve">E2E-02</w:t>
            </w:r>
          </w:p>
        </w:tc>
        <w:tc>
          <w:tcPr/>
          <w:p>
            <w:pPr>
              <w:pStyle w:val="Compact"/>
              <w:jc w:val="left"/>
            </w:pPr>
            <w:r>
              <w:rPr>
                <w:sz w:val="22"/>
              </w:rPr>
              <w:t xml:space="preserve">Capability &amp; Divergence Management</w:t>
            </w:r>
          </w:p>
        </w:tc>
        <w:tc>
          <w:tcPr/>
          <w:p>
            <w:pPr>
              <w:pStyle w:val="Compact"/>
              <w:jc w:val="left"/>
            </w:pPr>
            <w:r>
              <w:rPr>
                <w:sz w:val="22"/>
              </w:rPr>
              <w:t xml:space="preserve">Core</w:t>
            </w:r>
          </w:p>
        </w:tc>
        <w:tc>
          <w:tcPr/>
          <w:p>
            <w:pPr>
              <w:pStyle w:val="Compact"/>
              <w:jc w:val="left"/>
            </w:pPr>
            <w:r>
              <w:rPr>
                <w:sz w:val="22"/>
              </w:rPr>
              <w:t xml:space="preserve">ERP Adoption Program, W28–42</w:t>
            </w:r>
          </w:p>
        </w:tc>
      </w:tr>
      <w:tr>
        <w:trPr>
          <w:cantSplit/>
        </w:trPr>
        <w:tc>
          <w:tcPr/>
          <w:p>
            <w:pPr>
              <w:pStyle w:val="Compact"/>
              <w:jc w:val="left"/>
            </w:pPr>
            <w:r>
              <w:rPr>
                <w:sz w:val="22"/>
              </w:rPr>
              <w:t xml:space="preserve">E2E-03</w:t>
            </w:r>
          </w:p>
        </w:tc>
        <w:tc>
          <w:tcPr/>
          <w:p>
            <w:pPr>
              <w:pStyle w:val="Compact"/>
              <w:jc w:val="left"/>
            </w:pPr>
            <w:r>
              <w:rPr>
                <w:sz w:val="22"/>
              </w:rPr>
              <w:t xml:space="preserve">Resistance-to-Commitment</w:t>
            </w:r>
          </w:p>
        </w:tc>
        <w:tc>
          <w:tcPr/>
          <w:p>
            <w:pPr>
              <w:pStyle w:val="Compact"/>
              <w:jc w:val="left"/>
            </w:pPr>
            <w:r>
              <w:rPr>
                <w:sz w:val="22"/>
              </w:rPr>
              <w:t xml:space="preserve">Core</w:t>
            </w:r>
          </w:p>
        </w:tc>
        <w:tc>
          <w:tcPr/>
          <w:p>
            <w:pPr>
              <w:pStyle w:val="Compact"/>
              <w:jc w:val="left"/>
            </w:pPr>
            <w:r>
              <w:rPr>
                <w:sz w:val="22"/>
              </w:rPr>
              <w:t xml:space="preserve">ERP (Exception E1); Order-to-Cash; Settat Restructuring</w:t>
            </w:r>
          </w:p>
        </w:tc>
      </w:tr>
      <w:tr>
        <w:trPr>
          <w:cantSplit/>
        </w:trPr>
        <w:tc>
          <w:tcPr/>
          <w:p>
            <w:pPr>
              <w:pStyle w:val="Compact"/>
              <w:jc w:val="left"/>
            </w:pPr>
            <w:r>
              <w:rPr>
                <w:sz w:val="22"/>
              </w:rPr>
              <w:t xml:space="preserve">E2E-04</w:t>
            </w:r>
          </w:p>
        </w:tc>
        <w:tc>
          <w:tcPr/>
          <w:p>
            <w:pPr>
              <w:pStyle w:val="Compact"/>
              <w:jc w:val="left"/>
            </w:pPr>
            <w:r>
              <w:rPr>
                <w:sz w:val="22"/>
              </w:rPr>
              <w:t xml:space="preserve">Adoption-to-Sustainment</w:t>
            </w:r>
          </w:p>
        </w:tc>
        <w:tc>
          <w:tcPr/>
          <w:p>
            <w:pPr>
              <w:pStyle w:val="Compact"/>
              <w:jc w:val="left"/>
            </w:pPr>
            <w:r>
              <w:rPr>
                <w:sz w:val="22"/>
              </w:rPr>
              <w:t xml:space="preserve">Core</w:t>
            </w:r>
          </w:p>
        </w:tc>
        <w:tc>
          <w:tcPr/>
          <w:p>
            <w:pPr>
              <w:pStyle w:val="Compact"/>
              <w:jc w:val="left"/>
            </w:pPr>
            <w:r>
              <w:rPr>
                <w:sz w:val="22"/>
              </w:rPr>
              <w:t xml:space="preserve">ERP Adoption Program, W43–64</w:t>
            </w:r>
          </w:p>
        </w:tc>
      </w:tr>
      <w:tr>
        <w:trPr>
          <w:cantSplit/>
        </w:trPr>
        <w:tc>
          <w:tcPr/>
          <w:p>
            <w:pPr>
              <w:pStyle w:val="Compact"/>
              <w:jc w:val="left"/>
            </w:pPr>
            <w:r>
              <w:rPr>
                <w:sz w:val="22"/>
              </w:rPr>
              <w:t xml:space="preserve">E2E-05</w:t>
            </w:r>
          </w:p>
        </w:tc>
        <w:tc>
          <w:tcPr/>
          <w:p>
            <w:pPr>
              <w:pStyle w:val="Compact"/>
              <w:jc w:val="left"/>
            </w:pPr>
            <w:r>
              <w:rPr>
                <w:sz w:val="22"/>
              </w:rPr>
              <w:t xml:space="preserve">Signal Aggregation Loop</w:t>
            </w:r>
          </w:p>
        </w:tc>
        <w:tc>
          <w:tcPr/>
          <w:p>
            <w:pPr>
              <w:pStyle w:val="Compact"/>
              <w:jc w:val="left"/>
            </w:pPr>
            <w:r>
              <w:rPr>
                <w:sz w:val="22"/>
              </w:rPr>
              <w:t xml:space="preserve">Cross-cutting loop</w:t>
            </w:r>
          </w:p>
        </w:tc>
        <w:tc>
          <w:tcPr/>
          <w:p>
            <w:pPr>
              <w:pStyle w:val="Compact"/>
              <w:jc w:val="left"/>
            </w:pPr>
            <w:r>
              <w:rPr>
                <w:sz w:val="22"/>
              </w:rPr>
              <w:t xml:space="preserve">Continuous, all nine cases</w:t>
            </w:r>
          </w:p>
        </w:tc>
      </w:tr>
      <w:tr>
        <w:trPr>
          <w:cantSplit/>
        </w:trPr>
        <w:tc>
          <w:tcPr/>
          <w:p>
            <w:pPr>
              <w:pStyle w:val="Compact"/>
              <w:jc w:val="left"/>
            </w:pPr>
            <w:r>
              <w:rPr>
                <w:sz w:val="22"/>
              </w:rPr>
              <w:t xml:space="preserve">E2E-06</w:t>
            </w:r>
          </w:p>
        </w:tc>
        <w:tc>
          <w:tcPr/>
          <w:p>
            <w:pPr>
              <w:pStyle w:val="Compact"/>
              <w:jc w:val="left"/>
            </w:pPr>
            <w:r>
              <w:rPr>
                <w:sz w:val="22"/>
              </w:rPr>
              <w:t xml:space="preserve">PM ↔ CM Governance Bridge</w:t>
            </w:r>
          </w:p>
        </w:tc>
        <w:tc>
          <w:tcPr/>
          <w:p>
            <w:pPr>
              <w:pStyle w:val="Compact"/>
              <w:jc w:val="left"/>
            </w:pPr>
            <w:r>
              <w:rPr>
                <w:sz w:val="22"/>
              </w:rPr>
              <w:t xml:space="preserve">Cross-cutting loop</w:t>
            </w:r>
          </w:p>
        </w:tc>
        <w:tc>
          <w:tcPr/>
          <w:p>
            <w:pPr>
              <w:pStyle w:val="Compact"/>
              <w:jc w:val="left"/>
            </w:pPr>
            <w:r>
              <w:rPr>
                <w:sz w:val="22"/>
              </w:rPr>
              <w:t xml:space="preserve">Every Phase Gate, Part 1B.3</w:t>
            </w:r>
          </w:p>
        </w:tc>
      </w:tr>
      <w:tr>
        <w:trPr>
          <w:cantSplit/>
        </w:trPr>
        <w:tc>
          <w:tcPr/>
          <w:p>
            <w:pPr>
              <w:pStyle w:val="Compact"/>
              <w:jc w:val="left"/>
            </w:pPr>
            <w:r>
              <w:rPr>
                <w:sz w:val="22"/>
              </w:rPr>
              <w:t xml:space="preserve">E2E-07</w:t>
            </w:r>
          </w:p>
        </w:tc>
        <w:tc>
          <w:tcPr/>
          <w:p>
            <w:pPr>
              <w:pStyle w:val="Compact"/>
              <w:jc w:val="left"/>
            </w:pPr>
            <w:r>
              <w:rPr>
                <w:sz w:val="22"/>
              </w:rPr>
              <w:t xml:space="preserve">Champion Early-Warning Loop</w:t>
            </w:r>
          </w:p>
        </w:tc>
        <w:tc>
          <w:tcPr/>
          <w:p>
            <w:pPr>
              <w:pStyle w:val="Compact"/>
              <w:jc w:val="left"/>
            </w:pPr>
            <w:r>
              <w:rPr>
                <w:sz w:val="22"/>
              </w:rPr>
              <w:t xml:space="preserve">Cross-cutting loop</w:t>
            </w:r>
          </w:p>
        </w:tc>
        <w:tc>
          <w:tcPr/>
          <w:p>
            <w:pPr>
              <w:pStyle w:val="Compact"/>
              <w:jc w:val="left"/>
            </w:pPr>
            <w:r>
              <w:rPr>
                <w:sz w:val="22"/>
              </w:rPr>
              <w:t xml:space="preserve">ERP Adoption Program, W12+</w:t>
            </w:r>
          </w:p>
        </w:tc>
      </w:tr>
      <w:tr>
        <w:trPr>
          <w:cantSplit/>
        </w:trPr>
        <w:tc>
          <w:tcPr/>
          <w:p>
            <w:pPr>
              <w:pStyle w:val="Compact"/>
              <w:jc w:val="left"/>
            </w:pPr>
            <w:r>
              <w:rPr>
                <w:sz w:val="22"/>
              </w:rPr>
              <w:t xml:space="preserve">E2E-08</w:t>
            </w:r>
          </w:p>
        </w:tc>
        <w:tc>
          <w:tcPr/>
          <w:p>
            <w:pPr>
              <w:pStyle w:val="Compact"/>
              <w:jc w:val="left"/>
            </w:pPr>
            <w:r>
              <w:rPr>
                <w:sz w:val="22"/>
              </w:rPr>
              <w:t xml:space="preserve">Governance Escalation Loop</w:t>
            </w:r>
          </w:p>
        </w:tc>
        <w:tc>
          <w:tcPr/>
          <w:p>
            <w:pPr>
              <w:pStyle w:val="Compact"/>
              <w:jc w:val="left"/>
            </w:pPr>
            <w:r>
              <w:rPr>
                <w:sz w:val="22"/>
              </w:rPr>
              <w:t xml:space="preserve">Cross-cutting loop</w:t>
            </w:r>
          </w:p>
        </w:tc>
        <w:tc>
          <w:tcPr/>
          <w:p>
            <w:pPr>
              <w:pStyle w:val="Compact"/>
              <w:jc w:val="left"/>
            </w:pPr>
            <w:r>
              <w:rPr>
                <w:sz w:val="22"/>
              </w:rPr>
              <w:t xml:space="preserve">ERP Adoption Program, Exception E5</w:t>
            </w:r>
          </w:p>
        </w:tc>
      </w:tr>
      <w:tr>
        <w:trPr>
          <w:cantSplit/>
        </w:trPr>
        <w:tc>
          <w:tcPr/>
          <w:p>
            <w:pPr>
              <w:pStyle w:val="Compact"/>
              <w:jc w:val="left"/>
            </w:pPr>
            <w:r>
              <w:rPr>
                <w:sz w:val="22"/>
              </w:rPr>
              <w:t xml:space="preserve">E2E-ERP</w:t>
            </w:r>
          </w:p>
        </w:tc>
        <w:tc>
          <w:tcPr/>
          <w:p>
            <w:pPr>
              <w:pStyle w:val="Compact"/>
              <w:jc w:val="left"/>
            </w:pPr>
            <w:r>
              <w:rPr>
                <w:sz w:val="22"/>
              </w:rPr>
              <w:t xml:space="preserve">ERP Implementation Lifecycle</w:t>
            </w:r>
          </w:p>
        </w:tc>
        <w:tc>
          <w:tcPr/>
          <w:p>
            <w:pPr>
              <w:pStyle w:val="Compact"/>
              <w:jc w:val="left"/>
            </w:pPr>
            <w:r>
              <w:rPr>
                <w:sz w:val="22"/>
              </w:rPr>
              <w:t xml:space="preserve">Transformation type</w:t>
            </w:r>
          </w:p>
        </w:tc>
        <w:tc>
          <w:tcPr/>
          <w:p>
            <w:pPr>
              <w:pStyle w:val="Compact"/>
              <w:jc w:val="left"/>
            </w:pPr>
            <w:r>
              <w:rPr>
                <w:sz w:val="22"/>
              </w:rPr>
              <w:t xml:space="preserve">Bouregreg ERP Adoption Program</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 Lifecycle</w:t>
            </w:r>
          </w:p>
        </w:tc>
        <w:tc>
          <w:tcPr/>
          <w:p>
            <w:pPr>
              <w:pStyle w:val="Compact"/>
              <w:jc w:val="left"/>
            </w:pPr>
            <w:r>
              <w:rPr>
                <w:sz w:val="22"/>
              </w:rPr>
              <w:t xml:space="preserve">Transformation type</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 Lifecycle</w:t>
            </w:r>
          </w:p>
        </w:tc>
        <w:tc>
          <w:tcPr/>
          <w:p>
            <w:pPr>
              <w:pStyle w:val="Compact"/>
              <w:jc w:val="left"/>
            </w:pPr>
            <w:r>
              <w:rPr>
                <w:sz w:val="22"/>
              </w:rPr>
              <w:t xml:space="preserve">Transformation type</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 Lifecycle</w:t>
            </w:r>
          </w:p>
        </w:tc>
        <w:tc>
          <w:tcPr/>
          <w:p>
            <w:pPr>
              <w:pStyle w:val="Compact"/>
              <w:jc w:val="left"/>
            </w:pPr>
            <w:r>
              <w:rPr>
                <w:sz w:val="22"/>
              </w:rPr>
              <w:t xml:space="preserve">Transformation type</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 Lifecycle</w:t>
            </w:r>
          </w:p>
        </w:tc>
        <w:tc>
          <w:tcPr/>
          <w:p>
            <w:pPr>
              <w:pStyle w:val="Compact"/>
              <w:jc w:val="left"/>
            </w:pPr>
            <w:r>
              <w:rPr>
                <w:sz w:val="22"/>
              </w:rPr>
              <w:t xml:space="preserve">Transformation type</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 Lifecycle</w:t>
            </w:r>
          </w:p>
        </w:tc>
        <w:tc>
          <w:tcPr/>
          <w:p>
            <w:pPr>
              <w:pStyle w:val="Compact"/>
              <w:jc w:val="left"/>
            </w:pPr>
            <w:r>
              <w:rPr>
                <w:sz w:val="22"/>
              </w:rPr>
              <w:t xml:space="preserve">Transformation type</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 Lifecycle</w:t>
            </w:r>
          </w:p>
        </w:tc>
        <w:tc>
          <w:tcPr/>
          <w:p>
            <w:pPr>
              <w:pStyle w:val="Compact"/>
              <w:jc w:val="left"/>
            </w:pPr>
            <w:r>
              <w:rPr>
                <w:sz w:val="22"/>
              </w:rPr>
              <w:t xml:space="preserve">Transformation type</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 Lifecycle</w:t>
            </w:r>
          </w:p>
        </w:tc>
        <w:tc>
          <w:tcPr/>
          <w:p>
            <w:pPr>
              <w:pStyle w:val="Compact"/>
              <w:jc w:val="left"/>
            </w:pPr>
            <w:r>
              <w:rPr>
                <w:sz w:val="22"/>
              </w:rPr>
              <w:t xml:space="preserve">Transformation type</w:t>
            </w:r>
          </w:p>
        </w:tc>
        <w:tc>
          <w:tcPr/>
          <w:p>
            <w:pPr>
              <w:pStyle w:val="Compact"/>
              <w:jc w:val="left"/>
            </w:pPr>
            <w:r>
              <w:rPr>
                <w:sz w:val="22"/>
              </w:rPr>
              <w:t xml:space="preserve">Plant Digital Skills Upskilling Program</w:t>
            </w:r>
          </w:p>
        </w:tc>
      </w:tr>
    </w:tbl>
    <w:bookmarkEnd w:id="115"/>
    <w:bookmarkStart w:id="116" w:name="a.6-glossary"/>
    <w:p>
      <w:pPr>
        <w:pStyle w:val="Heading3"/>
      </w:pPr>
      <w:r>
        <w:rPr>
          <w:b/>
          <w:color w:val="3F827B"/>
          <w:sz w:val="29"/>
        </w:rPr>
        <w:t xml:space="preserve">A.6 Glossary</w:t>
      </w:r>
    </w:p>
    <w:p>
      <w:pPr>
        <w:numPr>
          <w:ilvl w:val="0"/>
          <w:numId w:val="1023"/>
        </w:numPr>
        <w:pStyle w:val="Compact"/>
      </w:pPr>
      <w:r>
        <w:rPr>
          <w:bCs/>
          <w:b/>
          <w:sz w:val="25"/>
        </w:rPr>
        <w:t xml:space="preserve">ADKAR</w:t>
      </w:r>
      <w:r>
        <w:rPr>
          <w:sz w:val="25"/>
        </w:rPr>
        <w:t xml:space="preserve"> </w:t>
      </w:r>
      <w:r>
        <w:rPr>
          <w:sz w:val="25"/>
        </w:rPr>
        <w:t xml:space="preserve">— Prosci’s individual-change model: Awareness, Desire, Knowledge, Ability, Reinforcement.</w:t>
      </w:r>
    </w:p>
    <w:p>
      <w:pPr>
        <w:numPr>
          <w:ilvl w:val="0"/>
          <w:numId w:val="1023"/>
        </w:numPr>
        <w:pStyle w:val="Compact"/>
      </w:pPr>
      <w:r>
        <w:rPr>
          <w:bCs/>
          <w:b/>
          <w:sz w:val="25"/>
        </w:rPr>
        <w:t xml:space="preserve">Bridges’ Transition Model</w:t>
      </w:r>
      <w:r>
        <w:rPr>
          <w:sz w:val="25"/>
        </w:rPr>
        <w:t xml:space="preserve"> </w:t>
      </w:r>
      <w:r>
        <w:rPr>
          <w:sz w:val="25"/>
        </w:rPr>
        <w:t xml:space="preserve">— William Bridges’ three-stage emotional model: Ending, Neutral Zone, New Beginning.</w:t>
      </w:r>
    </w:p>
    <w:p>
      <w:pPr>
        <w:numPr>
          <w:ilvl w:val="0"/>
          <w:numId w:val="1023"/>
        </w:numPr>
        <w:pStyle w:val="Compact"/>
      </w:pPr>
      <w:r>
        <w:rPr>
          <w:bCs/>
          <w:b/>
          <w:sz w:val="25"/>
        </w:rPr>
        <w:t xml:space="preserve">Composite Readiness Index (CRI)</w:t>
      </w:r>
      <w:r>
        <w:rPr>
          <w:sz w:val="25"/>
        </w:rPr>
        <w:t xml:space="preserve"> </w:t>
      </w:r>
      <w:r>
        <w:rPr>
          <w:sz w:val="25"/>
        </w:rPr>
        <w:t xml:space="preserve">— journi’s single blended readiness number; ADKAR 50% + Kübler-Ross sentiment 25% + training completion 25%.</w:t>
      </w:r>
    </w:p>
    <w:p>
      <w:pPr>
        <w:numPr>
          <w:ilvl w:val="0"/>
          <w:numId w:val="1023"/>
        </w:numPr>
        <w:pStyle w:val="Compact"/>
      </w:pPr>
      <w:r>
        <w:rPr>
          <w:bCs/>
          <w:b/>
          <w:sz w:val="25"/>
        </w:rPr>
        <w:t xml:space="preserve">Divergence Pattern Detector</w:t>
      </w:r>
      <w:r>
        <w:rPr>
          <w:sz w:val="25"/>
        </w:rPr>
        <w:t xml:space="preserve"> </w:t>
      </w:r>
      <w:r>
        <w:rPr>
          <w:sz w:val="25"/>
        </w:rPr>
        <w:t xml:space="preserve">— journi’s automated check for a cohort whose demonstrated capability (Knowledge/Ability) has outpaced their emotional transition (Bridges still</w:t>
      </w:r>
      <w:r>
        <w:rPr>
          <w:sz w:val="25"/>
        </w:rPr>
        <w:t xml:space="preserve"> </w:t>
      </w:r>
      <w:r>
        <w:rPr>
          <w:sz w:val="25"/>
        </w:rPr>
        <w:t xml:space="preserve">“</w:t>
      </w:r>
      <w:r>
        <w:rPr>
          <w:sz w:val="25"/>
        </w:rPr>
        <w:t xml:space="preserve">Ending</w:t>
      </w:r>
      <w:r>
        <w:rPr>
          <w:sz w:val="25"/>
        </w:rPr>
        <w:t xml:space="preserve">”</w:t>
      </w:r>
      <w:r>
        <w:rPr>
          <w:sz w:val="25"/>
        </w:rPr>
        <w:t xml:space="preserve">); surfaces as ALT-001.</w:t>
      </w:r>
    </w:p>
    <w:p>
      <w:pPr>
        <w:numPr>
          <w:ilvl w:val="0"/>
          <w:numId w:val="1023"/>
        </w:numPr>
        <w:pStyle w:val="Compact"/>
      </w:pPr>
      <w:r>
        <w:rPr>
          <w:bCs/>
          <w:b/>
          <w:sz w:val="25"/>
        </w:rPr>
        <w:t xml:space="preserve">E2E</w:t>
      </w:r>
      <w:r>
        <w:rPr>
          <w:sz w:val="25"/>
        </w:rPr>
        <w:t xml:space="preserve"> </w:t>
      </w:r>
      <w:r>
        <w:rPr>
          <w:sz w:val="25"/>
        </w:rPr>
        <w:t xml:space="preserve">— End-to-End (process chain), registered on M18.</w:t>
      </w:r>
    </w:p>
    <w:p>
      <w:pPr>
        <w:numPr>
          <w:ilvl w:val="0"/>
          <w:numId w:val="1023"/>
        </w:numPr>
        <w:pStyle w:val="Compact"/>
      </w:pPr>
      <w:r>
        <w:rPr>
          <w:bCs/>
          <w:b/>
          <w:sz w:val="25"/>
        </w:rPr>
        <w:t xml:space="preserve">Kübler-Ross Change Curve</w:t>
      </w:r>
      <w:r>
        <w:rPr>
          <w:sz w:val="25"/>
        </w:rPr>
        <w:t xml:space="preserve"> </w:t>
      </w:r>
      <w:r>
        <w:rPr>
          <w:sz w:val="25"/>
        </w:rPr>
        <w:t xml:space="preserve">— as implemented in journi, a simplified four-stage sentiment model: Denial, Resistance/Anger, Exploration, Commitment.</w:t>
      </w:r>
    </w:p>
    <w:p>
      <w:pPr>
        <w:numPr>
          <w:ilvl w:val="0"/>
          <w:numId w:val="1023"/>
        </w:numPr>
        <w:pStyle w:val="Compact"/>
      </w:pPr>
      <w:r>
        <w:rPr>
          <w:bCs/>
          <w:b/>
          <w:sz w:val="25"/>
        </w:rPr>
        <w:t xml:space="preserve">Lewin’s Change Model</w:t>
      </w:r>
      <w:r>
        <w:rPr>
          <w:sz w:val="25"/>
        </w:rPr>
        <w:t xml:space="preserve"> </w:t>
      </w:r>
      <w:r>
        <w:rPr>
          <w:sz w:val="25"/>
        </w:rPr>
        <w:t xml:space="preserve">— Kurt Lewin’s organizational three-stage model: Unfreeze, Change, Refreeze.</w:t>
      </w:r>
    </w:p>
    <w:p>
      <w:pPr>
        <w:numPr>
          <w:ilvl w:val="0"/>
          <w:numId w:val="1023"/>
        </w:numPr>
        <w:pStyle w:val="Compact"/>
      </w:pPr>
      <w:r>
        <w:rPr>
          <w:bCs/>
          <w:b/>
          <w:sz w:val="25"/>
        </w:rPr>
        <w:t xml:space="preserve">MP</w:t>
      </w:r>
      <w:r>
        <w:rPr>
          <w:sz w:val="25"/>
        </w:rPr>
        <w:t xml:space="preserve"> </w:t>
      </w:r>
      <w:r>
        <w:rPr>
          <w:sz w:val="25"/>
        </w:rPr>
        <w:t xml:space="preserve">— Macro Process (one of journi’s 10 registered process categories, MP-01 through MP-10).</w:t>
      </w:r>
    </w:p>
    <w:p>
      <w:pPr>
        <w:numPr>
          <w:ilvl w:val="0"/>
          <w:numId w:val="1023"/>
        </w:numPr>
        <w:pStyle w:val="Compact"/>
      </w:pPr>
      <w:r>
        <w:rPr>
          <w:bCs/>
          <w:b/>
          <w:sz w:val="25"/>
        </w:rPr>
        <w:t xml:space="preserve">RACSI</w:t>
      </w:r>
      <w:r>
        <w:rPr>
          <w:sz w:val="25"/>
        </w:rPr>
        <w:t xml:space="preserve"> </w:t>
      </w:r>
      <w:r>
        <w:rPr>
          <w:sz w:val="25"/>
        </w:rPr>
        <w:t xml:space="preserve">— journi’s seven-role responsibility grid; see A.2.</w:t>
      </w:r>
    </w:p>
    <w:p>
      <w:pPr>
        <w:numPr>
          <w:ilvl w:val="0"/>
          <w:numId w:val="1023"/>
        </w:numPr>
        <w:pStyle w:val="Compact"/>
      </w:pPr>
      <w:r>
        <w:rPr>
          <w:bCs/>
          <w:b/>
          <w:sz w:val="25"/>
        </w:rPr>
        <w:t xml:space="preserve">SIPOC</w:t>
      </w:r>
      <w:r>
        <w:rPr>
          <w:sz w:val="25"/>
        </w:rPr>
        <w:t xml:space="preserve"> </w:t>
      </w:r>
      <w:r>
        <w:rPr>
          <w:sz w:val="25"/>
        </w:rPr>
        <w:t xml:space="preserve">— Suppliers, Inputs, Process, Outputs, Customers — the process-mapping frame used throughout Part 1B and Part 3.</w:t>
      </w:r>
    </w:p>
    <w:p>
      <w:pPr>
        <w:numPr>
          <w:ilvl w:val="0"/>
          <w:numId w:val="1023"/>
        </w:numPr>
        <w:pStyle w:val="Compact"/>
      </w:pPr>
      <w:r>
        <w:rPr>
          <w:bCs/>
          <w:b/>
          <w:sz w:val="25"/>
        </w:rPr>
        <w:t xml:space="preserve">TPL-ERP-8</w:t>
      </w:r>
      <w:r>
        <w:rPr>
          <w:sz w:val="25"/>
        </w:rPr>
        <w:t xml:space="preserve"> </w:t>
      </w:r>
      <w:r>
        <w:rPr>
          <w:sz w:val="25"/>
        </w:rPr>
        <w:t xml:space="preserve">— journi’s 8-phase ERP implementation Phase Template (M17): Discovery, Design, Build, Test, Train, Deploy, Hypercare, Sustain.</w:t>
      </w:r>
    </w:p>
    <w:p>
      <w:pPr>
        <w:numPr>
          <w:ilvl w:val="0"/>
          <w:numId w:val="1023"/>
        </w:numPr>
        <w:pStyle w:val="Compact"/>
      </w:pPr>
      <w:r>
        <w:rPr>
          <w:bCs/>
          <w:b/>
          <w:sz w:val="25"/>
        </w:rPr>
        <w:t xml:space="preserve">WBS</w:t>
      </w:r>
      <w:r>
        <w:rPr>
          <w:sz w:val="25"/>
        </w:rPr>
        <w:t xml:space="preserve"> </w:t>
      </w:r>
      <w:r>
        <w:rPr>
          <w:sz w:val="25"/>
        </w:rPr>
        <w:t xml:space="preserve">— Work Breakdown Structure, M17’s combined Project Management / Change Management schedule.</w:t>
      </w:r>
    </w:p>
    <w:p>
      <w:pPr>
        <w:pStyle w:val="FirstParagraph"/>
      </w:pPr>
    </w:p>
    <w:bookmarkEnd w:id="116"/>
    <w:bookmarkStart w:id="117" w:name="a.7-a-worked-racsi-grid-example-m18"/>
    <w:p>
      <w:pPr>
        <w:pStyle w:val="Heading3"/>
      </w:pPr>
      <w:r>
        <w:rPr>
          <w:b/>
          <w:color w:val="3F827B"/>
          <w:sz w:val="29"/>
        </w:rPr>
        <w:t xml:space="preserve">A.7 A Worked RACSI Grid Example (M18)</w:t>
      </w:r>
    </w:p>
    <w:p>
      <w:pPr>
        <w:pStyle w:val="FirstParagraph"/>
      </w:pPr>
      <w:r>
        <w:rPr>
          <w:sz w:val="25"/>
        </w:rPr>
        <w:t xml:space="preserve">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shd w:val="clear" w:fill="1F4B45"/>
          </w:tcPr>
          <w:p>
            <w:pPr>
              <w:pStyle w:val="Compact"/>
              <w:jc w:val="left"/>
            </w:pPr>
            <w:r>
              <w:rPr>
                <w:b/>
                <w:color w:val="FFFFFF"/>
                <w:sz w:val="22"/>
              </w:rPr>
              <w:t xml:space="preserve">Macro Process</w:t>
            </w:r>
          </w:p>
        </w:tc>
        <w:tc>
          <w:tcPr>
            <w:shd w:val="clear" w:fill="1F4B45"/>
          </w:tcPr>
          <w:p>
            <w:pPr>
              <w:pStyle w:val="Compact"/>
              <w:jc w:val="left"/>
            </w:pPr>
            <w:r>
              <w:rPr>
                <w:b/>
                <w:color w:val="FFFFFF"/>
                <w:sz w:val="22"/>
              </w:rPr>
              <w:t xml:space="preserve">R (Responsible)</w:t>
            </w:r>
          </w:p>
        </w:tc>
        <w:tc>
          <w:tcPr>
            <w:shd w:val="clear" w:fill="1F4B45"/>
          </w:tcPr>
          <w:p>
            <w:pPr>
              <w:pStyle w:val="Compact"/>
              <w:jc w:val="left"/>
            </w:pPr>
            <w:r>
              <w:rPr>
                <w:b/>
                <w:color w:val="FFFFFF"/>
                <w:sz w:val="22"/>
              </w:rPr>
              <w:t xml:space="preserve">A (Accountable)</w:t>
            </w:r>
          </w:p>
        </w:tc>
        <w:tc>
          <w:tcPr>
            <w:shd w:val="clear" w:fill="1F4B45"/>
          </w:tcPr>
          <w:p>
            <w:pPr>
              <w:pStyle w:val="Compact"/>
              <w:jc w:val="left"/>
            </w:pPr>
            <w:r>
              <w:rPr>
                <w:b/>
                <w:color w:val="FFFFFF"/>
                <w:sz w:val="22"/>
              </w:rPr>
              <w:t xml:space="preserve">C (Consulted)</w:t>
            </w:r>
          </w:p>
        </w:tc>
        <w:tc>
          <w:tcPr>
            <w:shd w:val="clear" w:fill="1F4B45"/>
          </w:tcPr>
          <w:p>
            <w:pPr>
              <w:pStyle w:val="Compact"/>
              <w:jc w:val="left"/>
            </w:pPr>
            <w:r>
              <w:rPr>
                <w:b/>
                <w:color w:val="FFFFFF"/>
                <w:sz w:val="22"/>
              </w:rPr>
              <w:t xml:space="preserve">S (Support)</w:t>
            </w:r>
          </w:p>
        </w:tc>
        <w:tc>
          <w:tcPr>
            <w:shd w:val="clear" w:fill="1F4B45"/>
          </w:tcPr>
          <w:p>
            <w:pPr>
              <w:pStyle w:val="Compact"/>
              <w:jc w:val="left"/>
            </w:pPr>
            <w:r>
              <w:rPr>
                <w:b/>
                <w:color w:val="FFFFFF"/>
                <w:sz w:val="22"/>
              </w:rPr>
              <w:t xml:space="preserve">I (Informed)</w:t>
            </w:r>
          </w:p>
        </w:tc>
      </w:tr>
      <w:tr>
        <w:trPr>
          <w:cantSplit/>
        </w:trPr>
        <w:tc>
          <w:tcPr/>
          <w:p>
            <w:pPr>
              <w:pStyle w:val="Compact"/>
              <w:jc w:val="left"/>
            </w:pPr>
            <w:r>
              <w:rPr>
                <w:sz w:val="22"/>
              </w:rPr>
              <w:t xml:space="preserve">MP-01 Change Impact &amp; Stakeholder Assessment</w:t>
            </w:r>
          </w:p>
        </w:tc>
        <w:tc>
          <w:tcPr/>
          <w:p>
            <w:pPr>
              <w:pStyle w:val="Compact"/>
              <w:jc w:val="left"/>
            </w:pPr>
            <w:r>
              <w:rPr>
                <w:sz w:val="22"/>
              </w:rPr>
              <w:t xml:space="preserve">PM, FPO</w:t>
            </w:r>
          </w:p>
        </w:tc>
        <w:tc>
          <w:tcPr/>
          <w:p>
            <w:pPr>
              <w:pStyle w:val="Compact"/>
              <w:jc w:val="left"/>
            </w:pPr>
            <w:r>
              <w:rPr>
                <w:sz w:val="22"/>
              </w:rPr>
              <w:t xml:space="preserve">ES</w:t>
            </w:r>
          </w:p>
        </w:tc>
        <w:tc>
          <w:tcPr/>
          <w:p>
            <w:pPr>
              <w:pStyle w:val="Compact"/>
              <w:jc w:val="left"/>
            </w:pPr>
            <w:r>
              <w:rPr>
                <w:sz w:val="22"/>
              </w:rPr>
              <w:t xml:space="preserve">CM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MP-02 Sponsorship &amp; Governance Management</w:t>
            </w:r>
          </w:p>
        </w:tc>
        <w:tc>
          <w:tcPr/>
          <w:p>
            <w:pPr>
              <w:pStyle w:val="Compact"/>
              <w:jc w:val="left"/>
            </w:pPr>
            <w:r>
              <w:rPr>
                <w:sz w:val="22"/>
              </w:rPr>
              <w:t xml:space="preserve">CM</w:t>
            </w:r>
          </w:p>
        </w:tc>
        <w:tc>
          <w:tcPr/>
          <w:p>
            <w:pPr>
              <w:pStyle w:val="Compact"/>
              <w:jc w:val="left"/>
            </w:pPr>
            <w:r>
              <w:rPr>
                <w:sz w:val="22"/>
              </w:rPr>
              <w:t xml:space="preserve">ES</w:t>
            </w:r>
          </w:p>
        </w:tc>
        <w:tc>
          <w:tcPr/>
          <w:p>
            <w:pPr>
              <w:pStyle w:val="Compact"/>
              <w:jc w:val="left"/>
            </w:pPr>
            <w:r>
              <w:rPr>
                <w:sz w:val="22"/>
              </w:rPr>
              <w:t xml:space="preserve">PM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MP-03 Communication &amp; Awareness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SUP</w:t>
            </w:r>
          </w:p>
        </w:tc>
        <w:tc>
          <w:tcPr/>
          <w:p>
            <w:pPr>
              <w:pStyle w:val="Compact"/>
              <w:jc w:val="left"/>
            </w:pPr>
            <w:r>
              <w:rPr>
                <w:sz w:val="22"/>
              </w:rPr>
              <w:t xml:space="preserve">EU, ES</w:t>
            </w:r>
          </w:p>
        </w:tc>
      </w:tr>
      <w:tr>
        <w:trPr>
          <w:cantSplit/>
        </w:trPr>
        <w:tc>
          <w:tcPr/>
          <w:p>
            <w:pPr>
              <w:pStyle w:val="Compact"/>
              <w:jc w:val="left"/>
            </w:pPr>
            <w:r>
              <w:rPr>
                <w:sz w:val="22"/>
              </w:rPr>
              <w:t xml:space="preserve">MP-04 Resistance &amp; Barrier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ES, SUP</w:t>
            </w:r>
          </w:p>
        </w:tc>
        <w:tc>
          <w:tcPr/>
          <w:p>
            <w:pPr>
              <w:pStyle w:val="Compact"/>
              <w:jc w:val="left"/>
            </w:pPr>
            <w:r>
              <w:rPr>
                <w:sz w:val="22"/>
              </w:rPr>
              <w:t xml:space="preserve">PM</w:t>
            </w:r>
          </w:p>
        </w:tc>
        <w:tc>
          <w:tcPr/>
          <w:p>
            <w:pPr>
              <w:pStyle w:val="Compact"/>
              <w:jc w:val="left"/>
            </w:pPr>
            <w:r>
              <w:rPr>
                <w:sz w:val="22"/>
              </w:rPr>
              <w:t xml:space="preserve">FPO, EU</w:t>
            </w:r>
          </w:p>
        </w:tc>
      </w:tr>
      <w:tr>
        <w:trPr>
          <w:cantSplit/>
        </w:trPr>
        <w:tc>
          <w:tcPr/>
          <w:p>
            <w:pPr>
              <w:pStyle w:val="Compact"/>
              <w:jc w:val="left"/>
            </w:pPr>
            <w:r>
              <w:rPr>
                <w:sz w:val="22"/>
              </w:rPr>
              <w:t xml:space="preserve">MP-05 Training &amp; Capability Enablement</w:t>
            </w:r>
          </w:p>
        </w:tc>
        <w:tc>
          <w:tcPr/>
          <w:p>
            <w:pPr>
              <w:pStyle w:val="Compact"/>
              <w:jc w:val="left"/>
            </w:pPr>
            <w:r>
              <w:rPr>
                <w:sz w:val="22"/>
              </w:rPr>
              <w:t xml:space="preserve">CM, SUP</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PM</w:t>
            </w:r>
          </w:p>
        </w:tc>
        <w:tc>
          <w:tcPr/>
          <w:p>
            <w:pPr>
              <w:pStyle w:val="Compact"/>
              <w:jc w:val="left"/>
            </w:pPr>
            <w:r>
              <w:rPr>
                <w:sz w:val="22"/>
              </w:rPr>
              <w:t xml:space="preserve">ES, EU</w:t>
            </w:r>
          </w:p>
        </w:tc>
      </w:tr>
    </w:tbl>
    <w:p>
      <w:pPr>
        <w:pStyle w:val="BodyText"/>
      </w:pPr>
      <w:r>
        <w:rPr>
          <w:sz w:val="25"/>
        </w:rPr>
        <w:t xml:space="preserve">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pPr>
    </w:p>
    <w:bookmarkEnd w:id="117"/>
    <w:bookmarkStart w:id="118" w:name="a.8-sample-journi-entries"/>
    <w:p>
      <w:pPr>
        <w:pStyle w:val="Heading3"/>
      </w:pPr>
      <w:r>
        <w:rPr>
          <w:b/>
          <w:color w:val="3F827B"/>
          <w:sz w:val="29"/>
        </w:rPr>
        <w:t xml:space="preserve">A.8 Sample journi Entries</w:t>
      </w:r>
    </w:p>
    <w:p>
      <w:pPr>
        <w:pStyle w:val="FirstParagraph"/>
      </w:pPr>
      <w:r>
        <w:rPr>
          <w:sz w:val="25"/>
        </w:rPr>
        <w:t xml:space="preserve">The snippets below are the kind of text a Change Manager actually types into journi’s justification and note fields — included here so a first-time user isn’t staring at a blank field wondering what</w:t>
      </w:r>
      <w:r>
        <w:rPr>
          <w:sz w:val="25"/>
        </w:rPr>
        <w:t xml:space="preserve"> </w:t>
      </w:r>
      <w:r>
        <w:rPr>
          <w:sz w:val="25"/>
        </w:rPr>
        <w:t xml:space="preserve">“</w:t>
      </w:r>
      <w:r>
        <w:rPr>
          <w:sz w:val="25"/>
        </w:rPr>
        <w:t xml:space="preserve">good</w:t>
      </w:r>
      <w:r>
        <w:rPr>
          <w:sz w:val="25"/>
        </w:rPr>
        <w:t xml:space="preserve">”</w:t>
      </w:r>
      <w:r>
        <w:rPr>
          <w:sz w:val="25"/>
        </w:rPr>
        <w:t xml:space="preserve"> </w:t>
      </w:r>
      <w:r>
        <w:rPr>
          <w:sz w:val="25"/>
        </w:rPr>
        <w:t xml:space="preserve">looks like.</w:t>
      </w:r>
    </w:p>
    <w:p>
      <w:pPr>
        <w:pStyle w:val="BodyText"/>
      </w:pPr>
      <w:r>
        <w:rPr>
          <w:bCs/>
          <w:b/>
          <w:sz w:val="25"/>
        </w:rPr>
        <w:t xml:space="preserve">A Lewin phase-call justification (M3, Phase 3 — Build, Part 1B.3):</w:t>
      </w:r>
      <w:r>
        <w:rPr>
          <w:sz w:val="25"/>
        </w:rPr>
        <w:t xml:space="preserve"> </w:t>
      </w:r>
      <w:r>
        <w:rPr>
          <w:iCs/>
          <w:i/>
          <w:sz w:val="25"/>
        </w:rPr>
        <w:t xml:space="preserve">“</w:t>
      </w:r>
      <w:r>
        <w:rPr>
          <w:iCs/>
          <w:i/>
          <w:sz w:val="25"/>
        </w:rPr>
        <w:t xml:space="preserve">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r>
        <w:rPr>
          <w:iCs/>
          <w:i/>
          <w:sz w:val="25"/>
        </w:rPr>
        <w:t xml:space="preserve">”</w:t>
      </w:r>
    </w:p>
    <w:p>
      <w:pPr>
        <w:pStyle w:val="BodyText"/>
      </w:pPr>
      <w:r>
        <w:rPr>
          <w:bCs/>
          <w:b/>
          <w:sz w:val="25"/>
        </w:rPr>
        <w:t xml:space="preserve">An ADKAR barrier-reason note (M5, auto-escalated at Desire = 2, Exception E1):</w:t>
      </w:r>
      <w:r>
        <w:rPr>
          <w:sz w:val="25"/>
        </w:rPr>
        <w:t xml:space="preserve"> </w:t>
      </w:r>
      <w:r>
        <w:rPr>
          <w:iCs/>
          <w:i/>
          <w:sz w:val="25"/>
        </w:rPr>
        <w:t xml:space="preserve">“</w:t>
      </w:r>
      <w:r>
        <w:rPr>
          <w:iCs/>
          <w:i/>
          <w:sz w:val="25"/>
        </w:rPr>
        <w:t xml:space="preserve">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r>
        <w:rPr>
          <w:iCs/>
          <w:i/>
          <w:sz w:val="25"/>
        </w:rPr>
        <w:t xml:space="preserve">”</w:t>
      </w:r>
    </w:p>
    <w:p>
      <w:pPr>
        <w:pStyle w:val="BodyText"/>
      </w:pPr>
      <w:r>
        <w:rPr>
          <w:bCs/>
          <w:b/>
          <w:sz w:val="25"/>
        </w:rPr>
        <w:t xml:space="preserve">A Communications entry (M8, Phase 6 — Deploy):</w:t>
      </w:r>
      <w:r>
        <w:rPr>
          <w:sz w:val="25"/>
        </w:rPr>
        <w:t xml:space="preserve"> </w:t>
      </w:r>
      <w:r>
        <w:rPr>
          <w:iCs/>
          <w:i/>
          <w:sz w:val="25"/>
        </w:rPr>
        <w:t xml:space="preserve">“</w:t>
      </w:r>
      <w:r>
        <w:rPr>
          <w:iCs/>
          <w:i/>
          <w:sz w:val="25"/>
        </w:rPr>
        <w:t xml:space="preserve">Go-live confirmation — all sites. Audience: all 3,400 staff. Channel: email + site noticeboards + supervisor cascade. Timing: Monday W43, 07:00, ahead of first shift. Checked against saturation detection — no other queued communication this week.</w:t>
      </w:r>
      <w:r>
        <w:rPr>
          <w:iCs/>
          <w:i/>
          <w:sz w:val="25"/>
        </w:rPr>
        <w:t xml:space="preserve">”</w:t>
      </w:r>
    </w:p>
    <w:p>
      <w:pPr>
        <w:pStyle w:val="BodyText"/>
      </w:pPr>
      <w:r>
        <w:rPr>
          <w:bCs/>
          <w:b/>
          <w:sz w:val="25"/>
        </w:rPr>
        <w:t xml:space="preserve">A Charter compliance-log entry (M19, Sponsor Charter):</w:t>
      </w:r>
      <w:r>
        <w:rPr>
          <w:sz w:val="25"/>
        </w:rPr>
        <w:t xml:space="preserve"> </w:t>
      </w:r>
      <w:r>
        <w:rPr>
          <w:iCs/>
          <w:i/>
          <w:sz w:val="25"/>
        </w:rPr>
        <w:t xml:space="preserve">“</w:t>
      </w:r>
      <w:r>
        <w:rPr>
          <w:iCs/>
          <w:i/>
          <w:sz w:val="25"/>
        </w:rPr>
        <w:t xml:space="preserve">CFO delivered Q2 town hall in person at all three sites (Casablanca 14 [date], Kenitra 15 [date], Settat 16 [date]). Visible sponsorship action logged against Sponsor Charter standard 1 (active, visible commitment). Cross-referenced to M7 sponsor roadmap action #4.</w:t>
      </w:r>
      <w:r>
        <w:rPr>
          <w:iCs/>
          <w:i/>
          <w:sz w:val="25"/>
        </w:rPr>
        <w:t xml:space="preserve">”</w:t>
      </w:r>
    </w:p>
    <w:p>
      <w:pPr>
        <w:pStyle w:val="BodyText"/>
      </w:pPr>
      <w:r>
        <w:rPr>
          <w:bCs/>
          <w:b/>
          <w:sz w:val="25"/>
        </w:rPr>
        <w:t xml:space="preserve">A Sustainment checkpoint note (M12, 90-day checkpoint, Exception E5):</w:t>
      </w:r>
      <w:r>
        <w:rPr>
          <w:sz w:val="25"/>
        </w:rPr>
        <w:t xml:space="preserve"> </w:t>
      </w:r>
      <w:r>
        <w:rPr>
          <w:iCs/>
          <w:i/>
          <w:sz w:val="25"/>
        </w:rPr>
        <w:t xml:space="preserve">“</w:t>
      </w:r>
      <w:r>
        <w:rPr>
          <w:iCs/>
          <w:i/>
          <w:sz w:val="25"/>
        </w:rPr>
        <w:t xml:space="preserve">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r>
        <w:rPr>
          <w:iCs/>
          <w:i/>
          <w:sz w:val="25"/>
        </w:rPr>
        <w:t xml:space="preserve">”</w:t>
      </w:r>
    </w:p>
    <w:p>
      <w:pPr>
        <w:pStyle w:val="BodyText"/>
      </w:pPr>
    </w:p>
    <w:bookmarkEnd w:id="118"/>
    <w:bookmarkStart w:id="119" w:name="a.9-frequently-asked-questions"/>
    <w:p>
      <w:pPr>
        <w:pStyle w:val="Heading3"/>
      </w:pPr>
      <w:r>
        <w:rPr>
          <w:b/>
          <w:color w:val="3F827B"/>
          <w:sz w:val="29"/>
        </w:rPr>
        <w:t xml:space="preserve">A.9 Frequently Asked Questions</w:t>
      </w:r>
    </w:p>
    <w:p>
      <w:pPr>
        <w:pStyle w:val="FirstParagraph"/>
      </w:pPr>
      <w:r>
        <w:rPr>
          <w:bCs/>
          <w:b/>
          <w:sz w:val="25"/>
        </w:rPr>
        <w:t xml:space="preserve">Why does journi never auto-compute a Lewin, Bridges, or Kübler-Ross reading, when it does compute the Composite Readiness Index?</w:t>
      </w:r>
      <w:r>
        <w:rPr>
          <w:sz w:val="25"/>
        </w:rPr>
        <w:t xml:space="preserve"> </w:t>
      </w:r>
      <w:r>
        <w:rPr>
          <w:sz w:val="25"/>
        </w:rPr>
        <w:t xml:space="preserve">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pPr>
      <w:r>
        <w:rPr>
          <w:bCs/>
          <w:b/>
          <w:sz w:val="25"/>
        </w:rPr>
        <w:t xml:space="preserve">If Bouregreg’s program overlaps eight other CM Projects, doesn’t ALT-008 (Change Saturation) just fire constantly and become noise?</w:t>
      </w:r>
      <w:r>
        <w:rPr>
          <w:sz w:val="25"/>
        </w:rPr>
        <w:t xml:space="preserve"> </w:t>
      </w:r>
      <w:r>
        <w:rPr>
          <w:sz w:val="25"/>
        </w:rPr>
        <w:t xml:space="preserve">It fires when a population segment is targeted by two or more</w:t>
      </w:r>
      <w:r>
        <w:rPr>
          <w:sz w:val="25"/>
        </w:rPr>
        <w:t xml:space="preserve"> </w:t>
      </w:r>
      <w:r>
        <w:rPr>
          <w:iCs/>
          <w:i/>
          <w:sz w:val="25"/>
        </w:rPr>
        <w:t xml:space="preserve">other</w:t>
      </w:r>
      <w:r>
        <w:rPr>
          <w:sz w:val="25"/>
        </w:rPr>
        <w:t xml:space="preserve"> </w:t>
      </w:r>
      <w:r>
        <w:rPr>
          <w:sz w:val="25"/>
        </w:rPr>
        <w:t xml:space="preserve">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pPr>
      <w:r>
        <w:rPr>
          <w:bCs/>
          <w:b/>
          <w:sz w:val="25"/>
        </w:rPr>
        <w:t xml:space="preserve">Why does the 64-week calendar in Part 1B.2 show phases overlapping instead of running strictly one after another?</w:t>
      </w:r>
      <w:r>
        <w:rPr>
          <w:sz w:val="25"/>
        </w:rPr>
        <w:t xml:space="preserve"> </w:t>
      </w:r>
      <w:r>
        <w:rPr>
          <w:sz w:val="25"/>
        </w:rPr>
        <w:t xml:space="preserve">Because a real ERP program’s Project Management and Change Management tracks run in parallel — Design starting before Discovery formally closes reflects how work actually proceeds, not an inconsistency in the calendar.</w:t>
      </w:r>
    </w:p>
    <w:p>
      <w:pPr>
        <w:pStyle w:val="BodyText"/>
      </w:pPr>
      <w:r>
        <w:rPr>
          <w:bCs/>
          <w:b/>
          <w:sz w:val="25"/>
        </w:rPr>
        <w:t xml:space="preserve">Are the six exceptions in Part 1B.4 the only ways a program can go off track?</w:t>
      </w:r>
      <w:r>
        <w:rPr>
          <w:sz w:val="25"/>
        </w:rPr>
        <w:t xml:space="preserve"> </w:t>
      </w:r>
      <w:r>
        <w:rPr>
          <w:sz w:val="25"/>
        </w:rPr>
        <w:t xml:space="preserve">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pPr>
      <w:r>
        <w:rPr>
          <w:bCs/>
          <w:b/>
          <w:sz w:val="25"/>
        </w:rPr>
        <w:t xml:space="preserve">Why does Exception E3 (Two-Clock Problem) matter even for a program with no visible sentiment lag?</w:t>
      </w:r>
      <w:r>
        <w:rPr>
          <w:sz w:val="25"/>
        </w:rPr>
        <w:t xml:space="preserve"> </w:t>
      </w:r>
      <w:r>
        <w:rPr>
          <w:sz w:val="25"/>
        </w:rPr>
        <w:t xml:space="preserve">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pPr>
      <w:r>
        <w:rPr>
          <w:bCs/>
          <w:b/>
          <w:sz w:val="25"/>
        </w:rPr>
        <w:t xml:space="preserve">Does every Change Management Project need to run through all six exceptions?</w:t>
      </w:r>
      <w:r>
        <w:rPr>
          <w:sz w:val="25"/>
        </w:rPr>
        <w:t xml:space="preserve"> </w:t>
      </w:r>
      <w:r>
        <w:rPr>
          <w:sz w:val="25"/>
        </w:rPr>
        <w:t xml:space="preserve">No — the Kenitra Invoice-Matching Automation case in Part 4 is deliberately built to close without any of the 9 live alerts firing. Exceptions are named, realistic possibilities to watch for, not a checklist every program must complete.</w:t>
      </w:r>
    </w:p>
    <w:p>
      <w:pPr>
        <w:pStyle w:val="BodyText"/>
      </w:pPr>
      <w:r>
        <w:rPr>
          <w:bCs/>
          <w:b/>
          <w:sz w:val="25"/>
        </w:rPr>
        <w:t xml:space="preserve">Why does the Restructuring case in Part 4 have no dedicated Phase Template, when eight other archetypes do?</w:t>
      </w:r>
      <w:r>
        <w:rPr>
          <w:sz w:val="25"/>
        </w:rPr>
        <w:t xml:space="preserve"> </w:t>
      </w:r>
      <w:r>
        <w:rPr>
          <w:sz w:val="25"/>
        </w:rPr>
        <w:t xml:space="preserve">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pPr>
      <w:r>
        <w:rPr>
          <w:bCs/>
          <w:b/>
          <w:sz w:val="25"/>
        </w:rPr>
        <w:t xml:space="preserve">Why does the Composite Readiness Index weight ADKAR at 50% and not something else?</w:t>
      </w:r>
      <w:r>
        <w:rPr>
          <w:sz w:val="25"/>
        </w:rPr>
        <w:t xml:space="preserve"> </w:t>
      </w:r>
      <w:r>
        <w:rPr>
          <w:sz w:val="25"/>
        </w:rPr>
        <w:t xml:space="preserve">That weighting is journi’s own hardcoded formula (</w:t>
      </w:r>
      <w:r>
        <w:rPr>
          <w:rStyle w:val="VerbatimChar"/>
          <w:sz w:val="25"/>
        </w:rPr>
        <w:t xml:space="preserve">ADKAR% × 0.50 + sentiment% × 0.25 + training% × 0.25</w:t>
      </w:r>
      <w:r>
        <w:rPr>
          <w:sz w:val="25"/>
        </w:rPr>
        <w:t xml:space="preserve">, A.3), not a configurable setting exposed anywhere in the platform. This guide states the exact formula rather than a rounded approximation of it, since a Change Manager reading a CRI trend line needs to know precisely what moved it.</w:t>
      </w:r>
    </w:p>
    <w:p>
      <w:pPr>
        <w:pStyle w:val="BodyText"/>
      </w:pPr>
      <w:r>
        <w:rPr>
          <w:bCs/>
          <w:b/>
          <w:sz w:val="25"/>
        </w:rPr>
        <w:t xml:space="preserve">Can a Practitioner/Contributor ever see individual-level ADKAR or sentiment scores?</w:t>
      </w:r>
      <w:r>
        <w:rPr>
          <w:sz w:val="25"/>
        </w:rPr>
        <w:t xml:space="preserve"> </w:t>
      </w:r>
      <w:r>
        <w:rPr>
          <w:sz w:val="25"/>
        </w:rPr>
        <w:t xml:space="preserve">No, by design — Practitioner is deliberately excluded from</w:t>
      </w:r>
      <w:r>
        <w:rPr>
          <w:sz w:val="25"/>
        </w:rPr>
        <w:t xml:space="preserve"> </w:t>
      </w:r>
      <w:r>
        <w:rPr>
          <w:rStyle w:val="VerbatimChar"/>
          <w:sz w:val="25"/>
        </w:rPr>
        <w:t xml:space="preserve">ROLES_WITH_INDIVIDUAL_VISIBILITY</w:t>
      </w:r>
      <w:r>
        <w:rPr>
          <w:sz w:val="25"/>
        </w:rPr>
        <w:t xml:space="preserve"> </w:t>
      </w:r>
      <w:r>
        <w:rPr>
          <w:sz w:val="25"/>
        </w:rPr>
        <w:t xml:space="preserve">even though it holds general write access. A Practitioner like Ghita Bennis can log data and tag coded evidence, but the modules that show named-person detail (M4, M5, M6, M11) show her the aggregated view, the same one an Employee or Sponsor sees.</w:t>
      </w:r>
    </w:p>
    <w:p>
      <w:pPr>
        <w:pStyle w:val="BodyText"/>
      </w:pPr>
      <w:r>
        <w:rPr>
          <w:bCs/>
          <w:b/>
          <w:sz w:val="25"/>
        </w:rPr>
        <w:t xml:space="preserve">What happens if the Settat cohort’s Desire score recovers in Exception E1 but Kübler-Ross sentiment doesn’t move with it?</w:t>
      </w:r>
      <w:r>
        <w:rPr>
          <w:sz w:val="25"/>
        </w:rPr>
        <w:t xml:space="preserve"> </w:t>
      </w:r>
      <w:r>
        <w:rPr>
          <w:sz w:val="25"/>
        </w:rPr>
        <w:t xml:space="preserve">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pPr>
      <w:r>
        <w:rPr>
          <w:bCs/>
          <w:b/>
          <w:sz w:val="25"/>
        </w:rPr>
        <w:t xml:space="preserve">Does Part 4’s nine-project library reflect a realistic number of concurrent Change Management Projects for one Organization?</w:t>
      </w:r>
      <w:r>
        <w:rPr>
          <w:sz w:val="25"/>
        </w:rPr>
        <w:t xml:space="preserve"> </w:t>
      </w:r>
      <w:r>
        <w:rPr>
          <w:sz w:val="25"/>
        </w:rPr>
        <w:t xml:space="preserve">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pPr>
      <w:r>
        <w:rPr>
          <w:bCs/>
          <w:b/>
          <w:sz w:val="25"/>
        </w:rPr>
        <w:t xml:space="preserve">Why does M11 (Manager as Coach) show a People Manager their own team’s ADKAR heatmap instead of a raw list of scores?</w:t>
      </w:r>
      <w:r>
        <w:rPr>
          <w:sz w:val="25"/>
        </w:rPr>
        <w:t xml:space="preserve"> </w:t>
      </w:r>
      <w:r>
        <w:rPr>
          <w:sz w:val="25"/>
        </w:rPr>
        <w:t xml:space="preserve">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pPr>
      <w:r>
        <w:rPr>
          <w:bCs/>
          <w:b/>
          <w:sz w:val="25"/>
        </w:rPr>
        <w:t xml:space="preserve">If Bouregreg’s CFO is the Sponsor on five of the nine Part 4 cases at once, doesn’t that overload one person?</w:t>
      </w:r>
      <w:r>
        <w:rPr>
          <w:sz w:val="25"/>
        </w:rPr>
        <w:t xml:space="preserve"> </w:t>
      </w:r>
      <w:r>
        <w:rPr>
          <w:sz w:val="25"/>
        </w:rPr>
        <w:t xml:space="preserve">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p>
    <w:bookmarkEnd w:id="119"/>
    <w:bookmarkStart w:id="120" w:name="about-this-version"/>
    <w:p>
      <w:pPr>
        <w:pStyle w:val="Heading3"/>
      </w:pPr>
      <w:r>
        <w:rPr>
          <w:b/>
          <w:color w:val="3F827B"/>
          <w:sz w:val="29"/>
        </w:rPr>
        <w:t xml:space="preserve">About This Version</w:t>
      </w:r>
    </w:p>
    <w:p>
      <w:pPr>
        <w:pStyle w:val="FirstParagraph"/>
      </w:pPr>
      <w:r>
        <w:rPr>
          <w:sz w:val="25"/>
        </w:rPr>
        <w:t xml:space="preserve">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pPr>
      <w:r>
        <w:rPr>
          <w:sz w:val="25"/>
        </w:rPr>
        <w:t xml:space="preserve">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pPr>
      <w:r>
        <w:rPr>
          <w:bCs/>
          <w:b/>
          <w:sz w:val="25"/>
        </w:rPr>
        <w:t xml:space="preserve">What this version covers, end to end:</w:t>
      </w:r>
      <w:r>
        <w:rPr>
          <w:sz w:val="25"/>
        </w:rPr>
        <w:t xml:space="preserve"> </w:t>
      </w:r>
      <w:r>
        <w:rPr>
          <w:sz w:val="25"/>
        </w:rPr>
        <w:t xml:space="preserve">a complete tenant build from a blank deployment (Part 1); a 64-week ERP program run week by week through all four frameworks’ real stage vocabulary, normal flow and all six documented exceptions, in full task-and-step detail (Part 1B); every one of journi’s 20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pPr>
      <w:r>
        <w:rPr>
          <w:bCs/>
          <w:b/>
          <w:sz w:val="25"/>
        </w:rPr>
        <w:t xml:space="preserve">What a future version might add:</w:t>
      </w:r>
      <w:r>
        <w:rPr>
          <w:sz w:val="25"/>
        </w:rPr>
        <w:t xml:space="preserve"> </w:t>
      </w:r>
      <w:r>
        <w:rPr>
          <w:sz w:val="25"/>
        </w:rPr>
        <w:t xml:space="preserve">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pPr>
      <w:r>
        <w:rPr>
          <w:bCs/>
          <w:b/>
          <w:sz w:val="25"/>
        </w:rPr>
        <w:t xml:space="preserve">A closing note on scope discipline.</w:t>
      </w:r>
      <w:r>
        <w:rPr>
          <w:sz w:val="25"/>
        </w:rPr>
        <w:t xml:space="preserve"> </w:t>
      </w:r>
      <w:r>
        <w:rPr>
          <w:sz w:val="25"/>
        </w:rPr>
        <w:t xml:space="preserve">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r>
        <w:rPr>
          <w:sz w:val="25"/>
        </w:rPr>
        <w:pict>
          <v:rect style="width:0;height:1.5pt" o:hralign="center" o:hrstd="t" o:hr="t"/>
        </w:pict>
      </w:r>
    </w:p>
    <w:p>
      <w:pPr>
        <w:pStyle w:val="FirstParagraph"/>
      </w:pPr>
      <w:r>
        <w:rPr>
          <w:iCs/>
          <w:i/>
          <w:sz w:val="25"/>
        </w:rPr>
        <w:t xml:space="preserve">This concludes the journi Complete User Guide — Parts 1, 1B, and 2 through 5, plus this Appendix.</w:t>
      </w:r>
    </w:p>
    <w:bookmarkEnd w:id="120"/>
    <w:bookmarkEnd w:id="121"/>
    <w:sectPr>
      <w:headerReference w:type="default" r:id="rId9"/>
      <w:footerReference w:type="default" r:id="rId10"/>
      <w:pgSz w:w="12240" w:h="15840"/>
      <w:pgMar w:left="864" w:right="864"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5"/>
    </w:rPr>
  </w:style>
  <w:style w:styleId="BodyText" w:type="paragraph">
    <w:name w:val="Body Text"/>
    <w:basedOn w:val="Normal"/>
    <w:link w:val="BodyTextChar"/>
    <w:pPr>
      <w:spacing w:after="180" w:before="180"/>
    </w:pPr>
    <w:qFormat/>
    <w:rPr>
      <w:sz w:val="25"/>
    </w:rPr>
  </w:style>
  <w:style w:customStyle="1" w:styleId="FirstParagraph" w:type="paragraph">
    <w:name w:val="First Paragraph"/>
    <w:basedOn w:val="BodyText"/>
    <w:next w:val="BodyText"/>
    <w:qFormat/>
    <w:rPr>
      <w:sz w:val="25"/>
    </w:rPr>
  </w:style>
  <w:style w:customStyle="1" w:styleId="Compact" w:type="paragraph">
    <w:name w:val="Compact"/>
    <w:basedOn w:val="BodyText"/>
    <w:qFormat/>
    <w:pPr>
      <w:spacing w:after="36" w:before="36"/>
    </w:pPr>
    <w:rPr>
      <w:sz w:val="25"/>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sz w:val="2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2026-08-27T13:28:16Z</dcterms:created>
  <dcterms:modified xsi:type="dcterms:W3CDTF">2026-08-27T13:28:16Z</dcterms:modified>
</cp:coreProperties>
</file>

<file path=docProps/custom.xml><?xml version="1.0" encoding="utf-8"?>
<Properties xmlns="http://schemas.openxmlformats.org/officeDocument/2006/custom-properties" xmlns:vt="http://schemas.openxmlformats.org/officeDocument/2006/docPropsVTypes"/>
</file>