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1.3</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(S1-S7), augmented by rule-based AI agents, and surrounded by governance, risk, and compliance (GRC) modules: Business Rules, Controls (COSO framework), Risks &amp; Opportunities, a RACSI (Responsible/Accountable/Consulted/Support/Informed) accountability matrix, and a BPMN process-diagram module, plus an independently versioned AI Use Cases Library. An Organizational Breakdown Structure (OBS) of sites/departments/services/teams underlies and links every one of these modules. A chat-style AI Assistant answers RBAC-scoped data questions and application-help questions, and a Governance-group screen lets an administrator configure a Large Language Model (LLM) provider for future generative features. An in-app, searchable, multi-language Help guide documents every module.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that the LLM / AI Provider Configuration module (section 3.23) prepares the system to integrate with; no live LLM call is made by this version.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3.24) offering RBAC-scoped data queries and application-help queries, distinct from both the per-stage AI Agents and the AI Use Cases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hardware, communications, and interfaces with other applications).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S1-S7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AR/AE-segregated (Action Responsible / Action Evaluator)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one rule-based AI agent per NCP process step (S1-S7) plus an always-on Monitoring &amp; Alert Agent, that suggest — never autonomously decide — classifications, problem structuring, containment actions, root causes, corrective actions, evaluation context,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revert, and an Active/Inactive toggle.</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RACSI accountability matrix — one Accountable, any number of Responsible/Consulted/Support/Informed, as roles or named people — per NCP process step and per linked governance item.</w:t>
      </w:r>
    </w:p>
    <w:p>
      <w:pPr>
        <w:pStyle w:val="ListParagraph"/>
        <w:numPr>
          <w:ilvl w:val="0"/>
          <w:numId w:val="2"/>
        </w:numPr>
        <w:spacing w:after="80"/>
      </w:pPr>
      <w:r>
        <w:rPr>
          <w:rFonts w:ascii="Times New Roman" w:cs="Times New Roman" w:eastAsia="Times New Roman" w:hAnsi="Times New Roman"/>
          <w:color w:val="58595B"/>
          <w:sz w:val="24"/>
          <w:szCs w:val="24"/>
        </w:rPr>
        <w:t xml:space="preserve">Model process workflows, including the NCP Solver process itself, as real BPMN 2.0 diagrams, viewable or editable in-browser based on RBAC.</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an AI Assistant answering RBAC-scoped questions about the organization's own data and "Can it / How do I" questions about the application itself, open to every role.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Governance-group screen to configure a Large Language Model (LLM) provider, from a predefined list of the ten most common providers, as the designated integration point for future generative features.</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 that links to Sheets, Business Rules, Controls, Risks/Opportunities, RACSI activities, BPMN diagrams, and user role assignments, with live linked-item counts per node.</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searchable, multi-language in-app Help guide covering every module, open to all authenticated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governance, and LLM configuration settings.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full CRUD on the RACSI matrix; compliance reporting; views and manages the LLM configuration.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 creates/edits RACSI activities and assignments; views BPMN diagrams and the LLM configuration.</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S2/S4/S5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Action Owner (AR).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risk visibility, RACSI matrix visibility, and BPMN view access.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(S1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the RACSI matrix, BPMN diagrams, the LLM configuration,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standard Node.js 22.5+ runtime (Node 22 LTS recommended), no external database server, third-party API key, or native/compiled build toolchain required (the relational layer uses Node's built-in node:sqlite module;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Action Owner (AR) and Evaluator (AE) on any single action evaluation must always be different users.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AI Assistant's data-query mode must check the matched intent's required permission before running any query, and must refuse transparently — never partially or silently — when that permission is absent.</w:t>
      </w:r>
    </w:p>
    <w:p>
      <w:pPr>
        <w:pStyle w:val="ListParagraph"/>
        <w:numPr>
          <w:ilvl w:val="0"/>
          <w:numId w:val="2"/>
        </w:numPr>
        <w:spacing w:after="80"/>
      </w:pPr>
      <w:r>
        <w:rPr>
          <w:rFonts w:ascii="Times New Roman" w:cs="Times New Roman" w:eastAsia="Times New Roman" w:hAnsi="Times New Roman"/>
          <w:color w:val="58595B"/>
          <w:sz w:val="24"/>
          <w:szCs w:val="24"/>
        </w:rPr>
        <w:t xml:space="preserve">A stored LLM provider API key must never be returned by any API response once saved, mirroring the existing password-hash-never-returned pattern.</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 and the shared "who/where" backbone that Business Rules, Controls, Risks &amp; Opportunities, RACSI activities, BPMN diagrams, and user role assignments all point back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a Control, a Risk/Opportunity, a RACSI Activity, and a BPMN Diagram to each be optionally tagged with the OBS node that owns them.</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user's role assignment to be scoped to a specific OBS node, giving that node a "home" set of people in addition to organizational units.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every OBS node, a live count of every linked item type (people, NCP Sheets, Business Rules, Controls, Risks &amp; Opportunities, RACSI Activities) so accountability and activity concentration are visible at a glance.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(AR), Evaluator (AE),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(AE) recording an action's effectiveness verdict is never the same user as that action's Action Owner (AR).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(S7)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(S1 through S7)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 Stages were renamed from the original specification's E1-E7 numbering to S1-S7 in the delivered implementation; Action Owner/Evaluator were correspondingly renamed from RR/RE to AR/AE (Action Responsible / Action Evaluator).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S1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S1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(S2),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Problem Structuring Agent on request during S2, suggesting a structured 5W2H draft from the Sheet's title and description to accelerate the team's analysis.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Action Owner (AR)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(AE), who must differ from the action's Action Owner (AR),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FR-S3-05</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FR-S3-06</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S6 (Execution &amp; Evaluation) view shall present the same Corrective Actions defined in S5 with execution controls: mark Done, attach evidence, and record an AR/AE-separated effectiveness verdict.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Evaluation Assistant Agent on request during S6, surfacing, for each pending Corrective Action, the specific root cause to re-verify and the organization's historical corrective-action effectiveness rate as evaluation context.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S1-S6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S7.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S7,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(S1-&gt;S2-&gt;...-&gt;S7)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(S3) and Corrective (S5/S6)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Action Owner (AR)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 (Process Assistance)</w:t>
      </w:r>
    </w:p>
    <w:p>
      <w:pPr>
        <w:spacing w:after="200" w:before="60"/>
      </w:pPr>
      <w:r>
        <w:rPr>
          <w:rFonts w:ascii="Times New Roman" w:cs="Times New Roman" w:eastAsia="Times New Roman" w:hAnsi="Times New Roman"/>
          <w:i/>
          <w:iCs/>
          <w:color w:val="58595B"/>
          <w:sz w:val="19"/>
          <w:szCs w:val="19"/>
        </w:rPr>
        <w:t xml:space="preserve">Rule-based, explainable assistants providing suggestions, never autonomous decisions: one for every NCP process step (KB-010) plus an always-on Monitoring &amp; Alert Agent. A separate pair of AI Assistant agents (RBAC-scoped data query and application help query) is specified in section 3.24.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one dedicated agent per NCP process step — Classification (S1), Problem Structuring (S2), Containment Advisor (S3), Root Cause Mining (S4), Action Recommendation (S5), Evaluation Assistant (S6), and REX Generation (S7) — so every stage of the workflow, not only a subset, carries AI assistance.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Cases Library (with Version Management)</w:t>
      </w:r>
    </w:p>
    <w:p>
      <w:pPr>
        <w:spacing w:after="200" w:before="60"/>
      </w:pPr>
      <w:r>
        <w:rPr>
          <w:rFonts w:ascii="Times New Roman" w:cs="Times New Roman" w:eastAsia="Times New Roman" w:hAnsi="Times New Roman"/>
          <w:i/>
          <w:iCs/>
          <w:color w:val="58595B"/>
          <w:sz w:val="19"/>
          <w:szCs w:val="19"/>
        </w:rPr>
        <w:t xml:space="preserve">An independent catalog of AI use cases, unrelated to the Capitalization Library, with full version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title, description, sector, business function, AI technique, maturity stage (1-5), status (Idea/Pilot/Production/Retired), owner,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view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who created each version and an optional free-text change note.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an AI Use Case between Active and Inactive status without deleting it or discarding its version history.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tagged with the owning OBS node and, via the RACSI matrix, with a named Accountable owner.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tagged with the owning OBS node and, via the RACSI matrix, with a named accountability structure for its periodic testing.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tagged with the owning OBS node and, via the RACSI matrix, with a named accountability structure for its mitigation plan.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RACSI Accountability Matrix</w:t>
      </w:r>
    </w:p>
    <w:p>
      <w:pPr>
        <w:spacing w:after="200" w:before="60"/>
      </w:pPr>
      <w:r>
        <w:rPr>
          <w:rFonts w:ascii="Times New Roman" w:cs="Times New Roman" w:eastAsia="Times New Roman" w:hAnsi="Times New Roman"/>
          <w:i/>
          <w:iCs/>
          <w:color w:val="58595B"/>
          <w:sz w:val="19"/>
          <w:szCs w:val="19"/>
        </w:rPr>
        <w:t xml:space="preserve">A Responsible/Accountable/Consulted/Support/Informed matrix assigning OBS-sourced roles or named people to each of the seven NCP process steps and to selected governance items,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Activities, each with a code, title, description, a reference type (NCP Process Step / Business Rule / Control / Risk-Opportunity / General), and an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referencing the NCP process to be tagged with exactly one stage (S1-S7).</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to be linked directly to a specific Business Rule, Control, or Risk/Opportunity record, so governance accountability is traceable to a concrete item rather than stated abstractly.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Assignments against an Activity, each assigning exactly one of the five RACSI types (Responsible, Accountable, Consulted, Support, Informed) to exactly one assignee.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Assignment's assignee to be given either as a Role (an org-wide accountability drawn from the RBAC role catalog) or as a specific Named Person (a user), sourced from the Organizational Breakdown 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 RACSI Activity has at most one Accountable (A) assignment at any time, both in the create-assignment form (the "A" option is disabled once an Accountable exists) and at the data-persistence layer (a database constraint); a request that would create a second Accountable shall be rejected with HTTP 409.</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Activity's Responsible, Consulted, Support, and Informed types to each carry zero, one, or multiple assignments, freely mixing Role-based and Named-Person-based assignees.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remove an individual RACSI Assignment without deleting the parent Activity.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RACSI Activity list to be filtered by reference type (NCP Process Step / Business Rule / Control / Risk-Opportunity / General).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Help &amp; User Guide</w:t>
      </w:r>
    </w:p>
    <w:p>
      <w:pPr>
        <w:spacing w:after="200" w:before="60"/>
      </w:pPr>
      <w:r>
        <w:rPr>
          <w:rFonts w:ascii="Times New Roman" w:cs="Times New Roman" w:eastAsia="Times New Roman" w:hAnsi="Times New Roman"/>
          <w:i/>
          <w:iCs/>
          <w:color w:val="58595B"/>
          <w:sz w:val="19"/>
          <w:szCs w:val="19"/>
        </w:rPr>
        <w:t xml:space="preserve">An in-app, searchable, multi-language reference covering every module, available to every authenticated user regardless of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in-app Help screen presenting a set of topic articles covering: getting started, the S1-S7 NCP process, Hierarchy &amp; OBS, Identity &amp; RBAC, Governance/Risk/Compliance, the RACSI matrix, the AI Use Cases Library, the Capitalization Library &amp; AI agents, BPMN process diagrams, the AI Assistant &amp; LLM Configuration, Alerts &amp; Reports, and a FAQ.</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Help content in the user's currently selected display language (English, French, or Arabic), matching the article set 1:1 across languages.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search box on the Help screen that filters topics by a case-insensitive match against the topic title or body.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Help screen accessible to every authenticated user independent of role or permission grants, consistent with the Dashboard.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each Help topic as an expandable/collapsible section so a user can scan titles before reading full content.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3.20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3.21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3.22 BPMN Process Modeling</w:t>
      </w:r>
    </w:p>
    <w:p>
      <w:pPr>
        <w:spacing w:after="200" w:before="60"/>
      </w:pPr>
      <w:r>
        <w:rPr>
          <w:rFonts w:ascii="Times New Roman" w:cs="Times New Roman" w:eastAsia="Times New Roman" w:hAnsi="Times New Roman"/>
          <w:i/>
          <w:iCs/>
          <w:color w:val="58595B"/>
          <w:sz w:val="19"/>
          <w:szCs w:val="19"/>
        </w:rPr>
        <w:t xml:space="preserve">Full CRUD, RBAC-gated management of standard BPMN 2.0 process diagrams, rendered and edited in-browser with a genuine BPMN modeler (bpmn.io's bpmn-js), seeded with a diagram of the NCP Solver process itself.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BPMN Diagrams, each with a code, title, description, a BPMN 2.0 XML payload, and an optional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stored BPMN Diagram using a standards-compliant BPMN 2.0 modeler/viewer component, not a static image.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read-only pan/zoom viewing of a BPMN Diagram to any user holding bpmn.view.</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the full editing palette (tasks, gateways, events, sequence flows) and a Save Diagram action only to users holding bpmn.edit.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new BPMN Diagram to be created starting from a blank canvas with a single Start Event, for users holding bpmn.create.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deletion of a BPMN Diagram behind bpmn.delete.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be seeded, per Organization, with a BPMN Diagram modeling the NCP Solver process itself end-to-end (S1 through S7), including the effectiveness-evaluation loop from S6 back to S5 when a corrective action is verified Not Effective.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3.23 LLM / AI Provider Configuration</w:t>
      </w:r>
    </w:p>
    <w:p>
      <w:pPr>
        <w:spacing w:after="200" w:before="60"/>
      </w:pPr>
      <w:r>
        <w:rPr>
          <w:rFonts w:ascii="Times New Roman" w:cs="Times New Roman" w:eastAsia="Times New Roman" w:hAnsi="Times New Roman"/>
          <w:i/>
          <w:iCs/>
          <w:color w:val="58595B"/>
          <w:sz w:val="19"/>
          <w:szCs w:val="19"/>
        </w:rPr>
        <w:t xml:space="preserve">A Governance-group settings screen, one configuration per Organization, where an administrator selects and stores connection details for a Large Language Model (LLM) provider intended to power future generative AI features. This screen stores configuration only; as of this version it does not itself place any outbound call to the configured provider (see NFR-MAINT-04 and section 4.5).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maintain exactly one LLM configuration record per Organization (a singleton), auto-created with safe defaults (provider "anthropic", disabled) on first access.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a predefined list of the ten most common LLM providers to choose from: Anthropic (Claude), OpenAI (GPT), Google (Gemini), Azure OpenAI Service, AWS Bedrock, Mistral AI, Cohere, Meta Llama (via a hosting provider), Ollama (self-hosted/local), and a Custom/OpenAI-compatible endpoint.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offer illustrative example model names for the selected provider as input suggestions (not an enforced list), reflecting that provider model catalogs change frequently.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capture, per configuration, a free-text model identifier, an endpoint URL (required for providers whose provider metadata flags needsEndpoint), an API key, and an enabled/disabled toggle.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return a previously stored API key in any API response; a read of the configuration shall expose only a boolean has_api_key flag and, when set, the key's last four characters.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clear a stored API key independent of updating any other field.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viewing the LLM configuration to users holding llmConfig.view and restrict editing it to users holding llmConfig.manage.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change to the LLM configuration, with the API key redacted in both the before and after snapshots.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3.24 AI Assistant (Data Query &amp; Application Help)</w:t>
      </w:r>
    </w:p>
    <w:p>
      <w:pPr>
        <w:spacing w:after="200" w:before="60"/>
      </w:pPr>
      <w:r>
        <w:rPr>
          <w:rFonts w:ascii="Times New Roman" w:cs="Times New Roman" w:eastAsia="Times New Roman" w:hAnsi="Times New Roman"/>
          <w:i/>
          <w:iCs/>
          <w:color w:val="58595B"/>
          <w:sz w:val="19"/>
          <w:szCs w:val="19"/>
        </w:rPr>
        <w:t xml:space="preserve">A chat-style Q&amp;A screen, open to every authenticated user (assistant.view is granted to all 9 standard roles), offering two independent, rule-based agents: a permission-scoped data query agent, and an application-help query agent grounded in a static FAQ knowledge base. Neither mode requires an AI Use Case to be activated, and neither places a live call to an external LLM.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"Query My Data" mode that answers natural-language questions about the requesting user's own organization by matching the question, via keyword scoring, to one of a fixed set of data-query intents (as of this version: open Sheet count, closed Sheet count, overdue actions, the requesting user's own open actions, unread alert count, KPI/closure-rate summary, open risks ranked by score, controls not confirmed effective, active Business Rule count, active AI Use Case count, and "who is Accountable for &lt;process step&gt;").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associate every data-query intent with the single RBAC permission required to answer it (e.g., riskOpportunity.view for risk questions, control.view for control questions), and shall evaluate that permission after matching the intent but strictly before running any query.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the requesting user's role lacks the permission required by the matched intent, the system shall return an explicit, human-readable refusal naming the missing permission, and shall not execute the underlying query or expose any of the underlying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data-query intent to the requesting user's own organization_id, consistent with FR-TEN-01; no data-query answer shall include another tenant's data.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no data-query intent scores above zero for a submitted question, the system shall return a message listing the categories of question it can answer, rather than an empty or misleading result.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"Ask About the Application" mode that answers "Can it...?" / "How do I...?" questions by ranking a static FAQ corpus with the same TF-IDF retrieval engine (RAG) used by the Capitalization Library, and returning the top matching question/answer pairs with a similarity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maintain the application-help FAQ corpus as a versioned, in-code data file covering, at minimum, every module documented in section 3 of this specification.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Assistant invocation (mode, question, matched intent or top result score, answer, confidence) to the AI Agent Log, consistent with FR-AI-01.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both AI Assistant modes behind a single assistant.view permission, independent of and in addition to any module-specific permission a given data-query intent may separately require.</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S1-S7,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AI use cases with maturity/status badges and an Active/Inactive toggle.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current-version labeled-section editor, version history with revert.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Per-activity R/A/C/S/I assignment manager (roles or named people), filterable by reference type.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Process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list of BPMN diagrams, each opening into a viewer or full modeler depending on RBAC.</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Diagram</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In-browser BPMN 2.0 viewer (pan/zoom, read-only) or modeler (full editing palette + Save), selected by permission.</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Two-mode chat: Query My Data (RBAC-scoped) and Ask About the Application (FAQ RAG search), open to every role.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 Configuration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Provider dropdown (10 predefined providers), model, endpoint, API key (write-only), and enabled toggle.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 with live linked-item counts per node.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 scoped to an OBS node.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Help</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Searchable, multi-language user guide covering every module; open to all authenticated users.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/api/roles/directory,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 (process)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/problem-structuring, /containment-advisor, /root-cause-mining, /action-recommendation, /evaluation-assistant,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/api/racsi, GET|PUT|DELETE /api/racsi/:id, POST /api/racsi/:id/assignments, DELETE /api/racsi/:id/assignments/:assignmentId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/api/bpmn, GET|PUT|DELETE /api/bpmn/:id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 Configuration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/api/llm-config/providers, GET|PUT /api/llm-config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/api/assistant/query-data, POST /api/assistant/query-app</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4.5 Interfaces with External Applications</w:t>
      </w:r>
    </w:p>
    <w:p>
      <w:pPr>
        <w:spacing w:after="160" w:line="276"/>
        <w:jc w:val="both"/>
      </w:pPr>
      <w:r>
        <w:rPr>
          <w:rFonts w:ascii="Times New Roman" w:cs="Times New Roman" w:eastAsia="Times New Roman" w:hAnsi="Times New Roman"/>
          <w:color w:val="58595B"/>
          <w:sz w:val="24"/>
          <w:szCs w:val="24"/>
        </w:rPr>
        <w:t xml:space="preserve">NCP Solver is architected — modular services behind a stable REST/JSON API, tenant isolation, and the composable-module principle of NFR-MAINT-01 — to integrate with the external systems below. The table states, honestly, which of these are implemented in this version versus architecture-ready for a future release; none of the architecture-ready interfaces performs a live external call today.</w:t>
      </w:r>
    </w:p>
    <w:p>
      <w:pPr>
        <w:spacing w:after="80"/>
      </w:pPr>
    </w:p>
    <w:p>
      <w:pPr>
        <w:pStyle w:val="Heading3"/>
        <w:spacing w:after="120" w:before="220"/>
      </w:pPr>
      <w:r>
        <w:rPr>
          <w:rFonts w:ascii="Times New Roman" w:cs="Times New Roman" w:eastAsia="Times New Roman" w:hAnsi="Times New Roman"/>
          <w:b/>
          <w:bCs/>
          <w:color w:val="E07B00"/>
          <w:sz w:val="24"/>
          <w:szCs w:val="24"/>
        </w:rPr>
        <w:t xml:space="preserve">Identity Provider / Single Sign-On (SSO) — Architecture-ready</w:t>
      </w:r>
    </w:p>
    <w:p>
      <w:pPr>
        <w:spacing w:after="160" w:line="276"/>
        <w:jc w:val="both"/>
      </w:pPr>
      <w:r>
        <w:rPr>
          <w:rFonts w:ascii="Times New Roman" w:cs="Times New Roman" w:eastAsia="Times New Roman" w:hAnsi="Times New Roman"/>
          <w:color w:val="58595B"/>
          <w:sz w:val="24"/>
          <w:szCs w:val="24"/>
        </w:rPr>
        <w:t xml:space="preserve">The current implementation authenticates locally (email + bcrypt-hashed password, issuing its own JWT). The RBAC layer already separates authentication (who is this user) from authorization (what can this role do), so a future release can add SAML 2.0 or OpenID Connect (OIDC) authentication against a corporate Identity Provider (e.g., Azure AD/Entra ID, Okta, Google Workspace) by replacing only the login/token-issuance step; every downstream permission check, and the JWT-bearer contract used by every other endpoint, is unaffected.</w:t>
      </w:r>
    </w:p>
    <w:p>
      <w:pPr>
        <w:pStyle w:val="Heading3"/>
        <w:spacing w:after="120" w:before="220"/>
      </w:pPr>
      <w:r>
        <w:rPr>
          <w:rFonts w:ascii="Times New Roman" w:cs="Times New Roman" w:eastAsia="Times New Roman" w:hAnsi="Times New Roman"/>
          <w:b/>
          <w:bCs/>
          <w:color w:val="E07B00"/>
          <w:sz w:val="24"/>
          <w:szCs w:val="24"/>
        </w:rPr>
        <w:t xml:space="preserve">ERP / MES (Manufacturing &amp; Enterprise Resource Planning) — Architecture-ready</w:t>
      </w:r>
    </w:p>
    <w:p>
      <w:pPr>
        <w:spacing w:after="160" w:line="276"/>
        <w:jc w:val="both"/>
      </w:pPr>
      <w:r>
        <w:rPr>
          <w:rFonts w:ascii="Times New Roman" w:cs="Times New Roman" w:eastAsia="Times New Roman" w:hAnsi="Times New Roman"/>
          <w:color w:val="58595B"/>
          <w:sz w:val="24"/>
          <w:szCs w:val="24"/>
        </w:rPr>
        <w:t xml:space="preserve">No live ERP/MES connector is implemented in this version. The NCP Sheet, Action, and Standard entities are modeled with stable REST endpoints and tenant-scoped identifiers, so a future integration can push non-conformities detected in an ERP/MES quality module into NCP Solver (via POST /api/fiches) or pull closure status back out, without a schema change.</w:t>
      </w:r>
    </w:p>
    <w:p>
      <w:pPr>
        <w:pStyle w:val="Heading3"/>
        <w:spacing w:after="120" w:before="220"/>
      </w:pPr>
      <w:r>
        <w:rPr>
          <w:rFonts w:ascii="Times New Roman" w:cs="Times New Roman" w:eastAsia="Times New Roman" w:hAnsi="Times New Roman"/>
          <w:b/>
          <w:bCs/>
          <w:color w:val="E07B00"/>
          <w:sz w:val="24"/>
          <w:szCs w:val="24"/>
        </w:rPr>
        <w:t xml:space="preserve">Document Management System (DMS) — Architecture-ready</w:t>
      </w:r>
    </w:p>
    <w:p>
      <w:pPr>
        <w:spacing w:after="160" w:line="276"/>
        <w:jc w:val="both"/>
      </w:pPr>
      <w:r>
        <w:rPr>
          <w:rFonts w:ascii="Times New Roman" w:cs="Times New Roman" w:eastAsia="Times New Roman" w:hAnsi="Times New Roman"/>
          <w:color w:val="58595B"/>
          <w:sz w:val="24"/>
          <w:szCs w:val="24"/>
        </w:rPr>
        <w:t xml:space="preserve">Action evidence (execution/evaluation proof) and REX attachments are currently recorded as metadata records (ActionEvidence) rather than files stored in an external DMS (e.g., SharePoint, a corporate document vault). The ActionEvidence entity is deliberately a thin, replaceable pointer so a future version can store the underlying file in an external DMS and keep only its reference here.</w:t>
      </w:r>
    </w:p>
    <w:p>
      <w:pPr>
        <w:pStyle w:val="Heading3"/>
        <w:spacing w:after="120" w:before="220"/>
      </w:pPr>
      <w:r>
        <w:rPr>
          <w:rFonts w:ascii="Times New Roman" w:cs="Times New Roman" w:eastAsia="Times New Roman" w:hAnsi="Times New Roman"/>
          <w:b/>
          <w:bCs/>
          <w:color w:val="E07B00"/>
          <w:sz w:val="24"/>
          <w:szCs w:val="24"/>
        </w:rPr>
        <w:t xml:space="preserve">SMTP / Email Notification Gateway — Architecture-ready</w:t>
      </w:r>
    </w:p>
    <w:p>
      <w:pPr>
        <w:spacing w:after="160" w:line="276"/>
        <w:jc w:val="both"/>
      </w:pPr>
      <w:r>
        <w:rPr>
          <w:rFonts w:ascii="Times New Roman" w:cs="Times New Roman" w:eastAsia="Times New Roman" w:hAnsi="Times New Roman"/>
          <w:color w:val="58595B"/>
          <w:sz w:val="24"/>
          <w:szCs w:val="24"/>
        </w:rPr>
        <w:t xml:space="preserve">Alerts (section 3.17) are currently delivered only in-app (the sidebar unread-alert badge and the Alerts inbox). No outbound SMTP integration is implemented. The Alert &amp; Notification Engine is one of the explicitly composable modules (NFR-MAINT-01); adding an email-delivery channel means adding a delivery adapter behind the existing NotificationAlert entity, not redesigning the alert logic itself.</w:t>
      </w:r>
    </w:p>
    <w:p>
      <w:pPr>
        <w:pStyle w:val="Heading3"/>
        <w:spacing w:after="120" w:before="220"/>
      </w:pPr>
      <w:r>
        <w:rPr>
          <w:rFonts w:ascii="Times New Roman" w:cs="Times New Roman" w:eastAsia="Times New Roman" w:hAnsi="Times New Roman"/>
          <w:b/>
          <w:bCs/>
          <w:color w:val="E07B00"/>
          <w:sz w:val="24"/>
          <w:szCs w:val="24"/>
        </w:rPr>
        <w:t xml:space="preserve">Business Intelligence (BI) / Data Warehouse Export — Architecture-ready</w:t>
      </w:r>
    </w:p>
    <w:p>
      <w:pPr>
        <w:spacing w:after="160" w:line="276"/>
        <w:jc w:val="both"/>
      </w:pPr>
      <w:r>
        <w:rPr>
          <w:rFonts w:ascii="Times New Roman" w:cs="Times New Roman" w:eastAsia="Times New Roman" w:hAnsi="Times New Roman"/>
          <w:color w:val="58595B"/>
          <w:sz w:val="24"/>
          <w:szCs w:val="24"/>
        </w:rPr>
        <w:t xml:space="preserve">The Reports &amp; KPIs module (section 3.18) computes all 10 KPIs and 4 standard reports live from the relational schema. No scheduled export or BI-tool connector (e.g., Power BI, Tableau) is implemented in this version; the relational schema (section 6) is a stable, documented basis for a future read replica or scheduled extract.</w:t>
      </w:r>
    </w:p>
    <w:p>
      <w:pPr>
        <w:pStyle w:val="Heading3"/>
        <w:spacing w:after="120" w:before="220"/>
      </w:pPr>
      <w:r>
        <w:rPr>
          <w:rFonts w:ascii="Times New Roman" w:cs="Times New Roman" w:eastAsia="Times New Roman" w:hAnsi="Times New Roman"/>
          <w:b/>
          <w:bCs/>
          <w:color w:val="E07B00"/>
          <w:sz w:val="24"/>
          <w:szCs w:val="24"/>
        </w:rPr>
        <w:t xml:space="preserve">Webhooks / Event Notifications to Other Systems — Architecture-ready</w:t>
      </w:r>
    </w:p>
    <w:p>
      <w:pPr>
        <w:spacing w:after="160" w:line="276"/>
        <w:jc w:val="both"/>
      </w:pPr>
      <w:r>
        <w:rPr>
          <w:rFonts w:ascii="Times New Roman" w:cs="Times New Roman" w:eastAsia="Times New Roman" w:hAnsi="Times New Roman"/>
          <w:color w:val="58595B"/>
          <w:sz w:val="24"/>
          <w:szCs w:val="24"/>
        </w:rPr>
        <w:t xml:space="preserve">No outbound webhook mechanism is implemented in this version — other systems cannot currently subscribe to NCP Solver events (Sheet closed, Alert raised, Control tested). The Audit Trail (section 3.21) already captures every state-changing event with actor, timestamp, and before/after values, giving a ready event source a future webhook dispatcher could be built on.</w:t>
      </w:r>
    </w:p>
    <w:p>
      <w:pPr>
        <w:pStyle w:val="Heading3"/>
        <w:spacing w:after="120" w:before="220"/>
      </w:pPr>
      <w:r>
        <w:rPr>
          <w:rFonts w:ascii="Times New Roman" w:cs="Times New Roman" w:eastAsia="Times New Roman" w:hAnsi="Times New Roman"/>
          <w:b/>
          <w:bCs/>
          <w:color w:val="E07B00"/>
          <w:sz w:val="24"/>
          <w:szCs w:val="24"/>
        </w:rPr>
        <w:t xml:space="preserve">LLM / AI Provider APIs — Configuration implemented; live calls not yet made</w:t>
      </w:r>
    </w:p>
    <w:p>
      <w:pPr>
        <w:spacing w:after="160" w:line="276"/>
        <w:jc w:val="both"/>
      </w:pPr>
      <w:r>
        <w:rPr>
          <w:rFonts w:ascii="Times New Roman" w:cs="Times New Roman" w:eastAsia="Times New Roman" w:hAnsi="Times New Roman"/>
          <w:color w:val="58595B"/>
          <w:sz w:val="24"/>
          <w:szCs w:val="24"/>
        </w:rPr>
        <w:t xml:space="preserve">The LLM / AI Provider Configuration module (section 3.23) is the implemented, designated integration point: an administrator can select and store credentials for any of ten common providers (Anthropic, OpenAI, Google, Azure OpenAI, AWS Bedrock, Mistral, Cohere, Meta Llama, Ollama, or a custom OpenAI-compatible endpoint). As of this version, no module places a live outbound call using that configuration — the AI Agents (3.10) and the AI Assistant (3.24) are deterministic, rule-based, and RAG-grounded, per NFR-DATA-01. NFR-MAINT-03 and NFR-MAINT-04 together specify that when a live LLM call is added, it shall read its credentials only from this module.</w:t>
      </w:r>
    </w:p>
    <w:p>
      <w:pPr>
        <w:pStyle w:val="Heading3"/>
        <w:spacing w:after="120" w:before="220"/>
      </w:pPr>
      <w:r>
        <w:rPr>
          <w:rFonts w:ascii="Times New Roman" w:cs="Times New Roman" w:eastAsia="Times New Roman" w:hAnsi="Times New Roman"/>
          <w:b/>
          <w:bCs/>
          <w:color w:val="E07B00"/>
          <w:sz w:val="24"/>
          <w:szCs w:val="24"/>
        </w:rPr>
        <w:t xml:space="preserve">Sibling Enterprise Applications (Risk Management, Audit Management, Project Management) — Architecture-ready</w:t>
      </w:r>
    </w:p>
    <w:p>
      <w:pPr>
        <w:spacing w:after="160" w:line="276"/>
        <w:jc w:val="both"/>
      </w:pPr>
      <w:r>
        <w:rPr>
          <w:rFonts w:ascii="Times New Roman" w:cs="Times New Roman" w:eastAsia="Times New Roman" w:hAnsi="Times New Roman"/>
          <w:color w:val="58595B"/>
          <w:sz w:val="24"/>
          <w:szCs w:val="24"/>
        </w:rPr>
        <w:t xml:space="preserve">Per section 2.1 and NFR-MAINT-01, the Action Register, Alert &amp; Notification Engine, User Management &amp; RBAC layer, KPI/Reporting engine, and Audit Trail Service are built as composable modules behind the same REST/JSON API contract used internally, so a sibling application can call them directly rather than reimplementing equivalent functionality. No such external application is connected in this version; the interface is the existing, documented API (section 4.2).</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and AI Assistant application-help search shall each return ranked results within 1 second for a tenant's full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AR/AE segregation of duties (FR-ID-07) shall be enforced server-side, not merely hidden in the UI.</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one-Accountable-per-RACSI-activity rule (FR-RACSI-06) shall be enforced by a database-level constraint, not merely by disabling the option in the UI.</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stored LLM provider API key (FR-LLM-05) shall never be included in any API response, log line, or client-side application state once saved; it shall be treated with the same never-returned discipline as a password hash.</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22.5+ runtime without requiring a dedicated database server, container orchestration, external API keys, or a native/compiled build toolchain (the database layer uses Node's built-in node:sqlite module).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LLM / AI Provider Configuration module (section 3.23) shall be the single designated integration point for a future live LLM call; no other module shall embed provider-specific credentials or endpoint logic.</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(or, for the AI Assistant, to the requesting user and question),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not transmit tenant data to any third-party service by default; AI agent processing (including both AI Assistant modes) shall run entirely within the deployment's own infrastructure using only rule-based/statistical methods, not a live external LLM call.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 referenced by users, Sheets, Business Rules, Controls, Risks/Opportunities, RACSI Activities, and BPMN Diagrams as their owning org unit.</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S1-S7.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S4.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Action Owner (AR),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AR != AE.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 including AI Assistant queries.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 including its Active/Inactive flag.</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owner,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 and owning OBS node.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RacsiActivity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of the 7 NCP process steps or a governance item linked to a Business Rule/Control/Risk record; carries an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RacsiAssignment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R/A/C/S/I assignment on a RacsiActivity, pointing to either a Role or a User; at most one Accountable per Activity.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BpmnDiagram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stored BPMN 2.0 process diagram (code, title, description, XML payload), owned by an OBS node; rendered/edited in-browser.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LlmConfiguration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singleton per Organization: selected provider, model, endpoint URL, API key (never returned by the API), and an enabled flag.</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79 permission codes across 25 modules (dashboard, help, fiche, action, rootcause, rex, standard, capitalization, user, role, hierarchy, obs, license, governance, aiUseCase, businessRule, control, riskOpportunity, racsi, bpmn, llmConfig, assistant, report, alert, audit), each with up to five actions (view, create, edit, delete, and module-specific actions such as validate, close, assignTeam, updateOwn, evaluate, manageRoles, managePermissions,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that the LLM / AI Provider Configuration module (section 3.23) prepares the system to integrate with; no live LLM call is made by this version.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3.24) offering RBAC-scoped data queries and application-help queries, distinct from both the per-stage AI Agents and the AI Use Cases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2026-09-09T14:14:14.296Z</dcterms:created>
  <dcterms:modified xsi:type="dcterms:W3CDTF">2026-09-09T14:14:14.296Z</dcterms:modified>
</cp:coreProperties>
</file>

<file path=docProps/custom.xml><?xml version="1.0" encoding="utf-8"?>
<Properties xmlns="http://schemas.openxmlformats.org/officeDocument/2006/custom-properties" xmlns:vt="http://schemas.openxmlformats.org/officeDocument/2006/docPropsVTypes"/>
</file>