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jc w:val="center"/>
        <w:rPr/>
      </w:pPr>
      <w:r>
        <w:rPr>
          <w:rFonts w:eastAsia="Times New Roman" w:cs="Times New Roman"/>
          <w:b/>
          <w:color w:val="3A3A3C"/>
          <w:sz w:val="60"/>
        </w:rPr>
        <w:t>POWER</w:t>
      </w:r>
      <w:r>
        <w:rPr>
          <w:rFonts w:eastAsia="Times New Roman" w:cs="Times New Roman"/>
          <w:b/>
          <w:color w:val="F8931D"/>
          <w:sz w:val="60"/>
        </w:rPr>
        <w:t>ACT</w:t>
      </w:r>
    </w:p>
    <w:p>
      <w:pPr>
        <w:pStyle w:val="Normal"/>
        <w:jc w:val="center"/>
        <w:rPr/>
      </w:pPr>
      <w:r>
        <w:rPr>
          <w:rFonts w:eastAsia="Times New Roman" w:cs="Times New Roman"/>
          <w:b/>
          <w:color w:val="58595B"/>
          <w:sz w:val="22"/>
        </w:rPr>
        <w:t>C O N S U L T I N G</w:t>
      </w:r>
    </w:p>
    <w:p>
      <w:pPr>
        <w:pStyle w:val="Normal"/>
        <w:spacing w:before="1600" w:after="120"/>
        <w:jc w:val="center"/>
        <w:rPr/>
      </w:pPr>
      <w:r>
        <w:rPr>
          <w:rFonts w:eastAsia="Times New Roman" w:cs="Times New Roman"/>
          <w:b/>
          <w:color w:val="E07B00"/>
          <w:sz w:val="22"/>
        </w:rPr>
        <w:t>GAP ANALYSIS</w:t>
      </w:r>
    </w:p>
    <w:p>
      <w:pPr>
        <w:pStyle w:val="Normal"/>
        <w:jc w:val="center"/>
        <w:rPr/>
      </w:pPr>
      <w:r>
        <w:rPr>
          <w:rFonts w:eastAsia="Times New Roman" w:cs="Times New Roman"/>
          <w:b/>
          <w:color w:val="3A3A3C"/>
          <w:sz w:val="60"/>
        </w:rPr>
        <w:t>SRS Gap Analysis</w:t>
      </w:r>
    </w:p>
    <w:p>
      <w:pPr>
        <w:pStyle w:val="Normal"/>
        <w:jc w:val="center"/>
        <w:rPr/>
      </w:pPr>
      <w:r>
        <w:rPr>
          <w:rFonts w:eastAsia="Times New Roman" w:cs="Times New Roman"/>
          <w:color w:val="58595B"/>
          <w:sz w:val="28"/>
        </w:rPr>
        <w:t>Dynamic Apps Standard SRS versus the CortexPLM application and its documents</w:t>
      </w:r>
    </w:p>
    <w:p>
      <w:pPr>
        <w:pStyle w:val="Normal"/>
        <w:spacing w:before="2400" w:after="120"/>
        <w:jc w:val="center"/>
        <w:rPr/>
      </w:pPr>
      <w:r>
        <w:rPr>
          <w:rFonts w:eastAsia="Times New Roman" w:cs="Times New Roman"/>
          <w:color w:val="808184"/>
          <w:sz w:val="22"/>
        </w:rPr>
        <w:t>Version 1.0  ·  September 2026</w:t>
      </w:r>
    </w:p>
    <w:p>
      <w:pPr>
        <w:pStyle w:val="Normal"/>
        <w:rPr/>
      </w:pPr>
      <w:r>
        <w:rPr/>
      </w:r>
      <w:r>
        <w:br w:type="page"/>
      </w:r>
    </w:p>
    <w:p>
      <w:pPr>
        <w:pStyle w:val="Normal"/>
        <w:pBdr>
          <w:bottom w:val="single" w:sz="8" w:space="4" w:color="E07B00"/>
        </w:pBdr>
        <w:spacing w:before="0" w:after="120"/>
        <w:jc w:val="left"/>
        <w:rPr/>
      </w:pPr>
      <w:r>
        <w:rPr>
          <w:rFonts w:eastAsia="Times New Roman" w:cs="Times New Roman"/>
          <w:b/>
          <w:color w:val="E07B00"/>
          <w:sz w:val="34"/>
        </w:rPr>
        <w:t>Table of Contents</w:t>
      </w:r>
    </w:p>
    <w:sdt>
      <w:sdtPr>
        <w:docPartObj>
          <w:docPartGallery w:val="Table of Contents"/>
          <w:docPartUnique w:val="true"/>
        </w:docPartObj>
      </w:sdtPr>
      <w:sdtContent>
        <w:p>
          <w:pPr>
            <w:pStyle w:val="TOC1"/>
            <w:tabs>
              <w:tab w:val="clear" w:pos="9746"/>
              <w:tab w:val="right" w:pos="9745"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423_1092322862">
            <w:r>
              <w:rPr>
                <w:webHidden/>
                <w:rStyle w:val="IndexLink"/>
              </w:rPr>
              <w:t>1. Summary</w:t>
              <w:tab/>
              <w:t>3</w:t>
            </w:r>
          </w:hyperlink>
        </w:p>
        <w:p>
          <w:pPr>
            <w:pStyle w:val="TOC2"/>
            <w:tabs>
              <w:tab w:val="clear" w:pos="9463"/>
              <w:tab w:val="right" w:pos="9745" w:leader="dot"/>
            </w:tabs>
            <w:rPr/>
          </w:pPr>
          <w:hyperlink w:anchor="__RefHeading___Toc15425_1092322862">
            <w:r>
              <w:rPr>
                <w:webHidden/>
                <w:rStyle w:val="IndexLink"/>
              </w:rPr>
              <w:t>1.1 What changed in this release</w:t>
              <w:tab/>
              <w:t>3</w:t>
            </w:r>
          </w:hyperlink>
        </w:p>
        <w:p>
          <w:pPr>
            <w:pStyle w:val="TOC1"/>
            <w:tabs>
              <w:tab w:val="clear" w:pos="9746"/>
              <w:tab w:val="right" w:pos="9745" w:leader="dot"/>
            </w:tabs>
            <w:rPr/>
          </w:pPr>
          <w:hyperlink w:anchor="__RefHeading___Toc15427_1092322862">
            <w:r>
              <w:rPr>
                <w:webHidden/>
                <w:rStyle w:val="IndexLink"/>
              </w:rPr>
              <w:t>2. Scope and Method</w:t>
              <w:tab/>
              <w:t>4</w:t>
            </w:r>
          </w:hyperlink>
        </w:p>
        <w:p>
          <w:pPr>
            <w:pStyle w:val="TOC1"/>
            <w:tabs>
              <w:tab w:val="clear" w:pos="9746"/>
              <w:tab w:val="right" w:pos="9745" w:leader="dot"/>
            </w:tabs>
            <w:rPr/>
          </w:pPr>
          <w:hyperlink w:anchor="__RefHeading___Toc15429_1092322862">
            <w:r>
              <w:rPr>
                <w:webHidden/>
                <w:rStyle w:val="IndexLink"/>
              </w:rPr>
              <w:t>3. Result by SRS Section</w:t>
              <w:tab/>
              <w:t>5</w:t>
            </w:r>
          </w:hyperlink>
        </w:p>
        <w:p>
          <w:pPr>
            <w:pStyle w:val="TOC1"/>
            <w:tabs>
              <w:tab w:val="clear" w:pos="9746"/>
              <w:tab w:val="right" w:pos="9745" w:leader="dot"/>
            </w:tabs>
            <w:rPr/>
          </w:pPr>
          <w:hyperlink w:anchor="__RefHeading___Toc15431_1092322862">
            <w:r>
              <w:rPr>
                <w:webHidden/>
                <w:rStyle w:val="IndexLink"/>
              </w:rPr>
              <w:t>4. Gaps Closed in This Release</w:t>
              <w:tab/>
              <w:t>6</w:t>
            </w:r>
          </w:hyperlink>
        </w:p>
        <w:p>
          <w:pPr>
            <w:pStyle w:val="TOC1"/>
            <w:tabs>
              <w:tab w:val="clear" w:pos="9746"/>
              <w:tab w:val="right" w:pos="9745" w:leader="dot"/>
            </w:tabs>
            <w:rPr/>
          </w:pPr>
          <w:hyperlink w:anchor="__RefHeading___Toc15433_1092322862">
            <w:r>
              <w:rPr>
                <w:webHidden/>
                <w:rStyle w:val="IndexLink"/>
              </w:rPr>
              <w:t>5. Remaining Partial and Hosting Items</w:t>
              <w:tab/>
              <w:t>7</w:t>
            </w:r>
          </w:hyperlink>
        </w:p>
        <w:p>
          <w:pPr>
            <w:pStyle w:val="TOC1"/>
            <w:tabs>
              <w:tab w:val="clear" w:pos="9746"/>
              <w:tab w:val="right" w:pos="9745" w:leader="dot"/>
            </w:tabs>
            <w:rPr/>
          </w:pPr>
          <w:hyperlink w:anchor="__RefHeading___Toc15435_1092322862">
            <w:r>
              <w:rPr>
                <w:webHidden/>
                <w:rStyle w:val="IndexLink"/>
              </w:rPr>
              <w:t>6. Gaps in the Delivered Documents</w:t>
              <w:tab/>
              <w:t>8</w:t>
            </w:r>
          </w:hyperlink>
        </w:p>
        <w:p>
          <w:pPr>
            <w:pStyle w:val="TOC1"/>
            <w:tabs>
              <w:tab w:val="clear" w:pos="9746"/>
              <w:tab w:val="right" w:pos="9745" w:leader="dot"/>
            </w:tabs>
            <w:rPr/>
          </w:pPr>
          <w:hyperlink w:anchor="__RefHeading___Toc15437_1092322862">
            <w:r>
              <w:rPr>
                <w:webHidden/>
                <w:rStyle w:val="IndexLink"/>
              </w:rPr>
              <w:t>7. Additions Made With This Review</w:t>
              <w:tab/>
              <w:t>9</w:t>
            </w:r>
          </w:hyperlink>
        </w:p>
        <w:p>
          <w:pPr>
            <w:pStyle w:val="TOC2"/>
            <w:tabs>
              <w:tab w:val="clear" w:pos="9463"/>
              <w:tab w:val="right" w:pos="9745" w:leader="dot"/>
            </w:tabs>
            <w:rPr/>
          </w:pPr>
          <w:hyperlink w:anchor="__RefHeading___Toc15439_1092322862">
            <w:r>
              <w:rPr>
                <w:webHidden/>
                <w:rStyle w:val="IndexLink"/>
              </w:rPr>
              <w:t>7.1 Organizations, sectors and groups</w:t>
              <w:tab/>
              <w:t>9</w:t>
            </w:r>
          </w:hyperlink>
        </w:p>
        <w:p>
          <w:pPr>
            <w:pStyle w:val="TOC2"/>
            <w:tabs>
              <w:tab w:val="clear" w:pos="9463"/>
              <w:tab w:val="right" w:pos="9745" w:leader="dot"/>
            </w:tabs>
            <w:rPr/>
          </w:pPr>
          <w:hyperlink w:anchor="__RefHeading___Toc15441_1092322862">
            <w:r>
              <w:rPr>
                <w:webHidden/>
                <w:rStyle w:val="IndexLink"/>
              </w:rPr>
              <w:t>7.2 Benchmarking module</w:t>
              <w:tab/>
              <w:t>9</w:t>
            </w:r>
          </w:hyperlink>
        </w:p>
        <w:p>
          <w:pPr>
            <w:pStyle w:val="TOC1"/>
            <w:tabs>
              <w:tab w:val="clear" w:pos="9746"/>
              <w:tab w:val="right" w:pos="9745" w:leader="dot"/>
            </w:tabs>
            <w:rPr/>
          </w:pPr>
          <w:hyperlink w:anchor="__RefHeading___Toc15443_1092322862">
            <w:r>
              <w:rPr>
                <w:webHidden/>
                <w:rStyle w:val="IndexLink"/>
              </w:rPr>
              <w:t>8. Measurements</w:t>
              <w:tab/>
              <w:t>10</w:t>
            </w:r>
          </w:hyperlink>
        </w:p>
        <w:p>
          <w:pPr>
            <w:pStyle w:val="TOC1"/>
            <w:tabs>
              <w:tab w:val="clear" w:pos="9746"/>
              <w:tab w:val="right" w:pos="9745" w:leader="dot"/>
            </w:tabs>
            <w:rPr/>
          </w:pPr>
          <w:hyperlink w:anchor="__RefHeading___Toc15445_1092322862">
            <w:r>
              <w:rPr>
                <w:webHidden/>
                <w:rStyle w:val="IndexLink"/>
              </w:rPr>
              <w:t>Appendix. Requirement Matrix</w:t>
              <w:tab/>
              <w:t>11</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color w:val="3A3A3C"/>
          <w:sz w:val="24"/>
        </w:rPr>
      </w:pPr>
      <w:r>
        <w:rPr>
          <w:rFonts w:eastAsia="Times New Roman"/>
          <w:color w:val="3A3A3C"/>
          <w:sz w:val="24"/>
        </w:rPr>
      </w:r>
      <w:r>
        <w:br w:type="page"/>
      </w:r>
    </w:p>
    <w:p>
      <w:pPr>
        <w:pStyle w:val="Heading1"/>
        <w:spacing w:before="0" w:after="160"/>
        <w:rPr/>
      </w:pPr>
      <w:bookmarkStart w:id="0" w:name="__RefHeading___Toc15423_1092322862"/>
      <w:bookmarkEnd w:id="0"/>
      <w:r>
        <w:rPr/>
        <w:t>1. Summary</w:t>
      </w:r>
    </w:p>
    <w:p>
      <w:pPr>
        <w:pStyle w:val="Normal"/>
        <w:rPr/>
      </w:pPr>
      <w:r>
        <w:rPr>
          <w:rFonts w:eastAsia="Times New Roman" w:cs="Times New Roman"/>
        </w:rPr>
        <w:t xml:space="preserve">CortexPLM meets </w:t>
      </w:r>
      <w:r>
        <w:rPr>
          <w:rFonts w:eastAsia="Times New Roman" w:cs="Times New Roman"/>
          <w:b/>
        </w:rPr>
        <w:t>148 of 155</w:t>
      </w:r>
      <w:r>
        <w:rPr>
          <w:rFonts w:eastAsia="Times New Roman" w:cs="Times New Roman"/>
        </w:rPr>
        <w:t xml:space="preserve"> requirements of the Dynamic Apps Standard SRS, up from 138 in the first delivery. This review found 10 requirements that were only partly met and closed them in this release. 6 remain partial, and 1 depends on how the application is hosted.</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7"/>
        <w:gridCol w:w="1728"/>
        <w:gridCol w:w="4564"/>
      </w:tblGrid>
      <w:tr>
        <w:trPr>
          <w:tblHeader w:val="true"/>
        </w:trPr>
        <w:tc>
          <w:tcPr>
            <w:tcW w:w="17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Status</w:t>
            </w:r>
          </w:p>
        </w:tc>
        <w:tc>
          <w:tcPr>
            <w:tcW w:w="172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First delivery</w:t>
            </w:r>
          </w:p>
        </w:tc>
        <w:tc>
          <w:tcPr>
            <w:tcW w:w="17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This release</w:t>
            </w:r>
          </w:p>
        </w:tc>
        <w:tc>
          <w:tcPr>
            <w:tcW w:w="456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Meaning</w:t>
            </w:r>
          </w:p>
        </w:tc>
      </w:tr>
      <w:tr>
        <w:trPr/>
        <w:tc>
          <w:tcPr>
            <w:tcW w:w="1728"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9"/>
              </w:rPr>
              <w:t>Met</w:t>
            </w:r>
          </w:p>
        </w:tc>
        <w:tc>
          <w:tcPr>
            <w:tcW w:w="172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138</w:t>
            </w:r>
          </w:p>
        </w:tc>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148</w:t>
            </w:r>
          </w:p>
        </w:tc>
        <w:tc>
          <w:tcPr>
            <w:tcW w:w="45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Implemented and verified in the application.</w:t>
            </w:r>
          </w:p>
        </w:tc>
      </w:tr>
      <w:tr>
        <w:trPr/>
        <w:tc>
          <w:tcPr>
            <w:tcW w:w="1728"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9"/>
              </w:rPr>
              <w:t>Fixed</w:t>
            </w:r>
          </w:p>
        </w:tc>
        <w:tc>
          <w:tcPr>
            <w:tcW w:w="172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w:t>
            </w:r>
          </w:p>
        </w:tc>
        <w:tc>
          <w:tcPr>
            <w:tcW w:w="17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10</w:t>
            </w:r>
          </w:p>
        </w:tc>
        <w:tc>
          <w:tcPr>
            <w:tcW w:w="45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Included in "Met": a gap found by this review and closed in this release.</w:t>
            </w:r>
          </w:p>
        </w:tc>
      </w:tr>
      <w:tr>
        <w:trPr/>
        <w:tc>
          <w:tcPr>
            <w:tcW w:w="1728"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9"/>
              </w:rPr>
              <w:t>Partial</w:t>
            </w:r>
          </w:p>
        </w:tc>
        <w:tc>
          <w:tcPr>
            <w:tcW w:w="172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16</w:t>
            </w:r>
          </w:p>
        </w:tc>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6</w:t>
            </w:r>
          </w:p>
        </w:tc>
        <w:tc>
          <w:tcPr>
            <w:tcW w:w="45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Implemented in part; the remaining work is described in Section 5.</w:t>
            </w:r>
          </w:p>
        </w:tc>
      </w:tr>
      <w:tr>
        <w:trPr/>
        <w:tc>
          <w:tcPr>
            <w:tcW w:w="1728"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0"/>
              <w:jc w:val="left"/>
              <w:rPr/>
            </w:pPr>
            <w:r>
              <w:rPr>
                <w:rFonts w:eastAsia="Times New Roman" w:cs="Times New Roman"/>
                <w:sz w:val="19"/>
              </w:rPr>
              <w:t>Deployment</w:t>
            </w:r>
          </w:p>
        </w:tc>
        <w:tc>
          <w:tcPr>
            <w:tcW w:w="172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w:t>
            </w:r>
          </w:p>
        </w:tc>
        <w:tc>
          <w:tcPr>
            <w:tcW w:w="17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w:t>
            </w:r>
          </w:p>
        </w:tc>
        <w:tc>
          <w:tcPr>
            <w:tcW w:w="45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The software provides the means; the result depends on hosting.</w:t>
            </w:r>
          </w:p>
        </w:tc>
      </w:tr>
    </w:tbl>
    <w:p>
      <w:pPr>
        <w:pStyle w:val="Normal"/>
        <w:spacing w:before="0" w:after="40"/>
        <w:rPr/>
      </w:pPr>
      <w:r>
        <w:rPr/>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748"/>
      </w:tblGrid>
      <w:tr>
        <w:trPr/>
        <w:tc>
          <w:tcPr>
            <w:tcW w:w="9748" w:type="dxa"/>
            <w:tcBorders>
              <w:left w:val="single" w:sz="24" w:space="0" w:color="F8931D"/>
            </w:tcBorders>
            <w:shd w:color="auto" w:fill="FDEEDA" w:val="clear"/>
          </w:tcPr>
          <w:p>
            <w:pPr>
              <w:pStyle w:val="Normal"/>
              <w:spacing w:before="0" w:after="120"/>
              <w:jc w:val="left"/>
              <w:rPr/>
            </w:pPr>
            <w:r>
              <w:rPr>
                <w:rFonts w:eastAsia="Times New Roman" w:cs="Times New Roman"/>
                <w:b/>
                <w:color w:val="E07B00"/>
                <w:sz w:val="22"/>
              </w:rPr>
              <w:t xml:space="preserve">Note  </w:t>
            </w:r>
            <w:r>
              <w:rPr>
                <w:rFonts w:eastAsia="Times New Roman" w:cs="Times New Roman"/>
                <w:sz w:val="22"/>
              </w:rPr>
              <w:t>The SRS file attached for this review is identical, byte for byte, to the one used to build the application. The gaps are therefore gaps in the delivery, not changes in the specification.</w:t>
            </w:r>
          </w:p>
        </w:tc>
      </w:tr>
    </w:tbl>
    <w:p>
      <w:pPr>
        <w:pStyle w:val="Normal"/>
        <w:spacing w:before="0" w:after="40"/>
        <w:rPr/>
      </w:pPr>
      <w:r>
        <w:rPr/>
      </w:r>
    </w:p>
    <w:p>
      <w:pPr>
        <w:pStyle w:val="Heading2"/>
        <w:rPr/>
      </w:pPr>
      <w:bookmarkStart w:id="1" w:name="__RefHeading___Toc15425_1092322862"/>
      <w:bookmarkEnd w:id="1"/>
      <w:r>
        <w:rPr/>
        <w:t>1.1 What changed in this release</w:t>
      </w:r>
    </w:p>
    <w:p>
      <w:pPr>
        <w:pStyle w:val="ListBullet"/>
        <w:numPr>
          <w:ilvl w:val="0"/>
          <w:numId w:val="1"/>
        </w:numPr>
        <w:spacing w:before="0" w:after="40"/>
        <w:contextualSpacing/>
        <w:rPr/>
      </w:pPr>
      <w:r>
        <w:rPr>
          <w:rFonts w:eastAsia="Times New Roman" w:cs="Times New Roman"/>
          <w:b/>
        </w:rPr>
        <w:t>Benchmarking module (new):</w:t>
      </w:r>
      <w:r>
        <w:rPr>
          <w:rFonts w:eastAsia="Times New Roman" w:cs="Times New Roman"/>
        </w:rPr>
        <w:t xml:space="preserve"> compares project types, tracks and departments within an organization, and organizations within the same group. External benchmarking is out of scope.</w:t>
      </w:r>
    </w:p>
    <w:p>
      <w:pPr>
        <w:pStyle w:val="ListBullet"/>
        <w:numPr>
          <w:ilvl w:val="0"/>
          <w:numId w:val="1"/>
        </w:numPr>
        <w:spacing w:before="0" w:after="40"/>
        <w:contextualSpacing/>
        <w:rPr/>
      </w:pPr>
      <w:r>
        <w:rPr>
          <w:rFonts w:eastAsia="Times New Roman" w:cs="Times New Roman"/>
          <w:b/>
        </w:rPr>
        <w:t>Seven sectors and real groups:</w:t>
      </w:r>
      <w:r>
        <w:rPr>
          <w:rFonts w:eastAsia="Times New Roman" w:cs="Times New Roman"/>
        </w:rPr>
        <w:t xml:space="preserve"> Construction added; two groups (Atlas Infrastructure Holding, Crescent Agro-Energy Group) and two independent organizations.</w:t>
      </w:r>
    </w:p>
    <w:p>
      <w:pPr>
        <w:pStyle w:val="ListBullet"/>
        <w:numPr>
          <w:ilvl w:val="0"/>
          <w:numId w:val="1"/>
        </w:numPr>
        <w:spacing w:before="0" w:after="40"/>
        <w:contextualSpacing/>
        <w:rPr/>
      </w:pPr>
      <w:r>
        <w:rPr>
          <w:rFonts w:eastAsia="Times New Roman" w:cs="Times New Roman"/>
          <w:b/>
        </w:rPr>
        <w:t>10 SRS gaps closed:</w:t>
      </w:r>
      <w:r>
        <w:rPr>
          <w:rFonts w:eastAsia="Times New Roman" w:cs="Times New Roman"/>
        </w:rPr>
        <w:t xml:space="preserve"> per-project OBS, multilingual knowledge, per-process governance view, version comparison, lessons-learned prompt at closure, restricted evaluations, CI pipeline, backups, load capacity and touch targets.</w:t>
      </w:r>
    </w:p>
    <w:p>
      <w:pPr>
        <w:pStyle w:val="ListBullet"/>
        <w:numPr>
          <w:ilvl w:val="0"/>
          <w:numId w:val="1"/>
        </w:numPr>
        <w:spacing w:before="0" w:after="40"/>
        <w:contextualSpacing/>
        <w:rPr/>
      </w:pPr>
      <w:r>
        <w:rPr>
          <w:rFonts w:eastAsia="Times New Roman" w:cs="Times New Roman"/>
          <w:b/>
        </w:rPr>
        <w:t>Documents corrected:</w:t>
      </w:r>
      <w:r>
        <w:rPr>
          <w:rFonts w:eastAsia="Times New Roman" w:cs="Times New Roman"/>
        </w:rPr>
        <w:t xml:space="preserve"> the Coverage Checklist overstated SRS coverage; the User Guide covered the lifecycle only. Both are updated (Section 6).</w:t>
      </w:r>
    </w:p>
    <w:p>
      <w:pPr>
        <w:pStyle w:val="Normal"/>
        <w:rPr/>
      </w:pPr>
      <w:r>
        <w:rPr/>
      </w:r>
      <w:r>
        <w:br w:type="page"/>
      </w:r>
    </w:p>
    <w:p>
      <w:pPr>
        <w:pStyle w:val="Heading1"/>
        <w:spacing w:before="0" w:after="160"/>
        <w:rPr/>
      </w:pPr>
      <w:bookmarkStart w:id="2" w:name="__RefHeading___Toc15427_1092322862"/>
      <w:bookmarkEnd w:id="2"/>
      <w:r>
        <w:rPr/>
        <w:t>2. Scope and Method</w:t>
      </w:r>
    </w:p>
    <w:p>
      <w:pPr>
        <w:pStyle w:val="Normal"/>
        <w:rPr/>
      </w:pPr>
      <w:r>
        <w:rPr>
          <w:rFonts w:eastAsia="Times New Roman" w:cs="Times New Roman"/>
        </w:rPr>
        <w:t>Each of the 155 requirements (112 functional, 43 non-functional) was checked against the application code, the automated tests and measurements taken on a freshly seeded database. The delivered documents (User Guide, Installation Guide, Coverage Checklist) were checked for what they claim and what they leave out.</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1"/>
        <w:gridCol w:w="7156"/>
      </w:tblGrid>
      <w:tr>
        <w:trPr>
          <w:tblHeader w:val="true"/>
        </w:trPr>
        <w:tc>
          <w:tcPr>
            <w:tcW w:w="259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Evidence type</w:t>
            </w:r>
          </w:p>
        </w:tc>
        <w:tc>
          <w:tcPr>
            <w:tcW w:w="715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How it was obtained</w:t>
            </w:r>
          </w:p>
        </w:tc>
      </w:tr>
      <w:tr>
        <w:trPr/>
        <w:tc>
          <w:tcPr>
            <w:tcW w:w="259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Code review</w:t>
            </w:r>
          </w:p>
        </w:tc>
        <w:tc>
          <w:tcPr>
            <w:tcW w:w="715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Every requirement traced to the route, library or screen that implements it.</w:t>
            </w:r>
          </w:p>
        </w:tc>
      </w:tr>
      <w:tr>
        <w:trPr/>
        <w:tc>
          <w:tcPr>
            <w:tcW w:w="2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Automated tests</w:t>
            </w:r>
          </w:p>
        </w:tc>
        <w:tc>
          <w:tcPr>
            <w:tcW w:w="71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11 tests: tenant isolation, RBAC and entitlement 403s, benchmarking scope, cache consistency.</w:t>
            </w:r>
          </w:p>
        </w:tc>
      </w:tr>
      <w:tr>
        <w:trPr/>
        <w:tc>
          <w:tcPr>
            <w:tcW w:w="259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Walkthrough replay</w:t>
            </w:r>
          </w:p>
        </w:tc>
        <w:tc>
          <w:tcPr>
            <w:tcW w:w="715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The five User Guide runs replayed through the API on a fresh database.</w:t>
            </w:r>
          </w:p>
        </w:tc>
      </w:tr>
      <w:tr>
        <w:trPr/>
        <w:tc>
          <w:tcPr>
            <w:tcW w:w="259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Measurements</w:t>
            </w:r>
          </w:p>
        </w:tc>
        <w:tc>
          <w:tcPr>
            <w:tcW w:w="715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Response times, 100 concurrent users, BPMN round trip, WCAG 2.1 AA scan (axe-core), phone viewport.</w:t>
            </w:r>
          </w:p>
        </w:tc>
      </w:tr>
    </w:tbl>
    <w:p>
      <w:pPr>
        <w:pStyle w:val="Normal"/>
        <w:spacing w:before="0" w:after="40"/>
        <w:rPr/>
      </w:pPr>
      <w:r>
        <w:rPr/>
      </w:r>
    </w:p>
    <w:p>
      <w:pPr>
        <w:pStyle w:val="Normal"/>
        <w:rPr/>
      </w:pPr>
      <w:r>
        <w:rPr/>
      </w:r>
      <w:r>
        <w:br w:type="page"/>
      </w:r>
    </w:p>
    <w:p>
      <w:pPr>
        <w:pStyle w:val="Heading1"/>
        <w:spacing w:before="0" w:after="160"/>
        <w:rPr/>
      </w:pPr>
      <w:bookmarkStart w:id="3" w:name="__RefHeading___Toc15429_1092322862"/>
      <w:bookmarkEnd w:id="3"/>
      <w:r>
        <w:rPr/>
        <w:t>3. Result by SRS Section</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53"/>
        <w:gridCol w:w="863"/>
        <w:gridCol w:w="864"/>
        <w:gridCol w:w="1295"/>
        <w:gridCol w:w="1008"/>
        <w:gridCol w:w="964"/>
      </w:tblGrid>
      <w:tr>
        <w:trPr>
          <w:tblHeader w:val="true"/>
        </w:trPr>
        <w:tc>
          <w:tcPr>
            <w:tcW w:w="47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SRS section</w:t>
            </w:r>
          </w:p>
        </w:tc>
        <w:tc>
          <w:tcPr>
            <w:tcW w:w="86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Req.</w:t>
            </w:r>
          </w:p>
        </w:tc>
        <w:tc>
          <w:tcPr>
            <w:tcW w:w="86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Met</w:t>
            </w:r>
          </w:p>
        </w:tc>
        <w:tc>
          <w:tcPr>
            <w:tcW w:w="129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of which fixed</w:t>
            </w:r>
          </w:p>
        </w:tc>
        <w:tc>
          <w:tcPr>
            <w:tcW w:w="100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Partial</w:t>
            </w:r>
          </w:p>
        </w:tc>
        <w:tc>
          <w:tcPr>
            <w:tcW w:w="96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Hosting</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4.1 Tenant &amp; Organizational Hierarchy</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8</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7</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4.2 Identity &amp; Role-Based Access Control</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4.3 Configuration Management (Solution Packs, Add-Ons, Compliance Standards)</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14</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14</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4.4 AI Use Case Library &amp; Governance</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4.5 Standards / Knowledge Base &amp; Retrieval-Augmented Generation</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4.6 Process/Stage Governance (Alerts, Business Rules, Controls, Risks, RACSI, Custom KPIs)</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8</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4.7 BPMN 2.0 Process Modeling</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4.8 Reports &amp; Data Export</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4.9 Notification Center (Alerts)</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4.10 AI Assistant / Chatbot</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4.11 Audit Trail &amp; Justification Governance</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4.12 Help &amp; In-App Guidance</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3</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3</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4.13 Template Libraries</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4.14 Multi-Language &amp; Localization</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5</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4.15 Work Breakdown Structure &amp; Gantt Scheduling</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6</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6</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4.16 Version Management</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5</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5</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4.17 Multi-Channel Communication</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4.18 Return on Experience (REX)</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7</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5.1 Performance</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5.2 Security</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11</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5.3 Reliability &amp; Data Integrity</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5.4 Scalability</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3</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5.5 Usability &amp; Accessibility</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4</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5.6 Localization</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5.7 Portability / Installability</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5.8 Maintainability / Extensibility</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5</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1</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5.9 Compatibility</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5.10 Auditability &amp; Compliance</w:t>
            </w:r>
          </w:p>
        </w:tc>
        <w:tc>
          <w:tcPr>
            <w:tcW w:w="863"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w:t>
            </w:r>
          </w:p>
        </w:tc>
        <w:tc>
          <w:tcPr>
            <w:tcW w:w="129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w:t>
            </w:r>
          </w:p>
        </w:tc>
      </w:tr>
      <w:tr>
        <w:trPr/>
        <w:tc>
          <w:tcPr>
            <w:tcW w:w="475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5.11 Data Retention &amp; Privacy</w:t>
            </w:r>
          </w:p>
        </w:tc>
        <w:tc>
          <w:tcPr>
            <w:tcW w:w="863"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w:t>
            </w:r>
          </w:p>
        </w:tc>
        <w:tc>
          <w:tcPr>
            <w:tcW w:w="129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100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c>
          <w:tcPr>
            <w:tcW w:w="9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t>
            </w:r>
          </w:p>
        </w:tc>
      </w:tr>
    </w:tbl>
    <w:p>
      <w:pPr>
        <w:pStyle w:val="Normal"/>
        <w:spacing w:before="0" w:after="40"/>
        <w:rPr/>
      </w:pPr>
      <w:r>
        <w:rPr/>
      </w:r>
    </w:p>
    <w:p>
      <w:pPr>
        <w:pStyle w:val="Normal"/>
        <w:rPr/>
      </w:pPr>
      <w:r>
        <w:rPr/>
      </w:r>
      <w:r>
        <w:br w:type="page"/>
      </w:r>
    </w:p>
    <w:p>
      <w:pPr>
        <w:pStyle w:val="Heading1"/>
        <w:spacing w:before="0" w:after="160"/>
        <w:rPr/>
      </w:pPr>
      <w:bookmarkStart w:id="4" w:name="__RefHeading___Toc15431_1092322862"/>
      <w:bookmarkEnd w:id="4"/>
      <w:r>
        <w:rPr/>
        <w:t>4. Gaps Closed in This Release</w:t>
      </w:r>
    </w:p>
    <w:p>
      <w:pPr>
        <w:pStyle w:val="Normal"/>
        <w:rPr/>
      </w:pPr>
      <w:r>
        <w:rPr>
          <w:rFonts w:eastAsia="Times New Roman" w:cs="Times New Roman"/>
        </w:rPr>
        <w:t>Each row was a partial requirement in the first delivery. The fix is in the application and verified as described.</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1"/>
        <w:gridCol w:w="6724"/>
        <w:gridCol w:w="1153"/>
      </w:tblGrid>
      <w:tr>
        <w:trPr>
          <w:tblHeader w:val="true"/>
        </w:trPr>
        <w:tc>
          <w:tcPr>
            <w:tcW w:w="187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Requirement</w:t>
            </w:r>
          </w:p>
        </w:tc>
        <w:tc>
          <w:tcPr>
            <w:tcW w:w="672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Gap and fix</w:t>
            </w:r>
          </w:p>
        </w:tc>
        <w:tc>
          <w:tcPr>
            <w:tcW w:w="115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Status</w:t>
            </w:r>
          </w:p>
        </w:tc>
      </w:tr>
      <w:tr>
        <w:trPr/>
        <w:tc>
          <w:tcPr>
            <w:tcW w:w="18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FR-DA-TEN-04</w:t>
            </w:r>
          </w:p>
        </w:tc>
        <w:tc>
          <w:tcPr>
            <w:tcW w:w="672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Added per-project OBS trees (tree selector) and free-text node types. First delivery had per-organization trees only.</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r>
        <w:trPr/>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FR-DA-KB-01</w:t>
            </w:r>
          </w:p>
        </w:tc>
        <w:tc>
          <w:tcPr>
            <w:tcW w:w="67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Reference articles now seeded in English, French and Arabic, with a language filter. First delivery: English only.</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r>
        <w:trPr/>
        <w:tc>
          <w:tcPr>
            <w:tcW w:w="18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FR-DA-GOV-08</w:t>
            </w:r>
          </w:p>
        </w:tc>
        <w:tc>
          <w:tcPr>
            <w:tcW w:w="672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Macro process pages now list the organization's rules, controls, risks, RACSI activities and lessons tagged to that process. First delivery: tags stored but no per-process view.</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r>
        <w:trPr/>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FR-DA-VER-03</w:t>
            </w:r>
          </w:p>
        </w:tc>
        <w:tc>
          <w:tcPr>
            <w:tcW w:w="67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Added "Compare two versions" field by field on every version history (registers, AI use cases, templates, REX, track configuration). First delivery: history without comparison.</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r>
        <w:trPr/>
        <w:tc>
          <w:tcPr>
            <w:tcW w:w="18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FR-DA-REX-01</w:t>
            </w:r>
          </w:p>
        </w:tc>
        <w:tc>
          <w:tcPr>
            <w:tcW w:w="672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Lesson prompt now also appears when a project reaches Launched (Fast Track) or Retired, and to the executives who close it. First delivery: only after task completion and Kill.</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r>
        <w:trPr/>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NFR-DA-SEC-10</w:t>
            </w:r>
          </w:p>
        </w:tc>
        <w:tc>
          <w:tcPr>
            <w:tcW w:w="67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Individual evaluation verdicts and notes now restricted to the people involved and roles holding evaluation.view; others see "Evaluated" only. Peer organizations in benchmarks are aggregates only.</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r>
        <w:trPr/>
        <w:tc>
          <w:tcPr>
            <w:tcW w:w="18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NFR-DA-SEC-11</w:t>
            </w:r>
          </w:p>
        </w:tc>
        <w:tc>
          <w:tcPr>
            <w:tcW w:w="672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11 automated tests (tenant isolation and benchmarking) now run in a CI pipeline on Linux, Windows and macOS. First delivery: tests without a pipeline.</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r>
        <w:trPr/>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NFR-DA-REL-04</w:t>
            </w:r>
          </w:p>
        </w:tc>
        <w:tc>
          <w:tcPr>
            <w:tcW w:w="67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Added automatic daily backups (VACUUM INTO) with retention, npm run backup, and a Backups panel. Off-site copy remains a hosting task.</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r>
        <w:trPr/>
        <w:tc>
          <w:tcPr>
            <w:tcW w:w="18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NFR-DA-SCALE-02</w:t>
            </w:r>
          </w:p>
        </w:tc>
        <w:tc>
          <w:tcPr>
            <w:tcW w:w="672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Measured 100 simultaneous users: 400 requests, 0 failures; p95 4.4 s before, 0.9 s after adding a per-user read cache.</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r>
        <w:trPr/>
        <w:tc>
          <w:tcPr>
            <w:tcW w:w="18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NFR-DA-UX-02</w:t>
            </w:r>
          </w:p>
        </w:tc>
        <w:tc>
          <w:tcPr>
            <w:tcW w:w="67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Verified at 390 px: no horizontal scrolling; touch targets raised to 44 px on touch screens and 24 px minimum elsewhere.</w:t>
            </w:r>
          </w:p>
        </w:tc>
        <w:tc>
          <w:tcPr>
            <w:tcW w:w="115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8"/>
              </w:rPr>
              <w:t>Fixed</w:t>
            </w:r>
          </w:p>
        </w:tc>
      </w:tr>
    </w:tbl>
    <w:p>
      <w:pPr>
        <w:pStyle w:val="Normal"/>
        <w:spacing w:before="0" w:after="40"/>
        <w:rPr/>
      </w:pPr>
      <w:r>
        <w:rPr/>
      </w:r>
    </w:p>
    <w:p>
      <w:pPr>
        <w:pStyle w:val="Normal"/>
        <w:rPr/>
      </w:pPr>
      <w:r>
        <w:rPr/>
      </w:r>
      <w:r>
        <w:br w:type="page"/>
      </w:r>
    </w:p>
    <w:p>
      <w:pPr>
        <w:pStyle w:val="Heading1"/>
        <w:spacing w:before="0" w:after="160"/>
        <w:rPr/>
      </w:pPr>
      <w:bookmarkStart w:id="5" w:name="__RefHeading___Toc15433_1092322862"/>
      <w:bookmarkEnd w:id="5"/>
      <w:r>
        <w:rPr/>
        <w:t>5. Remaining Partial and Hosting Items</w:t>
      </w:r>
    </w:p>
    <w:p>
      <w:pPr>
        <w:pStyle w:val="Normal"/>
        <w:rPr/>
      </w:pPr>
      <w:r>
        <w:rPr>
          <w:rFonts w:eastAsia="Times New Roman" w:cs="Times New Roman"/>
        </w:rPr>
        <w:t>These items are implemented in part, or depend on hosting. Each has a concrete next step.</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3671"/>
        <w:gridCol w:w="3240"/>
        <w:gridCol w:w="1108"/>
      </w:tblGrid>
      <w:tr>
        <w:trPr>
          <w:tblHeader w:val="true"/>
        </w:trPr>
        <w:tc>
          <w:tcPr>
            <w:tcW w:w="17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Requirement</w:t>
            </w:r>
          </w:p>
        </w:tc>
        <w:tc>
          <w:tcPr>
            <w:tcW w:w="367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Current state</w:t>
            </w:r>
          </w:p>
        </w:tc>
        <w:tc>
          <w:tcPr>
            <w:tcW w:w="324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Recommended next step</w:t>
            </w:r>
          </w:p>
        </w:tc>
        <w:tc>
          <w:tcPr>
            <w:tcW w:w="110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Status</w:t>
            </w:r>
          </w:p>
        </w:tc>
      </w:tr>
      <w:tr>
        <w:trPr/>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FR-DA-TEN-08</w:t>
            </w:r>
          </w:p>
        </w:tc>
        <w:tc>
          <w:tcPr>
            <w:tcW w:w="36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Other tenants' records return 404 and lists are scoped (automated tests). Record ids are one global sequence, so the size of an id can hint at overall volume. Recommendation: opaque identifiers.</w:t>
            </w:r>
          </w:p>
        </w:tc>
        <w:tc>
          <w:tcPr>
            <w:tcW w:w="32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Replace sequential record ids in URLs and API payloads with opaque identifiers (UUID or per-tenant codes). Medium effort; touches every route.</w:t>
            </w:r>
          </w:p>
        </w:tc>
        <w:tc>
          <w:tcPr>
            <w:tcW w:w="1108"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8"/>
              </w:rPr>
              <w:t>Partial</w:t>
            </w:r>
          </w:p>
        </w:tc>
      </w:tr>
      <w:tr>
        <w:trPr/>
        <w:tc>
          <w:tcPr>
            <w:tcW w:w="17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FR-DA-I18N-01</w:t>
            </w:r>
          </w:p>
        </w:tc>
        <w:tc>
          <w:tcPr>
            <w:tcW w:w="36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All 1,100 interface strings and 117 fixed server messages in EN, FR, AR, plus reference labels. Remaining in English: long reference texts from the source documents (macro-process goals, 727 step descriptions) and 18 server messages that embed values.</w:t>
            </w:r>
          </w:p>
        </w:tc>
        <w:tc>
          <w:tcPr>
            <w:tcW w:w="32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Translate the reference catalog (macro-process goals, SIPOC texts, 727 step descriptions) with a terminology review, and move the 18 value-bearing server messages to parameterized dictionary keys.</w:t>
            </w:r>
          </w:p>
        </w:tc>
        <w:tc>
          <w:tcPr>
            <w:tcW w:w="1108"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8"/>
              </w:rPr>
              <w:t>Partial</w:t>
            </w:r>
          </w:p>
        </w:tc>
      </w:tr>
      <w:tr>
        <w:trPr/>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NFR-DA-REL-02</w:t>
            </w:r>
          </w:p>
        </w:tc>
        <w:tc>
          <w:tcPr>
            <w:tcW w:w="36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Uptime depends on hosting. The application restarts cleanly and supports a process manager; 99.9% needs redundant hosting and monitoring.</w:t>
            </w:r>
          </w:p>
        </w:tc>
        <w:tc>
          <w:tcPr>
            <w:tcW w:w="32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Host behind a process manager or container orchestrator with health checks, two instances and monitoring; keep off-site backups.</w:t>
            </w:r>
          </w:p>
        </w:tc>
        <w:tc>
          <w:tcPr>
            <w:tcW w:w="1108"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0"/>
              <w:jc w:val="left"/>
              <w:rPr/>
            </w:pPr>
            <w:r>
              <w:rPr>
                <w:rFonts w:eastAsia="Times New Roman" w:cs="Times New Roman"/>
                <w:sz w:val="18"/>
              </w:rPr>
              <w:t>Deployment</w:t>
            </w:r>
          </w:p>
        </w:tc>
      </w:tr>
      <w:tr>
        <w:trPr/>
        <w:tc>
          <w:tcPr>
            <w:tcW w:w="17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NFR-DA-SCALE-03</w:t>
            </w:r>
          </w:p>
        </w:tc>
        <w:tc>
          <w:tcPr>
            <w:tcW w:w="36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Data access goes through one query module and retrieval through one module, so they can be replaced; no distributed database or vector store has been plugged in to prove it.</w:t>
            </w:r>
          </w:p>
        </w:tc>
        <w:tc>
          <w:tcPr>
            <w:tcW w:w="32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Prove swappability with a PostgreSQL adapter for the query module and a vector-store adapter for retrieval, running the same test suite.</w:t>
            </w:r>
          </w:p>
        </w:tc>
        <w:tc>
          <w:tcPr>
            <w:tcW w:w="1108"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8"/>
              </w:rPr>
              <w:t>Partial</w:t>
            </w:r>
          </w:p>
        </w:tc>
      </w:tr>
      <w:tr>
        <w:trPr/>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NFR-DA-UX-03</w:t>
            </w:r>
          </w:p>
        </w:tc>
        <w:tc>
          <w:tcPr>
            <w:tcW w:w="36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axe-core WCAG 2.1 AA scan of 14 screens: ARIA errors and grey-text contrast fixed. Remaining: brand-mandated white text on orange table headers (2.28:1) and orange KPI numbers (2.99:1).</w:t>
            </w:r>
          </w:p>
        </w:tc>
        <w:tc>
          <w:tcPr>
            <w:tcW w:w="32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Decide the brand-versus-accessibility conflict: keep the orange table header but use Grey Dark text (5.9:1), and use Grey Dark for KPI numbers or enlarge them. Both are one-line style changes.</w:t>
            </w:r>
          </w:p>
        </w:tc>
        <w:tc>
          <w:tcPr>
            <w:tcW w:w="1108"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8"/>
              </w:rPr>
              <w:t>Partial</w:t>
            </w:r>
          </w:p>
        </w:tc>
      </w:tr>
      <w:tr>
        <w:trPr/>
        <w:tc>
          <w:tcPr>
            <w:tcW w:w="17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NFR-DA-PORT-02</w:t>
            </w:r>
          </w:p>
        </w:tc>
        <w:tc>
          <w:tcPr>
            <w:tcW w:w="367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Verified on Linux. The CI workflow now runs install, seed, tests and build on Windows and macOS too; see its result.</w:t>
            </w:r>
          </w:p>
        </w:tc>
        <w:tc>
          <w:tcPr>
            <w:tcW w:w="32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Check the Windows and macOS jobs of the CI workflow after the push; fix any path or shell difference they reveal.</w:t>
            </w:r>
          </w:p>
        </w:tc>
        <w:tc>
          <w:tcPr>
            <w:tcW w:w="1108"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8"/>
              </w:rPr>
              <w:t>Partial</w:t>
            </w:r>
          </w:p>
        </w:tc>
      </w:tr>
      <w:tr>
        <w:trPr/>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NFR-DA-MAINT-01</w:t>
            </w:r>
          </w:p>
        </w:tc>
        <w:tc>
          <w:tcPr>
            <w:tcW w:w="367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Engines are separate modules behind one REST contract; reuse by a sibling Dynamic App has not been demonstrated.</w:t>
            </w:r>
          </w:p>
        </w:tc>
        <w:tc>
          <w:tcPr>
            <w:tcW w:w="32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Package the task register, alert engine, RBAC, KPI and audit modules as a shared library and consume it from a second Dynamic App.</w:t>
            </w:r>
          </w:p>
        </w:tc>
        <w:tc>
          <w:tcPr>
            <w:tcW w:w="1108"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8"/>
              </w:rPr>
              <w:t>Partial</w:t>
            </w:r>
          </w:p>
        </w:tc>
      </w:tr>
    </w:tbl>
    <w:p>
      <w:pPr>
        <w:pStyle w:val="Normal"/>
        <w:spacing w:before="0" w:after="40"/>
        <w:rPr/>
      </w:pPr>
      <w:r>
        <w:rPr/>
      </w:r>
    </w:p>
    <w:p>
      <w:pPr>
        <w:pStyle w:val="Normal"/>
        <w:rPr/>
      </w:pPr>
      <w:r>
        <w:rPr/>
      </w:r>
      <w:r>
        <w:br w:type="page"/>
      </w:r>
    </w:p>
    <w:p>
      <w:pPr>
        <w:pStyle w:val="Heading1"/>
        <w:spacing w:before="0" w:after="160"/>
        <w:rPr/>
      </w:pPr>
      <w:bookmarkStart w:id="6" w:name="__RefHeading___Toc15435_1092322862"/>
      <w:bookmarkEnd w:id="6"/>
      <w:r>
        <w:rPr/>
        <w:t>6. Gaps in the Delivered Documents</w:t>
      </w:r>
    </w:p>
    <w:p>
      <w:pPr>
        <w:pStyle w:val="Normal"/>
        <w:rPr/>
      </w:pPr>
      <w:r>
        <w:rPr>
          <w:rFonts w:eastAsia="Times New Roman" w:cs="Times New Roman"/>
        </w:rPr>
        <w:t>The review also compared what the documents say with what the SRS asks and what the application does.</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5"/>
        <w:gridCol w:w="4032"/>
        <w:gridCol w:w="3701"/>
      </w:tblGrid>
      <w:tr>
        <w:trPr>
          <w:tblHeader w:val="true"/>
        </w:trPr>
        <w:tc>
          <w:tcPr>
            <w:tcW w:w="201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Document</w:t>
            </w:r>
          </w:p>
        </w:tc>
        <w:tc>
          <w:tcPr>
            <w:tcW w:w="403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Gap found</w:t>
            </w:r>
          </w:p>
        </w:tc>
        <w:tc>
          <w:tcPr>
            <w:tcW w:w="370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Action taken</w:t>
            </w:r>
          </w:p>
        </w:tc>
      </w:tr>
      <w:tr>
        <w:trPr/>
        <w:tc>
          <w:tcPr>
            <w:tcW w:w="201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User Guide</w:t>
            </w:r>
          </w:p>
        </w:tc>
        <w:tc>
          <w:tcPr>
            <w:tcW w:w="403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Covered the project lifecycle only. Most SRS modules (governance registers, BPMN, AI use cases, knowledge, templates, WBS, REX, reports, notifications, administration, versions) had no usage scenario.</w:t>
            </w:r>
          </w:p>
        </w:tc>
        <w:tc>
          <w:tcPr>
            <w:tcW w:w="370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Added Part "Everyday scenarios by module" with step-by-step scenarios and the values to type, plus a full benchmarking walkthrough (Run 6).</w:t>
            </w:r>
          </w:p>
        </w:tc>
      </w:tr>
      <w:tr>
        <w:trPr/>
        <w:tc>
          <w:tcPr>
            <w:tcW w:w="201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User Guide</w:t>
            </w:r>
          </w:p>
        </w:tc>
        <w:tc>
          <w:tcPr>
            <w:tcW w:w="40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Did not show groups, independent organizations or the Construction sector.</w:t>
            </w:r>
          </w:p>
        </w:tc>
        <w:tc>
          <w:tcPr>
            <w:tcW w:w="37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Updated organization tables and added the group model to the getting-started chapter.</w:t>
            </w:r>
          </w:p>
        </w:tc>
      </w:tr>
      <w:tr>
        <w:trPr/>
        <w:tc>
          <w:tcPr>
            <w:tcW w:w="201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Coverage Checklist</w:t>
            </w:r>
          </w:p>
        </w:tc>
        <w:tc>
          <w:tcPr>
            <w:tcW w:w="403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Marked all 155 SRS requirements as "traced" from a group-level mapping, without checking each requirement. It overstated coverage.</w:t>
            </w:r>
          </w:p>
        </w:tc>
        <w:tc>
          <w:tcPr>
            <w:tcW w:w="370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Replaced by this requirement-by-requirement assessment; the checklist now links to it and shows Partial items.</w:t>
            </w:r>
          </w:p>
        </w:tc>
      </w:tr>
      <w:tr>
        <w:trPr/>
        <w:tc>
          <w:tcPr>
            <w:tcW w:w="201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Coverage Checklist / Traceability screen</w:t>
            </w:r>
          </w:p>
        </w:tc>
        <w:tc>
          <w:tcPr>
            <w:tcW w:w="40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The in-app traceability page labelled every requirement "Implemented".</w:t>
            </w:r>
          </w:p>
        </w:tc>
        <w:tc>
          <w:tcPr>
            <w:tcW w:w="37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The page now shows the assessed status (Met, Partial, Deployment) per requirement.</w:t>
            </w:r>
          </w:p>
        </w:tc>
      </w:tr>
      <w:tr>
        <w:trPr/>
        <w:tc>
          <w:tcPr>
            <w:tcW w:w="201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Installation Guide</w:t>
            </w:r>
          </w:p>
        </w:tc>
        <w:tc>
          <w:tcPr>
            <w:tcW w:w="403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No backup and restore instructions (NFR-DA-REL-04); six organizations only.</w:t>
            </w:r>
          </w:p>
        </w:tc>
        <w:tc>
          <w:tcPr>
            <w:tcW w:w="370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Added backup, restore and retention; seven organizations with their groups.</w:t>
            </w:r>
          </w:p>
        </w:tc>
      </w:tr>
      <w:tr>
        <w:trPr/>
        <w:tc>
          <w:tcPr>
            <w:tcW w:w="201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All guides</w:t>
            </w:r>
          </w:p>
        </w:tc>
        <w:tc>
          <w:tcPr>
            <w:tcW w:w="403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The official POWERACT logo could not be downloaded (network policy), so covers use a text wordmark.</w:t>
            </w:r>
          </w:p>
        </w:tc>
        <w:tc>
          <w:tcPr>
            <w:tcW w:w="370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Unchanged: place the logo at docs/brand/poweract-logo.png and rebuild.</w:t>
            </w:r>
          </w:p>
        </w:tc>
      </w:tr>
    </w:tbl>
    <w:p>
      <w:pPr>
        <w:pStyle w:val="Normal"/>
        <w:spacing w:before="0" w:after="40"/>
        <w:rPr/>
      </w:pPr>
      <w:r>
        <w:rPr/>
      </w:r>
    </w:p>
    <w:p>
      <w:pPr>
        <w:pStyle w:val="Normal"/>
        <w:rPr/>
      </w:pPr>
      <w:r>
        <w:rPr/>
      </w:r>
      <w:r>
        <w:br w:type="page"/>
      </w:r>
    </w:p>
    <w:p>
      <w:pPr>
        <w:pStyle w:val="Heading1"/>
        <w:spacing w:before="0" w:after="160"/>
        <w:rPr/>
      </w:pPr>
      <w:bookmarkStart w:id="7" w:name="__RefHeading___Toc15437_1092322862"/>
      <w:bookmarkEnd w:id="7"/>
      <w:r>
        <w:rPr/>
        <w:t>7. Additions Made With This Review</w:t>
      </w:r>
    </w:p>
    <w:p>
      <w:pPr>
        <w:pStyle w:val="Heading2"/>
        <w:rPr/>
      </w:pPr>
      <w:bookmarkStart w:id="8" w:name="__RefHeading___Toc15439_1092322862"/>
      <w:bookmarkEnd w:id="8"/>
      <w:r>
        <w:rPr/>
        <w:t>7.1 Organizations, sectors and groups</w:t>
      </w:r>
    </w:p>
    <w:p>
      <w:pPr>
        <w:pStyle w:val="Normal"/>
        <w:rPr/>
      </w:pPr>
      <w:r>
        <w:rPr>
          <w:rFonts w:eastAsia="Times New Roman" w:cs="Times New Roman"/>
        </w:rPr>
        <w:t>The demonstration now covers seven sectors. An organization either belongs to a group (Group = Yes) or operates independently (Group = No), as FR-DA-TEN-02 allows.</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024"/>
        <w:gridCol w:w="1007"/>
        <w:gridCol w:w="2404"/>
      </w:tblGrid>
      <w:tr>
        <w:trPr>
          <w:tblHeader w:val="true"/>
        </w:trPr>
        <w:tc>
          <w:tcPr>
            <w:tcW w:w="3312"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Organization</w:t>
            </w:r>
          </w:p>
        </w:tc>
        <w:tc>
          <w:tcPr>
            <w:tcW w:w="302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Sector</w:t>
            </w:r>
          </w:p>
        </w:tc>
        <w:tc>
          <w:tcPr>
            <w:tcW w:w="100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Group</w:t>
            </w:r>
          </w:p>
        </w:tc>
        <w:tc>
          <w:tcPr>
            <w:tcW w:w="240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Group name</w:t>
            </w:r>
          </w:p>
        </w:tc>
      </w:tr>
      <w:tr>
        <w:trPr/>
        <w:tc>
          <w:tcPr>
            <w:tcW w:w="331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Metro City Digital Services Agency</w:t>
            </w:r>
          </w:p>
        </w:tc>
        <w:tc>
          <w:tcPr>
            <w:tcW w:w="302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Public Sector</w:t>
            </w:r>
          </w:p>
        </w:tc>
        <w:tc>
          <w:tcPr>
            <w:tcW w:w="100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No</w:t>
            </w:r>
          </w:p>
        </w:tc>
        <w:tc>
          <w:tcPr>
            <w:tcW w:w="240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w:t>
            </w:r>
          </w:p>
        </w:tc>
      </w:tr>
      <w:tr>
        <w:trPr/>
        <w:tc>
          <w:tcPr>
            <w:tcW w:w="33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Cedarline Precast Systems</w:t>
            </w:r>
          </w:p>
        </w:tc>
        <w:tc>
          <w:tcPr>
            <w:tcW w:w="30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Manufacturing in Construction</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Yes</w:t>
            </w:r>
          </w:p>
        </w:tc>
        <w:tc>
          <w:tcPr>
            <w:tcW w:w="24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Atlas Infrastructure Holding</w:t>
            </w:r>
          </w:p>
        </w:tc>
      </w:tr>
      <w:tr>
        <w:trPr/>
        <w:tc>
          <w:tcPr>
            <w:tcW w:w="331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Meridale Health Network</w:t>
            </w:r>
          </w:p>
        </w:tc>
        <w:tc>
          <w:tcPr>
            <w:tcW w:w="302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Healthcare</w:t>
            </w:r>
          </w:p>
        </w:tc>
        <w:tc>
          <w:tcPr>
            <w:tcW w:w="100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No</w:t>
            </w:r>
          </w:p>
        </w:tc>
        <w:tc>
          <w:tcPr>
            <w:tcW w:w="240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w:t>
            </w:r>
          </w:p>
        </w:tc>
      </w:tr>
      <w:tr>
        <w:trPr/>
        <w:tc>
          <w:tcPr>
            <w:tcW w:w="33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Valdora Dairy Cooperative</w:t>
            </w:r>
          </w:p>
        </w:tc>
        <w:tc>
          <w:tcPr>
            <w:tcW w:w="30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Agro-Business – Dairy Products</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Yes</w:t>
            </w:r>
          </w:p>
        </w:tc>
        <w:tc>
          <w:tcPr>
            <w:tcW w:w="24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Crescent Agro-Energy Group</w:t>
            </w:r>
          </w:p>
        </w:tc>
      </w:tr>
      <w:tr>
        <w:trPr/>
        <w:tc>
          <w:tcPr>
            <w:tcW w:w="331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Orvane Transit Group</w:t>
            </w:r>
          </w:p>
        </w:tc>
        <w:tc>
          <w:tcPr>
            <w:tcW w:w="302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Transportation</w:t>
            </w:r>
          </w:p>
        </w:tc>
        <w:tc>
          <w:tcPr>
            <w:tcW w:w="100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Yes</w:t>
            </w:r>
          </w:p>
        </w:tc>
        <w:tc>
          <w:tcPr>
            <w:tcW w:w="240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Atlas Infrastructure Holding</w:t>
            </w:r>
          </w:p>
        </w:tc>
      </w:tr>
      <w:tr>
        <w:trPr/>
        <w:tc>
          <w:tcPr>
            <w:tcW w:w="3312"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Kestrel Energy &amp; Utilities</w:t>
            </w:r>
          </w:p>
        </w:tc>
        <w:tc>
          <w:tcPr>
            <w:tcW w:w="302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Oil, Gas &amp; Energy</w:t>
            </w:r>
          </w:p>
        </w:tc>
        <w:tc>
          <w:tcPr>
            <w:tcW w:w="100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Yes</w:t>
            </w:r>
          </w:p>
        </w:tc>
        <w:tc>
          <w:tcPr>
            <w:tcW w:w="240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Crescent Agro-Energy Group</w:t>
            </w:r>
          </w:p>
        </w:tc>
      </w:tr>
      <w:tr>
        <w:trPr/>
        <w:tc>
          <w:tcPr>
            <w:tcW w:w="3312"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Ridgeway Construction Contractors</w:t>
            </w:r>
          </w:p>
        </w:tc>
        <w:tc>
          <w:tcPr>
            <w:tcW w:w="302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Construction</w:t>
            </w:r>
          </w:p>
        </w:tc>
        <w:tc>
          <w:tcPr>
            <w:tcW w:w="100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Yes</w:t>
            </w:r>
          </w:p>
        </w:tc>
        <w:tc>
          <w:tcPr>
            <w:tcW w:w="240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Atlas Infrastructure Holding</w:t>
            </w:r>
          </w:p>
        </w:tc>
      </w:tr>
    </w:tbl>
    <w:p>
      <w:pPr>
        <w:pStyle w:val="Normal"/>
        <w:spacing w:before="0" w:after="40"/>
        <w:rPr/>
      </w:pPr>
      <w:r>
        <w:rPr/>
      </w:r>
    </w:p>
    <w:p>
      <w:pPr>
        <w:pStyle w:val="Normal"/>
        <w:rPr/>
      </w:pPr>
      <w:r>
        <w:rPr>
          <w:rFonts w:eastAsia="Times New Roman" w:cs="Times New Roman"/>
        </w:rPr>
        <w:t>Every organization has 21 projects and at least 10 instances of each of the nine E2E processes (E2E-01: 21, E2E-02: 19, E2E-03: 16, E2E-04: 14, E2E-05: 16, E2E-06: 12, E2E-07: 12, E2E-08: 10, E2E-09: 13).</w:t>
      </w:r>
    </w:p>
    <w:p>
      <w:pPr>
        <w:pStyle w:val="Heading2"/>
        <w:rPr/>
      </w:pPr>
      <w:bookmarkStart w:id="9" w:name="__RefHeading___Toc15441_1092322862"/>
      <w:bookmarkEnd w:id="9"/>
      <w:r>
        <w:rPr/>
        <w:t>7.2 Benchmarking module</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4"/>
        <w:gridCol w:w="4897"/>
        <w:gridCol w:w="2837"/>
      </w:tblGrid>
      <w:tr>
        <w:trPr>
          <w:tblHeader w:val="true"/>
        </w:trPr>
        <w:tc>
          <w:tcPr>
            <w:tcW w:w="20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Scope</w:t>
            </w:r>
          </w:p>
        </w:tc>
        <w:tc>
          <w:tcPr>
            <w:tcW w:w="489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What is compared</w:t>
            </w:r>
          </w:p>
        </w:tc>
        <w:tc>
          <w:tcPr>
            <w:tcW w:w="283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Who can see it</w:t>
            </w:r>
          </w:p>
        </w:tc>
      </w:tr>
      <w:tr>
        <w:trPr/>
        <w:tc>
          <w:tcPr>
            <w:tcW w:w="201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Within the organization</w:t>
            </w:r>
          </w:p>
        </w:tc>
        <w:tc>
          <w:tcPr>
            <w:tcW w:w="489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Project types (Product, Service, Product-Service), tracks (Full, Light, Fast) and owning departments, with track and type filters.</w:t>
            </w:r>
          </w:p>
        </w:tc>
        <w:tc>
          <w:tcPr>
            <w:tcW w:w="283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Roles with benchmark.view (most internal roles).</w:t>
            </w:r>
          </w:p>
        </w:tc>
      </w:tr>
      <w:tr>
        <w:trPr/>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Across the group</w:t>
            </w:r>
          </w:p>
        </w:tc>
        <w:tc>
          <w:tcPr>
            <w:tcW w:w="489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The organization against the other organizations of the same group, as organization-level aggregates.</w:t>
            </w:r>
          </w:p>
        </w:tc>
        <w:tc>
          <w:tcPr>
            <w:tcW w:w="283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Roles with benchmark.group (executives, managers, administrators).</w:t>
            </w:r>
          </w:p>
        </w:tc>
      </w:tr>
      <w:tr>
        <w:trPr/>
        <w:tc>
          <w:tcPr>
            <w:tcW w:w="201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External</w:t>
            </w:r>
          </w:p>
        </w:tc>
        <w:tc>
          <w:tcPr>
            <w:tcW w:w="489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Organizations outside the group, market or industry data.</w:t>
            </w:r>
          </w:p>
        </w:tc>
        <w:tc>
          <w:tcPr>
            <w:tcW w:w="283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Out of scope. Not available.</w:t>
            </w:r>
          </w:p>
        </w:tc>
      </w:tr>
    </w:tbl>
    <w:p>
      <w:pPr>
        <w:pStyle w:val="Normal"/>
        <w:spacing w:before="0" w:after="40"/>
        <w:rPr/>
      </w:pPr>
      <w:r>
        <w:rPr/>
      </w:r>
    </w:p>
    <w:p>
      <w:pPr>
        <w:pStyle w:val="Normal"/>
        <w:rPr/>
      </w:pPr>
      <w:r>
        <w:rPr>
          <w:rFonts w:eastAsia="Times New Roman" w:cs="Times New Roman"/>
        </w:rPr>
        <w:t>Thirteen indicators are compared: projects, launch rate, first-time Go rate, Recycle rate, Kill rate, gate decision time, time to market, tasks completed on time, checklist compliance, tasks rated Effective, average NPV, average ROI and lessons-learned rating. Segments with fewer than three projects are shown but not ranked.</w:t>
      </w:r>
    </w:p>
    <w:p>
      <w:pPr>
        <w:pStyle w:val="ListBullet"/>
        <w:numPr>
          <w:ilvl w:val="0"/>
          <w:numId w:val="1"/>
        </w:numPr>
        <w:spacing w:before="0" w:after="40"/>
        <w:contextualSpacing/>
        <w:rPr/>
      </w:pPr>
      <w:r>
        <w:rPr>
          <w:rFonts w:eastAsia="Times New Roman" w:cs="Times New Roman"/>
        </w:rPr>
        <w:t>Only aggregates cross organization boundaries: no project, person or document of another organization is returned (automated test).</w:t>
      </w:r>
    </w:p>
    <w:p>
      <w:pPr>
        <w:pStyle w:val="ListBullet"/>
        <w:numPr>
          <w:ilvl w:val="0"/>
          <w:numId w:val="1"/>
        </w:numPr>
        <w:spacing w:before="0" w:after="40"/>
        <w:contextualSpacing/>
        <w:rPr/>
      </w:pPr>
      <w:r>
        <w:rPr>
          <w:rFonts w:eastAsia="Times New Roman" w:cs="Times New Roman"/>
        </w:rPr>
        <w:t>An organization can stop sharing its aggregates with its group (benchmark.manage); peers then see "Not shared".</w:t>
      </w:r>
    </w:p>
    <w:p>
      <w:pPr>
        <w:pStyle w:val="ListBullet"/>
        <w:numPr>
          <w:ilvl w:val="0"/>
          <w:numId w:val="1"/>
        </w:numPr>
        <w:spacing w:before="0" w:after="40"/>
        <w:contextualSpacing/>
        <w:rPr/>
      </w:pPr>
      <w:r>
        <w:rPr>
          <w:rFonts w:eastAsia="Times New Roman" w:cs="Times New Roman"/>
        </w:rPr>
        <w:t>An organization without a group sees no group comparison.</w:t>
      </w:r>
    </w:p>
    <w:p>
      <w:pPr>
        <w:pStyle w:val="Normal"/>
        <w:jc w:val="left"/>
        <w:rPr/>
      </w:pPr>
      <w:r>
        <w:rPr>
          <w:rFonts w:eastAsia="Times New Roman" w:cs="Times New Roman"/>
        </w:rPr>
        <w:t>Example: Atlas Infrastructure Holding, seen by the Executive Sponsor of Ridgeway Construction Contractors.</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44"/>
        <w:gridCol w:w="1439"/>
        <w:gridCol w:w="1296"/>
        <w:gridCol w:w="1728"/>
        <w:gridCol w:w="1541"/>
      </w:tblGrid>
      <w:tr>
        <w:trPr>
          <w:tblHeader w:val="true"/>
        </w:trPr>
        <w:tc>
          <w:tcPr>
            <w:tcW w:w="374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Organization</w:t>
            </w:r>
          </w:p>
        </w:tc>
        <w:tc>
          <w:tcPr>
            <w:tcW w:w="1439"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First-time Go</w:t>
            </w:r>
          </w:p>
        </w:tc>
        <w:tc>
          <w:tcPr>
            <w:tcW w:w="129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Recycle</w:t>
            </w:r>
          </w:p>
        </w:tc>
        <w:tc>
          <w:tcPr>
            <w:tcW w:w="1728"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Time to market</w:t>
            </w:r>
          </w:p>
        </w:tc>
        <w:tc>
          <w:tcPr>
            <w:tcW w:w="154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9"/>
              </w:rPr>
              <w:t>Average NPV</w:t>
            </w:r>
          </w:p>
        </w:tc>
      </w:tr>
      <w:tr>
        <w:trPr/>
        <w:tc>
          <w:tcPr>
            <w:tcW w:w="374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Cedarline Precast Systems</w:t>
            </w:r>
          </w:p>
        </w:tc>
        <w:tc>
          <w:tcPr>
            <w:tcW w:w="1439"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95%</w:t>
            </w:r>
          </w:p>
        </w:tc>
        <w:tc>
          <w:tcPr>
            <w:tcW w:w="12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2.9%</w:t>
            </w:r>
          </w:p>
        </w:tc>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174 days</w:t>
            </w:r>
          </w:p>
        </w:tc>
        <w:tc>
          <w:tcPr>
            <w:tcW w:w="154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805 kUSD</w:t>
            </w:r>
          </w:p>
        </w:tc>
      </w:tr>
      <w:tr>
        <w:trPr/>
        <w:tc>
          <w:tcPr>
            <w:tcW w:w="374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Orvane Transit Group</w:t>
            </w:r>
          </w:p>
        </w:tc>
        <w:tc>
          <w:tcPr>
            <w:tcW w:w="1439"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86.5%</w:t>
            </w:r>
          </w:p>
        </w:tc>
        <w:tc>
          <w:tcPr>
            <w:tcW w:w="129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11.1%</w:t>
            </w:r>
          </w:p>
        </w:tc>
        <w:tc>
          <w:tcPr>
            <w:tcW w:w="1728"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212 days</w:t>
            </w:r>
          </w:p>
        </w:tc>
        <w:tc>
          <w:tcPr>
            <w:tcW w:w="154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9"/>
              </w:rPr>
              <w:t>662 kUSD</w:t>
            </w:r>
          </w:p>
        </w:tc>
      </w:tr>
      <w:tr>
        <w:trPr/>
        <w:tc>
          <w:tcPr>
            <w:tcW w:w="374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Ridgeway Construction Contractors (you)</w:t>
            </w:r>
          </w:p>
        </w:tc>
        <w:tc>
          <w:tcPr>
            <w:tcW w:w="1439"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86.1%</w:t>
            </w:r>
          </w:p>
        </w:tc>
        <w:tc>
          <w:tcPr>
            <w:tcW w:w="129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11.4%</w:t>
            </w:r>
          </w:p>
        </w:tc>
        <w:tc>
          <w:tcPr>
            <w:tcW w:w="1728"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241 days</w:t>
            </w:r>
          </w:p>
        </w:tc>
        <w:tc>
          <w:tcPr>
            <w:tcW w:w="154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9"/>
              </w:rPr>
              <w:t>272 kUSD</w:t>
            </w:r>
          </w:p>
        </w:tc>
      </w:tr>
    </w:tbl>
    <w:p>
      <w:pPr>
        <w:pStyle w:val="Normal"/>
        <w:spacing w:before="0" w:after="40"/>
        <w:rPr/>
      </w:pPr>
      <w:r>
        <w:rPr/>
      </w:r>
    </w:p>
    <w:p>
      <w:pPr>
        <w:pStyle w:val="Normal"/>
        <w:rPr/>
      </w:pPr>
      <w:r>
        <w:rPr/>
      </w:r>
      <w:r>
        <w:br w:type="page"/>
      </w:r>
    </w:p>
    <w:p>
      <w:pPr>
        <w:pStyle w:val="Heading1"/>
        <w:spacing w:before="0" w:after="160"/>
        <w:rPr/>
      </w:pPr>
      <w:bookmarkStart w:id="10" w:name="__RefHeading___Toc15443_1092322862"/>
      <w:bookmarkEnd w:id="10"/>
      <w:r>
        <w:rPr/>
        <w:t>8. Measurements</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4"/>
        <w:gridCol w:w="3457"/>
        <w:gridCol w:w="2736"/>
        <w:gridCol w:w="1540"/>
      </w:tblGrid>
      <w:tr>
        <w:trPr>
          <w:tblHeader w:val="true"/>
        </w:trPr>
        <w:tc>
          <w:tcPr>
            <w:tcW w:w="201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Requirement</w:t>
            </w:r>
          </w:p>
        </w:tc>
        <w:tc>
          <w:tcPr>
            <w:tcW w:w="3457"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Measure</w:t>
            </w:r>
          </w:p>
        </w:tc>
        <w:tc>
          <w:tcPr>
            <w:tcW w:w="2736"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Result</w:t>
            </w:r>
          </w:p>
        </w:tc>
        <w:tc>
          <w:tcPr>
            <w:tcW w:w="1540"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8"/>
              </w:rPr>
              <w:t>Target</w:t>
            </w:r>
          </w:p>
        </w:tc>
      </w:tr>
      <w:tr>
        <w:trPr/>
        <w:tc>
          <w:tcPr>
            <w:tcW w:w="201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NFR-DA-PERF-01</w:t>
            </w:r>
          </w:p>
        </w:tc>
        <w:tc>
          <w:tcPr>
            <w:tcW w:w="345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Dashboard / project list / my tasks / benchmark</w:t>
            </w:r>
          </w:p>
        </w:tc>
        <w:tc>
          <w:tcPr>
            <w:tcW w:w="27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31 / 27 / 2 / 170 ms</w:t>
            </w:r>
          </w:p>
        </w:tc>
        <w:tc>
          <w:tcPr>
            <w:tcW w:w="15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 </w:t>
            </w:r>
            <w:r>
              <w:rPr>
                <w:rFonts w:eastAsia="Times New Roman" w:cs="Times New Roman"/>
                <w:sz w:val="18"/>
              </w:rPr>
              <w:t>2 s</w:t>
            </w:r>
          </w:p>
        </w:tc>
      </w:tr>
      <w:tr>
        <w:trPr/>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NFR-DA-PERF-02</w:t>
            </w:r>
          </w:p>
        </w:tc>
        <w:tc>
          <w:tcPr>
            <w:tcW w:w="3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AI suggestion, deterministic path</w:t>
            </w:r>
          </w:p>
        </w:tc>
        <w:tc>
          <w:tcPr>
            <w:tcW w:w="27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4 ms</w:t>
            </w:r>
          </w:p>
        </w:tc>
        <w:tc>
          <w:tcPr>
            <w:tcW w:w="15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 </w:t>
            </w:r>
            <w:r>
              <w:rPr>
                <w:rFonts w:eastAsia="Times New Roman" w:cs="Times New Roman"/>
                <w:sz w:val="18"/>
              </w:rPr>
              <w:t>5 s</w:t>
            </w:r>
          </w:p>
        </w:tc>
      </w:tr>
      <w:tr>
        <w:trPr/>
        <w:tc>
          <w:tcPr>
            <w:tcW w:w="201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NFR-DA-PERF-03</w:t>
            </w:r>
          </w:p>
        </w:tc>
        <w:tc>
          <w:tcPr>
            <w:tcW w:w="345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Knowledge search / help search</w:t>
            </w:r>
          </w:p>
        </w:tc>
        <w:tc>
          <w:tcPr>
            <w:tcW w:w="27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2 / 1 ms</w:t>
            </w:r>
          </w:p>
        </w:tc>
        <w:tc>
          <w:tcPr>
            <w:tcW w:w="15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 xml:space="preserve">≤ </w:t>
            </w:r>
            <w:r>
              <w:rPr>
                <w:rFonts w:eastAsia="Times New Roman" w:cs="Times New Roman"/>
                <w:sz w:val="18"/>
              </w:rPr>
              <w:t>1 s</w:t>
            </w:r>
          </w:p>
        </w:tc>
      </w:tr>
      <w:tr>
        <w:trPr/>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NFR-DA-PERF-04</w:t>
            </w:r>
          </w:p>
        </w:tc>
        <w:tc>
          <w:tcPr>
            <w:tcW w:w="3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Report export PDF / Excel / Word</w:t>
            </w:r>
          </w:p>
        </w:tc>
        <w:tc>
          <w:tcPr>
            <w:tcW w:w="27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296 / 46 / 90 ms</w:t>
            </w:r>
          </w:p>
        </w:tc>
        <w:tc>
          <w:tcPr>
            <w:tcW w:w="15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 xml:space="preserve">≤ </w:t>
            </w:r>
            <w:r>
              <w:rPr>
                <w:rFonts w:eastAsia="Times New Roman" w:cs="Times New Roman"/>
                <w:sz w:val="18"/>
              </w:rPr>
              <w:t>3 s</w:t>
            </w:r>
          </w:p>
        </w:tc>
      </w:tr>
      <w:tr>
        <w:trPr/>
        <w:tc>
          <w:tcPr>
            <w:tcW w:w="201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NFR-DA-SCALE-02</w:t>
            </w:r>
          </w:p>
        </w:tc>
        <w:tc>
          <w:tcPr>
            <w:tcW w:w="345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100 simultaneous users, 400 requests</w:t>
            </w:r>
          </w:p>
        </w:tc>
        <w:tc>
          <w:tcPr>
            <w:tcW w:w="27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0 failures; p95 0.9 s (4.4 s before the fix)</w:t>
            </w:r>
          </w:p>
        </w:tc>
        <w:tc>
          <w:tcPr>
            <w:tcW w:w="15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No degradation</w:t>
            </w:r>
          </w:p>
        </w:tc>
      </w:tr>
      <w:tr>
        <w:trPr/>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NFR-DA-COMPAT-02</w:t>
            </w:r>
          </w:p>
        </w:tc>
        <w:tc>
          <w:tcPr>
            <w:tcW w:w="3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BPMN parse, export, re-parse</w:t>
            </w:r>
          </w:p>
        </w:tc>
        <w:tc>
          <w:tcPr>
            <w:tcW w:w="27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63 of 63 diagrams</w:t>
            </w:r>
          </w:p>
        </w:tc>
        <w:tc>
          <w:tcPr>
            <w:tcW w:w="15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All</w:t>
            </w:r>
          </w:p>
        </w:tc>
      </w:tr>
      <w:tr>
        <w:trPr/>
        <w:tc>
          <w:tcPr>
            <w:tcW w:w="201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NFR-DA-UX-02</w:t>
            </w:r>
          </w:p>
        </w:tc>
        <w:tc>
          <w:tcPr>
            <w:tcW w:w="345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Phone width 390 px, 5 screens</w:t>
            </w:r>
          </w:p>
        </w:tc>
        <w:tc>
          <w:tcPr>
            <w:tcW w:w="27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No horizontal scroll; 44 px touch targets</w:t>
            </w:r>
          </w:p>
        </w:tc>
        <w:tc>
          <w:tcPr>
            <w:tcW w:w="15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WCAG 2.1 AA</w:t>
            </w:r>
          </w:p>
        </w:tc>
      </w:tr>
      <w:tr>
        <w:trPr/>
        <w:tc>
          <w:tcPr>
            <w:tcW w:w="201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NFR-DA-UX-03</w:t>
            </w:r>
          </w:p>
        </w:tc>
        <w:tc>
          <w:tcPr>
            <w:tcW w:w="3457"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axe-core WCAG 2.1 AA, 14 screens</w:t>
            </w:r>
          </w:p>
        </w:tc>
        <w:tc>
          <w:tcPr>
            <w:tcW w:w="2736"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2 brand-mandated contrast findings remain</w:t>
            </w:r>
          </w:p>
        </w:tc>
        <w:tc>
          <w:tcPr>
            <w:tcW w:w="1540"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8"/>
              </w:rPr>
              <w:t>No violations</w:t>
            </w:r>
          </w:p>
        </w:tc>
      </w:tr>
      <w:tr>
        <w:trPr/>
        <w:tc>
          <w:tcPr>
            <w:tcW w:w="201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NFR-DA-SEC-11</w:t>
            </w:r>
          </w:p>
        </w:tc>
        <w:tc>
          <w:tcPr>
            <w:tcW w:w="3457"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Automated tests</w:t>
            </w:r>
          </w:p>
        </w:tc>
        <w:tc>
          <w:tcPr>
            <w:tcW w:w="2736"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11 of 11 pass; CI on Linux, Windows, macOS</w:t>
            </w:r>
          </w:p>
        </w:tc>
        <w:tc>
          <w:tcPr>
            <w:tcW w:w="1540"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8"/>
              </w:rPr>
              <w:t>In pipeline</w:t>
            </w:r>
          </w:p>
        </w:tc>
      </w:tr>
    </w:tbl>
    <w:p>
      <w:pPr>
        <w:pStyle w:val="Normal"/>
        <w:spacing w:before="0" w:after="40"/>
        <w:rPr/>
      </w:pPr>
      <w:r>
        <w:rPr/>
      </w:r>
    </w:p>
    <w:p>
      <w:pPr>
        <w:pStyle w:val="Normal"/>
        <w:rPr/>
      </w:pPr>
      <w:r>
        <w:rPr>
          <w:rFonts w:eastAsia="Times New Roman" w:cs="Times New Roman"/>
          <w:i/>
          <w:sz w:val="19"/>
        </w:rPr>
        <w:t>Timings are medians of five calls on the demonstration data (7 organizations, 147 projects), measured on a single server process.</w:t>
      </w:r>
    </w:p>
    <w:p>
      <w:pPr>
        <w:pStyle w:val="Normal"/>
        <w:rPr/>
      </w:pPr>
      <w:r>
        <w:rPr/>
      </w:r>
      <w:r>
        <w:br w:type="page"/>
      </w:r>
    </w:p>
    <w:p>
      <w:pPr>
        <w:pStyle w:val="Heading1"/>
        <w:spacing w:before="0" w:after="160"/>
        <w:rPr/>
      </w:pPr>
      <w:bookmarkStart w:id="11" w:name="__RefHeading___Toc15445_1092322862"/>
      <w:bookmarkEnd w:id="11"/>
      <w:r>
        <w:rPr/>
        <w:t>Appendix. Requirement Matrix</w:t>
      </w:r>
    </w:p>
    <w:p>
      <w:pPr>
        <w:pStyle w:val="Normal"/>
        <w:rPr/>
      </w:pPr>
      <w:r>
        <w:rPr>
          <w:rFonts w:eastAsia="Times New Roman" w:cs="Times New Roman"/>
        </w:rPr>
        <w:t>All 155 requirements with their status in the first delivery and now. Requirement texts are shortened; the full wording is in the SRS.</w:t>
      </w:r>
    </w:p>
    <w:tbl>
      <w:tblPr>
        <w:tblW w:w="97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11"/>
        <w:gridCol w:w="3385"/>
        <w:gridCol w:w="864"/>
        <w:gridCol w:w="863"/>
        <w:gridCol w:w="3125"/>
      </w:tblGrid>
      <w:tr>
        <w:trPr>
          <w:tblHeader w:val="true"/>
        </w:trPr>
        <w:tc>
          <w:tcPr>
            <w:tcW w:w="1511"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5"/>
              </w:rPr>
              <w:t>ID</w:t>
            </w:r>
          </w:p>
        </w:tc>
        <w:tc>
          <w:tcPr>
            <w:tcW w:w="338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5"/>
              </w:rPr>
              <w:t>Requirement (shortened)</w:t>
            </w:r>
          </w:p>
        </w:tc>
        <w:tc>
          <w:tcPr>
            <w:tcW w:w="864"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5"/>
              </w:rPr>
              <w:t>Before</w:t>
            </w:r>
          </w:p>
        </w:tc>
        <w:tc>
          <w:tcPr>
            <w:tcW w:w="863"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5"/>
              </w:rPr>
              <w:t>Now</w:t>
            </w:r>
          </w:p>
        </w:tc>
        <w:tc>
          <w:tcPr>
            <w:tcW w:w="3125" w:type="dxa"/>
            <w:tcBorders>
              <w:top w:val="single" w:sz="4" w:space="0" w:color="E3E3E4"/>
              <w:left w:val="single" w:sz="4" w:space="0" w:color="E3E3E4"/>
              <w:bottom w:val="single" w:sz="4" w:space="0" w:color="E3E3E4"/>
              <w:right w:val="single" w:sz="4" w:space="0" w:color="E3E3E4"/>
            </w:tcBorders>
            <w:shd w:color="auto" w:fill="F8931D" w:val="clear"/>
          </w:tcPr>
          <w:p>
            <w:pPr>
              <w:pStyle w:val="Normal"/>
              <w:spacing w:before="0" w:after="120"/>
              <w:jc w:val="left"/>
              <w:rPr/>
            </w:pPr>
            <w:r>
              <w:rPr>
                <w:rFonts w:eastAsia="Times New Roman" w:cs="Times New Roman"/>
                <w:b/>
                <w:color w:val="FFFFFF"/>
                <w:sz w:val="15"/>
              </w:rPr>
              <w:t>Evidence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FR-DA-TEN-01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support full Create, Read, Update, and Delete on Group, Organization, and Project records, gated by a…</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Administration &gt; Organizations &amp; OBS: groups, organizations; Innovation projects: projects (create, edit, delete) behind hierarchy.manage / project rights.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FR-DA-TEN-02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allow an Organization to optionally belong to a Group; an Organization not assigned to a Group shall operate as fully…</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Seed: Atlas Infrastructure Holding (3 orgs), Crescent Agro-Energy Group (2 orgs), 2 independent organizations. Group is optional in the organization form.</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FR-DA-TEN-03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Deleting a Group shall not delete its member Organizations; deleting an Organization shall cascade-delete its Projects and directly-scoped…</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Foreign keys: groups ON DELETE SET NULL; organization ON DELETE CASCADE for projects, users, AI state.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FR-DA-TEN-04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support full Create, Read, Update, and Delete on Organizational Breakdown Structure (OBS) entries, each typed or…</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Added per-project OBS trees (tree selector) and free-text node types. First delivery had per-organization trees only.</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FR-DA-TEN-05</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prevent deleting an OBS node from breaking referential integrity, either by cascading or by re-parenting/reassigning…</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Deleting a node moves its children up one level; linked records keep integrity (SET NULL).</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FR-DA-TEN-06</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display, for every OBS node, a live count of linked item types, so accountability and activity concentration are visible…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OBS table shows live counts of users, projects, rules, controls, risks, RACSI, BPMN and REX per node.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FR-DA-TEN-07</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enforce the active Solution Pack's maximum-Projects and maximum-OBS-node quotas at creation time, server-side, rejecting…</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checkQuota on project and OBS creation returns HTTP 409.</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FR-DA-TEN-08</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ensure that no Organization can enumerate, query, or infer the existence of another Organization through any API…</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5"/>
              </w:rPr>
              <w:t>Partial</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Other tenants' records return 404 and lists are scoped (automated tests). Record ids are one global sequence, so the size of an id can hint at overall volume.…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FR-DA-RBAC-01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support full Create, Read, Update, and Delete on user accounts, including name, email/username, one or more assigned…</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Administration &gt; Users &amp; roles: name, e-mail, several roles, language.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FR-DA-RBAC-02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provide a Permission Matrix screen displaying every permission/capability code against every role, editable by users…</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Administration &gt; Permission matrix, editable, effective immediately; new permissions added by a startup migration.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FR-DA-RBAC-03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enforce every API endpoint, server-side, against the authenticated user's resolved permission set (the union across all…</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requirePerm on every route; 403 verified by tests.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FR-DA-RBAC-04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enforce that the Owner and the Evaluator of any two-party verification step are never the same user, both in the UI and…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Owner cannot evaluate own task; evaluator must differ (UI and server).</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FR-DA-RBAC-05</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provide a minimal user directory (id, name, email) accessible to any authenticated user for assignment purposes,…</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/directory returns id, name, e-mail for assignment.</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FR-DA-RBAC-06</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issue a signed, time-boxed authentication token on successful login, required on every subsequent API call, and shall…</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Signed JWT with 8-hour lifetime; password hashes never returned.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FR-DA-RBAC-07</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expose a single platform-wide justification-required toggle (Section 3.7), defaulting to on, gated by a…</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Justification-required toggle in Configuration, default on.</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FR-DA-CFG-01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record, per Organization, exactly one Solution Pack as the single source of truth for that Organization's feature and…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One subscription per organization; entitlements.js is the single source.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FR-DA-CFG-02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define, for each Solution Pack, at minimum: which modules/features are enabled, the AI tier available (Assistive-only vs.…</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Features, AI tier and quotas (projects, OBS nodes, custom AI use cases) per pack/bundle.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FR-DA-CFG-03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record a set of priced Add-Ons, each an independent toggle that grants its associated feature to a Pack that does not…</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28 add-ons as independent toggles, compatibility checked.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FR-DA-CFG-04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record a set of priced Compliance &amp; Security Standards modules (at minimum GDPR, ISO/IEC 27001, and SOC 2), each an…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GDPR, ISO/IEC 27001, SOC 2, ISO 27701, HIPAA, ISO 9001 toggles.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FR-DA-CFG-05</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on activating a Compliance &amp; Security Standard, idempotently seed a starting Controls scaffold tagged to that framework,…</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Idempotent starter controls; deactivation keeps tagged controls.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FR-DA-CFG-06</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enforce every Pack-gated feature and every Add-On/Compliance-gated feature server-side via dedicated middleware on the…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requireFeatureFor middleware returns 403 naming the feature, independent of RBAC (tested).</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FR-DA-CFG-07</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expose the Organization's effective configuration and the static Pack/Add-On/Compliance catalog to every authenticated…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/config and /catalog readable by every authenticated user; menu shows locked items.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FR-DA-CFG-08</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expose current usage against every quota dimension, computed live from current data, and shall visually flag a quota that…</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Configuration shows usage bars per quota and flags reached quotas.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FR-DA-CFG-09</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never represent, in any UI text, Help content, FAQ answer, or generated document, that activating a Compliance &amp; Security…</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Non-certification disclosure on activation, in Help and in the knowledge base (EN, FR, AR).</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FR-DA-CFG-10</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allow an authorized Organization administrator to register, configure, enable, and disable a connection to an external…</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Administration &gt; Integrations: register, configure, enable/disable each connector.</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FR-DA-CFG-11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store every external integration's credentials using the same client-side-only or encrypted-server-side pattern already…</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Credentials encrypted (AES-GCM) at rest, never returned or logged.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FR-DA-CFG-12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verify an external integration's connection health on demand and shall record the outcome (success, authentication…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Test connection records Healthy / Authentication failure / Unreachable with timestamp.</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FR-DA-CFG-13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allow an authorized administrator to map fields between an external application's records and the platform's own…</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Field mappings and exchange log (record, time, direction, result).</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FR-DA-CFG-14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accept inbound events from an external application only through the Multi-Channel Communication webhook channel (Section…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Inbound endpoint verifies HMAC signature and scopes events to the registering organization.</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FR-DA-AI-01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support full Create, Read, Update, Delete, and version-revert on an AI Use Case catalog, each entry capturing an id,…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AI use cases: create, edit, versions, revert; ai.manage.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FR-DA-AI-02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seed every Organization with the same library of AI Use Cases on creation, and shall allow an Organization to…</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23 use cases seeded per organization; custom use cases limited by quota.</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FR-DA-AI-03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create Version 1 of an AI Use Case automatically on creation, mark it Default/Current, and shall retain the full version…</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Version 1 on creation; revert creates a new current version.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FR-DA-AI-04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allow an Organization Administrator to activate or deactivate any AI Use Case for the whole Organization, and shall allow…</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Organization activation plus project Inherit/On/Off override.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FR-DA-AI-05</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block, server-side, any new AI suggestion from a deactivated AI Use Case (by its effective state) immediately on…</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Generation refused for a deactivated use case; reviewed content kept.</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FR-DA-AI-06</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visually label every AI-generated output, wherever shown, as AI-generated and requiring human review, alongside its tier…</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Every suggestion labelled AI-generated with tier and source.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FR-DA-AI-07</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write an append-only AI Usage Log entry for every AI suggestion's outcome (Accepted, Edited, or Rejected), capturing the…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Append-only usage log enforced by database triggers.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FR-DA-AI-08</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allow a user to configure a Real LLM Provider Connection (provider, model, endpoint, API key) that is persisted…</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Settings &gt; Live AI model stored in the browser only, forwarded per request.</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FR-DA-AI-09</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on any failure of a live LLM call, fall back automatically to the AI Use Case's deterministic built-in generator, so a…</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Live call failure falls back to the built-in generator.</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FR-DA-AI-10</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ensure an AI Use Case's activation, tier, or generation never grants a user visibility into data beyond what their RBAC…</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Suggestions read only records the user may already see.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FR-DA-AI-11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before generating any suggestion, ground it in retrieved reference content (Section 4.5), instruct the underlying model…</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Retrieval grounding; references shown with the output.</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FR-DA-KB-01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maintain a Standards/Knowledge Base of reference content — regulatory or methodological standards, or…</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Reference articles now seeded in English, French and Arabic, with a language filter. First delivery: English only.</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FR-DA-KB-02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index this knowledge base, the tenant's own historical records, and a static application-feature/FAQ corpus using the…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One TF-IDF engine for knowledge, records, FAQ and assistant help mode.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FR-DA-KB-03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scope every retrieval query to the requesting user's own tenant; no cross-tenant record shall appear in a retrieval…</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Retrieval scoped to the tenant (tested).</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FR-DA-KB-04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gracefully degrade when a live LLM call is unavailable or fails: the retrieval result (the matched reference content, the…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Retrieval result returned when the live model is unavailable.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FR-DA-GOV-01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support full Create, Read, Update, and Delete on Business Rules, each with a condition, an action, a severity, and an…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Business rules register with condition, action, severity, owner.</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FR-DA-GOV-02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support full Create, Read, Update, and Delete on Controls, each classified under one of the five COSO Internal Control —…</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Controls with COSO component, type, frequency, owner, effectiveness.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FR-DA-GOV-03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allow a Control to be optionally tagged with the Compliance &amp; Security Standard it was seeded under or otherwise…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Compliance standard tag on controls, with non-certification wording.</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FR-DA-GOV-04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support full Create, Read, Update, and Delete on Risk/Opportunity items, each with a type, a likelihood (1–5) and impact…</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Risks and opportunities, computed score, 5×5 heat map.</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FR-DA-GOV-05</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support full Create, Read, Update, and Delete on Custom KPIs, additive to the platform's built-in KPI set, each with a…</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Custom KPIs with formula, target, owner, measurements.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FR-DA-GOV-06</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support a RACSI accountability matrix: full Create, Read, Update, and Delete on RACSI Activities, each optionally linked…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RACSI activities linked to steps or records; assignments to people or roles.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FR-DA-GOV-07</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enforce that a RACSI Activity has at most one Accountable assignment at any time, both in the UI and at the…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One Accountable per activity enforced by a unique index.</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FR-DA-GOV-08</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allow a Business Rule, a Control, a Risk/Opportunity, and a RACSI Activity to each be optionally tagged with the owning…</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Macro process pages now list the organization's rules, controls, risks, RACSI activities and lessons tagged to that process. First delivery: tags stored but no…</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FR-DA-BPMN-01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support full Create, Read, Update, and Delete on BPMN Diagrams, each with a title, description, and a BPMN 2.0-compliant…</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bpmn-js modeler with XML payload, title and description.</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FR-DA-BPMN-02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grant read-only pan/zoom viewing of a BPMN Diagram to any user holding view access, and shall grant the full editing…</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Viewer for view rights; modeler and Save for edit rights with the entitlement.</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FR-DA-BPMN-03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render the BPMN editor's tool palette in a dedicated panel beside the diagram canvas, structurally separate from the…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Palette in its own panel beside the canvas.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FR-DA-BPMN-04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provide Export (download the current diagram as a schema-valid .bpmn/XML file) and Import (load a .bpmn/XML file,…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Export .bpmn and Import .bpmn.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FR-DA-BPMN-05</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be seeded, per Organization, with at least one BPMN Diagram modeling the application's own core process end-to-end.</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9 diagrams per organization (one per E2E process).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FR-DA-REP-01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compute the platform's standard KPIs in real time from current data, scoped to the requesting user's tenant.</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38 KPIs computed live from tenant data.</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FR-DA-REP-02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provide a set of standard reports, each exportable on demand as a downloadable PDF, Excel (.xlsx), and Word (.docx) file,…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24 reports exported server-side as PDF, Excel and Word in the brand style.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FR-DA-REP-03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name every exported report file with the report key and the export date, and shall serve it with the correct MIME type…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File name with report key and date; correct MIME type and attachment header.</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FR-DA-REP-04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offer a client-side CSV export on its highest-traffic tables, reflecting exactly the rows and columns currently on screen…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CSV of on-screen rows with UTF-8 byte-order mark on every table.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FR-DA-ALT-01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define a shared Alert Catalog naming every alert type once, with a human-readable name and a primary process/stage tag,…</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One shared alert catalog (31 types) for seed and live checks.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FR-DA-ALT-02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surface a persistent, dismissible per-tenant or per-project alert inbox, with a live unread-alert indicator in the…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Alert inbox with unread counter in the top bar.</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FR-DA-ALT-03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avoid raising a duplicate alert of the same type against the same triggering entity within the same period.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De-duplication by type, entity and period.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FR-DA-ALT-04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allow a user to mark an individual alert as read, and, where dismissal is supported, shall persist the dismissal…</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Read and dismiss stored per user, separate from the alert.</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FR-DA-ALT-05</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allow an authorized user to independently enable or disable each alert type, displaying its human-readable name alongside…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Alert types enabled/disabled per organization, name and code shown.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FR-DA-AST-01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provide a data-query mode that answers natural-language questions about the requesting user's own organization by…</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Fixed data-query intents answered in EN, FR and AR.</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FR-DA-AST-02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associate every data-query intent with the single RBAC permission required to answer it, and shall evaluate that…</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Permission checked after matching, before querying; refusal names the permission.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FR-DA-AST-03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scope every data-query answer to the requesting user's own tenant, consistent with the platform's multi-tenancy…</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Answers scoped to the tenant.</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FR-DA-AST-04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provide an application-help mode answering “Can it…?” / “How do I…?” questions by ranking a static FAQ/feature corpus…</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Help mode ranks the FAQ corpus with the shared engine.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FR-DA-AST-05</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render the AI Assistant both as a dedicated screen and as a floating widget accessible from every authenticated screen,…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Dedicated screen and floating widget on every screen.</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FR-DA-AST-06</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gate the AI Assistant behind a single view permission and the active Solution Pack's AI Assistant entitlement,…</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assistant.use permission plus assistant entitlement.</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FR-DA-AUD-01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write an audit or change-log entry for every state-changing operation on a governed field, capturing the actor,…</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Audit entry per governed change with actor, time, entity, before/after.</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FR-DA-AUD-02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follow the stage-then-justify pattern (Section 3.7) for every score or state change to a governed record: staging a new…</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Stage then justify; value and note written together.</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FR-DA-AUD-03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make the audit/change log viewable, read-only, to users holding an audit-view permission, and shall never expose an edit…</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Read-only audit trail screen; no edit or delete route.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FR-DA-AUD-04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ensure audit-log writes never block or fail the primary operation they accompany.</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Audit writes wrapped so they never fail the operation.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FR-DA-HLP-01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provide an in-app Help screen presenting topic articles covering every module of the application, accessible to every…</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24 Help articles covering every module, open to every user.</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FR-DA-HLP-02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render Help content in the user's currently selected display language, matching the article set one-to-one across every…</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Same article set in EN, FR and AR.</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FR-DA-HLP-03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provide a free-text search box on the Help screen filtering topics by a case-insensitive match against the topic title or…</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Case-insensitive search on title and body.</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FR-DA-TPL-01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support a library of pre-filled starting points (templates) for its principal record type, each capturing default field…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Project templates pre-fill the New project wizard; every field stays editable.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FR-DA-TPL-02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support full Create, Read, Update, and Delete on templates, versioned via the same version-history mechanism as the AI…</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Templates CRUD with versions and restore.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FR-DA-TPL-03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make templates available regardless of Solution Pack, consistent with the always-standard treatment of Custom KPIs and…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Templates available in every subscription.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FR-DA-TPL-04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Deleting a template shall not affect any record already created from it; a template is a starting point copied at use time, not a…</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Templates copied at use; deleting one leaves projects untouched.</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FR-DA-I18N-01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provide complete UI translation in English, French, and Arabic for all navigation, labels, form fields, statuses, and…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5"/>
              </w:rPr>
              <w:t>Partial</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All 1,100 interface strings and 117 fixed server messages in EN, FR, AR, plus reference labels. Remaining in English: long reference texts from the source documents…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FR-DA-I18N-02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allow a user to change their display language at any time without reloading or losing unsaved work.</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Language switch in the top bar applies at once without reload.</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FR-DA-I18N-03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persist a user's language preference and apply it automatically on subsequent logins, resolved per the precedence order…</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Language saved per user; user &gt; organization &gt; English.</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FR-DA-I18N-04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render the entire application right-to-left, including navigation, forms, tables, and charts, when Arabic is selected.</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Arabic mirrors navigation, forms, tables, charts and the Gantt.</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FR-DA-I18N-05</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allow an Organization to configure a tenant-level default language.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Organization default language in Configuration.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FR-DA-I18N-06</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allow adding a new supported language by configuration — populating the shared translation dictionary (Section 3.6) —…</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 new language is a new JSON file in server/src/i18n.</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FR-DA-WBS-01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allow any set of Actions the user selects to be grouped into a Work Breakdown Structure (WBS), organized as a tree of WBS…</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WBS trees referencing tasks (actions) from any project.</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FR-DA-WBS-02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allow a WBS node or a referenced Action to carry a planned start date, planned end date or duration, percent-complete,…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Dates, duration, percent complete, predecessors.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FR-DA-WBS-03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render a WBS as a Gantt chart, plotting every node and its referenced Actions on a shared timeline, drawing dependency…</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Gantt with dependency lines and state colours.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FR-DA-WBS-04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recompute a WBS node’s own planned dates and percent-complete from its child nodes/Actions when the node itself is not…</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Summary nodes roll up dates and progress.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FR-DA-WBS-05</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support full Create, Read, Update, and Delete on WBS structures, and shall allow the same Action to be referenced from…</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WBS CRUD; a task can appear in several WBS.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FR-DA-WBS-06</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export a WBS/Gantt view to at least one portable format (e.g. PDF or an image), consistent with the platform’s standard…</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Gantt export to PDF.</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FR-DA-VER-01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provide a single, generic Version Management service (Section 3.8) that any governed entity type can register with,…</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One version service (entity_versions) used by all versioned entities.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FR-DA-VER-02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create an initial version automatically when a versioned entity is created, mark it Current, and create a new version —…</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Version 1 at creation, new version on each edit.</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FR-DA-VER-03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retain every version of a versioned entity indefinitely, with no hard-delete route for a historical version, and shall…</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Added "Compare two versions" field by field on every version history (registers, AI use cases, templates, REX, track configuration). First delivery: history without…</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FR-DA-VER-04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allow an authorized user to revert a versioned entity to any historical version; reverting shall duplicate that version’s…</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Restore creates a new current version.</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FR-DA-VER-05</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record, on every version, the acting user, a timestamp, and — where the platform-wide justification toggle (Section 3.7)…</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User, time and justification stored on each version.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FR-DA-COMM-01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support delivering a notification or alert (Section 4.9) through one or more channels — at minimum in-app, email, and…</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One dispatch interface: in-app, e-mail, webhook, SMS, push.</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FR-DA-COMM-02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allow a user to independently enable or disable each available channel for each notification category, defaulting every…</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Preferences per category and channel, in-app on by default.</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FR-DA-COMM-03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compose a message once, per notification event, and render it in the recipient’s own display language (Section 3.6)…</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Message composed once in the recipient's language.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FR-DA-COMM-04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record a delivery-status record per message per channel (queued, sent, delivered, failed), and shall retry a failed…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Delivery status per channel with independent retries.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FR-DA-COMM-05</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never send a tenant’s data through an external channel provider (email, SMS, push) beyond the minimum content required…</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Minimal content per channel; tenant-scoped dispatch.</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FR-DA-REX-01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prompt for a REX entry when the application’s principal record reaches a terminal/closed status, and when an individual…</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Lesson prompt now also appears when a project reaches Launched (Fast Track) or Retired, and to the executives who close it. First delivery: only after task completion…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FR-DA-REX-02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structure every REX entry with, at minimum: what went well, what did not, a root-cause note, a recommendation/improvement…</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Went well, went wrong, root cause, recommendation, category, rating 1-5.</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FR-DA-REX-03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support full Create, Read, Update, and Delete on REX entries, each optionally tagged to the owning OBS node and to the…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REX CRUD with OBS and process tags.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FR-DA-REX-04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index every saved REX entry into the same retrieval corpus used for AI Use Case grounding, the AI Assistant, and…</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REX indexed in the shared retrieval corpus.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FR-DA-REX-05</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provide a REX Register view aggregating entries by category/tag and by rating, so a recurring root cause or a declining…</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REX register by category and rating trend.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FR-DA-REX-06</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version every REX entry via the generic Version Management service (Section 3.8/4.16), retaining its full edit history…</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REX versioned with restore.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FR-DA-REX-07</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gate REX entry management behind a dedicated capability, and shall scope every REX read and every retrieval-grounded…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rex.manage capability; tenant-scoped reads.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NFR-DA-PERF-01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Dashboard and list views shall render within 2 seconds under nominal per-tenant data volumes.</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Measured: dashboard 31 ms, project list 27 ms, my tasks 2 ms, benchmark 170 ms (target 2 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NFR-DA-PERF-02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An AI agent suggestion shall return within 5 seconds under its deterministic path.</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Measured: deterministic suggestion 4 ms (target 5 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NFR-DA-PERF-03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 knowledge-base or FAQ retrieval search shall return ranked results within 1 second for a tenant's full corpus.</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Measured: knowledge search 2 ms, help search 1 ms (target 1 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NFR-DA-PERF-04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 single standard-report export (PDF, Excel, or Word) shall complete within 3 seconds for a tenant's current data volume.</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Measured: PDF 296 ms, Excel 46 ms, Word 90 ms (target 3 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NFR-DA-SEC-01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All API endpoints except login shall require a valid, signed, time-boxed authentication token.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All routes except login and dictionaries require a token (tested).</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NFR-DA-SEC-02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Passwords shall be stored only as salted cryptographic hashes; plaintext passwords shall never be logged or persisted.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bcrypt hashes; passwords never logged.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NFR-DA-SEC-03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Every authorization decision shall be enforced server-side; client-side permission and Pack-entitlement checks are a UX convenience only,…</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Server-side checks; client checks are UX only.</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NFR-DA-SEC-04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No data query shall be constructed by concatenating untrusted input; all data access shall use parameterized statements or an equivalent…</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Parameterized statements throughout.</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NFR-DA-SEC-05</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Owner/Evaluator segregation of duties, and any equivalent server-enforced business rule, shall be enforced server-side, not merely hidden…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Segregation of duties and CTL-01 enforced by the server.</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NFR-DA-SEC-06</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 one-Accountable-per-RACSI-activity rule, and any equivalent uniqueness rule, shall be enforced by a data-persistence-layer constraint,…</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Unique index for one Accountable per activity.</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NFR-DA-SEC-07</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 Real LLM Provider Connection's API key shall be captured and stored only client-side; the backend shall never persist it to any table,…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API key kept client-side; used for one outbound call.</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NFR-DA-SEC-08</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Every quota check (Projects, OBS nodes, AI Use Cases, and any other Pack-bound dimension) shall be enforced at the point of…</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Quotas checked at creation; 409.</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NFR-DA-SEC-09</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Solution Pack entitlement shall be treated as an authorization axis independent of, and enforced in addition to, RBAC permissions; a route…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Entitlement and RBAC checked independently (tested).</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NFR-DA-SEC-10</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Individually identifiable records requiring restricted visibility (e.g. individual-level readiness or sentiment data) shall be restricted,…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Individual evaluation verdicts and notes now restricted to the people involved and roles holding evaluation.view; others see "Evaluated" only. Peer organizations in…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NFR-DA-SEC-11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Tenant data isolation shall be verified by an automated cross-tenant access test suite exercised in the build/release pipeline, not solely…</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11 automated tests (tenant isolation and benchmarking) now run in a CI pipeline on Linux, Windows and macOS. First delivery: tests without a pipeline.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NFR-DA-REL-01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degrade gracefully if an AI agent or live-LLM call fails: the underlying CRUD operation shall still succeed, with the AI…</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AI failure never blocks the operation; fallback served.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NFR-DA-REL-02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target 99.9% uptime in a production deployment.</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Deployment</w:t>
            </w:r>
          </w:p>
        </w:tc>
        <w:tc>
          <w:tcPr>
            <w:tcW w:w="863" w:type="dxa"/>
            <w:tcBorders>
              <w:top w:val="single" w:sz="4" w:space="0" w:color="E3E3E4"/>
              <w:left w:val="single" w:sz="4" w:space="0" w:color="E3E3E4"/>
              <w:bottom w:val="single" w:sz="4" w:space="0" w:color="E3E3E4"/>
              <w:right w:val="single" w:sz="4" w:space="0" w:color="E3E3E4"/>
            </w:tcBorders>
            <w:shd w:color="auto" w:fill="FFF3B0" w:val="clear"/>
          </w:tcPr>
          <w:p>
            <w:pPr>
              <w:pStyle w:val="Normal"/>
              <w:spacing w:lineRule="auto" w:line="240" w:before="0" w:after="0"/>
              <w:jc w:val="left"/>
              <w:rPr/>
            </w:pPr>
            <w:r>
              <w:rPr>
                <w:rFonts w:eastAsia="Times New Roman" w:cs="Times New Roman"/>
                <w:sz w:val="15"/>
              </w:rPr>
              <w:t>Deployment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Uptime depends on hosting. The application restarts cleanly and supports a process manager; 99.9% needs redundant hosting and monitoring.</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NFR-DA-REL-03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 report-export failure shall return a structured error without corrupting or partially writing the underlying report data view.</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Export errors return a structured message; data untouched.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NFR-DA-REL-04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persistence layer shall support scheduled backup with a defined retention policy; a production deployment shall not rely on a single…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Added automatic daily backups (VACUUM INTO) with retention, npm run backup, and a Backups panel. Off-site copy remains a hosting task.</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NFR-DA-SCALE-01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architecture shall support horizontal scaling of the web tier independently of the API tier.</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Web built as static files, served independently from the API.</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NFR-DA-SCALE-02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support at least 100 concurrent users per tenant without functional degradation.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Measured 100 simultaneous users: 400 requests, 0 failures; p95 4.4 s before, 0.9 s after adding a per-user read cache.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NFR-DA-SCALE-03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persistence schema and the retrieval index shall each be swappable for a distributed equivalent (e.g. a managed relational database, a…</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5"/>
              </w:rPr>
              <w:t>Partial</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Data access goes through one query module and retrieval through one module, so they can be replaced; no distributed database or vector store has been plugged in to…</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NFR-DA-UX-01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UI, and every generated document, shall follow the suite's common visual identity (color palette, typography, iconography)…</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Shared tokens for UI, reports and documents.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NFR-DA-UX-02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UI shall be responsive and usable on desktop, tablet, and mobile viewport widths, with touch-target sizing meeting WCAG 2.1 AA on…</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B6D7A8" w:val="clear"/>
          </w:tcPr>
          <w:p>
            <w:pPr>
              <w:pStyle w:val="Normal"/>
              <w:spacing w:lineRule="auto" w:line="240" w:before="0" w:after="0"/>
              <w:jc w:val="left"/>
              <w:rPr/>
            </w:pPr>
            <w:r>
              <w:rPr>
                <w:rFonts w:eastAsia="Times New Roman" w:cs="Times New Roman"/>
                <w:sz w:val="15"/>
              </w:rPr>
              <w:t>Fixed</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Verified at 390 px: no horizontal scrolling; touch targets raised to 44 px on touch screens and 24 px minimum elsewhere.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NFR-DA-UX-03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All interactive controls shall be keyboard-navigable and carry accessible labels (WCAG 2.1 AA target).</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5"/>
              </w:rPr>
              <w:t>Partial</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axe-core WCAG 2.1 AA scan of 14 screens: ARIA errors and grey-text contrast fixed. Remaining: brand-mandated white text on orange table headers (2.28:1) and orange KPI…</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NFR-DA-UX-04</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Status, severity, and classification fields shall use one consistent color/badge vocabulary across every module, so a user who has learned…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One status badge vocabulary across modules.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NFR-DA-I18N-01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Every layout — navigation, tables, and charts — shall render correctly mirrored under Arabic RTL, not just with mirrored text direction.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Layouts mirrored in Arabic, verified by screenshots.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NFR-DA-PORT-01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Installation shall succeed on a fresh target machine with only a supported Node.js runtime installed — no native C/C++ build toolchain, no…</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Fresh install from the zip needs only Node.js 22.13+ (verified).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NFR-DA-PORT-02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same source shall run unmodified across supported operating systems via standard package-manager install/build/start commands.</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5"/>
              </w:rPr>
              <w:t>Partial</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Verified on Linux. The CI workflow now runs install, seed, tests and build on Windows and macOS too; see its result.</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NFR-DA-MAINT-01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Cross-cutting engines — the Action/Task Register, the Alert &amp; Notification Engine, the RBAC layer, the KPI/Reporting engine, and the Audit…</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Partial</w:t>
            </w:r>
          </w:p>
        </w:tc>
        <w:tc>
          <w:tcPr>
            <w:tcW w:w="863" w:type="dxa"/>
            <w:tcBorders>
              <w:top w:val="single" w:sz="4" w:space="0" w:color="E3E3E4"/>
              <w:left w:val="single" w:sz="4" w:space="0" w:color="E3E3E4"/>
              <w:bottom w:val="single" w:sz="4" w:space="0" w:color="E3E3E4"/>
              <w:right w:val="single" w:sz="4" w:space="0" w:color="E3E3E4"/>
            </w:tcBorders>
            <w:shd w:color="auto" w:fill="FBE0B5" w:val="clear"/>
          </w:tcPr>
          <w:p>
            <w:pPr>
              <w:pStyle w:val="Normal"/>
              <w:spacing w:lineRule="auto" w:line="240" w:before="0" w:after="0"/>
              <w:jc w:val="left"/>
              <w:rPr/>
            </w:pPr>
            <w:r>
              <w:rPr>
                <w:rFonts w:eastAsia="Times New Roman" w:cs="Times New Roman"/>
                <w:sz w:val="15"/>
              </w:rPr>
              <w:t>Partial</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Engines are separate modules behind one REST contract; reuse by a sibling Dynamic App has not been demonstrated.</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NFR-DA-MAINT-02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AI agent implementations shall be isolated behind a stable internal interface so a rule-based implementation can be replaced by an…</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AI generation behind one interface (deterministic or live).</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NFR-DA-MAINT-03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Solution Pack feature and quota matrix shall be defined in exactly one place and consumed by every enforcing route, so entitlements…</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Entitlements in one module.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NFR-DA-MAINT-04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AI Use Case Library's generation service shall be the single designated server-side integration point for a live LLM call and its…</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Only ai.js calls a live model.</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NFR-DA-MAINT-05</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alert type-to-name and type-to-stage/process mapping shall be defined in exactly one shared module, consumed by both seed data and…</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Alert catalog in one module.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NFR-DA-COMPAT-01</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application shall target evergreen desktop, tablet, and mobile browsers; no legacy-browser support is in scope.</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Evergreen browsers; checked in Chromium at desktop and phone widths.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NFR-DA-COMPAT-02</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BPMN diagrams shall be stored and exchanged as schema-valid BPMN 2.0 XML, verified by a round-trip import/export, so a diagram authored in…</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Round trip verified: 63 of 63 stored diagrams parse, export and re-parse with bpmn-moddle.</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NFR-DA-COMPAT-03</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application's core workflows (record CRUD, approvals, alerts) shall remain fully usable on a mobile viewport without requiring a…</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Core workflows usable on a phone; same REST API.</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NFR-DA-COMP-01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Every AI-generated suggestion shall be logged with a confidence indicator and be attributable to a specific agent/use case and record, or,…</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Usage log with confidence, use case, record or question.</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NFR-DA-COMP-02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Controls module shall support demonstrating COSO Internal Control — Integrated Framework coverage across all five components.</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COSO coverage chart across five components.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NFR-DA-COMP-03</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The system shall retain the full version history of every AI Use Case and every template indefinitely (no hard deletion of prior versions…</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AI use case and template versions kept indefinitely.</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NFR-DA-COMP-04</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never represent, in any UI text, Help content, FAQ answer, or generated document, that activating a Compliance &amp; Security…</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No certification claim in UI, Help, knowledge or documents.</w:t>
            </w:r>
          </w:p>
        </w:tc>
      </w:tr>
      <w:tr>
        <w:trPr/>
        <w:tc>
          <w:tcPr>
            <w:tcW w:w="1511"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NFR-DA-DATA-01</w:t>
            </w:r>
          </w:p>
        </w:tc>
        <w:tc>
          <w:tcPr>
            <w:tcW w:w="338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By default, and whenever no Real LLM Provider Connection is configured, the system shall not transmit tenant data to any third-party…</w:t>
            </w:r>
          </w:p>
        </w:tc>
        <w:tc>
          <w:tcPr>
            <w:tcW w:w="864"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shd w:color="auto" w:fill="F2F2F3" w:val="clear"/>
          </w:tcPr>
          <w:p>
            <w:pPr>
              <w:pStyle w:val="Normal"/>
              <w:spacing w:lineRule="auto" w:line="240" w:before="0" w:after="0"/>
              <w:jc w:val="left"/>
              <w:rPr/>
            </w:pPr>
            <w:r>
              <w:rPr>
                <w:rFonts w:eastAsia="Times New Roman" w:cs="Times New Roman"/>
                <w:sz w:val="15"/>
              </w:rPr>
              <w:t>No third-party call unless a user configures a live model; never for data queries.</w:t>
            </w:r>
          </w:p>
        </w:tc>
      </w:tr>
      <w:tr>
        <w:trPr/>
        <w:tc>
          <w:tcPr>
            <w:tcW w:w="1511"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NFR-DA-DATA-02</w:t>
            </w:r>
          </w:p>
        </w:tc>
        <w:tc>
          <w:tcPr>
            <w:tcW w:w="338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The system shall support both shared-infrastructure (SaaS) and dedicated/sovereign deployment options per Organization, without changing…</w:t>
            </w:r>
          </w:p>
        </w:tc>
        <w:tc>
          <w:tcPr>
            <w:tcW w:w="864"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Met</w:t>
            </w:r>
          </w:p>
        </w:tc>
        <w:tc>
          <w:tcPr>
            <w:tcW w:w="863" w:type="dxa"/>
            <w:tcBorders>
              <w:top w:val="single" w:sz="4" w:space="0" w:color="E3E3E4"/>
              <w:left w:val="single" w:sz="4" w:space="0" w:color="E3E3E4"/>
              <w:bottom w:val="single" w:sz="4" w:space="0" w:color="E3E3E4"/>
              <w:right w:val="single" w:sz="4" w:space="0" w:color="E3E3E4"/>
            </w:tcBorders>
            <w:shd w:color="auto" w:fill="D9EAD3" w:val="clear"/>
          </w:tcPr>
          <w:p>
            <w:pPr>
              <w:pStyle w:val="Normal"/>
              <w:spacing w:lineRule="auto" w:line="240" w:before="0" w:after="0"/>
              <w:jc w:val="left"/>
              <w:rPr/>
            </w:pPr>
            <w:r>
              <w:rPr>
                <w:rFonts w:eastAsia="Times New Roman" w:cs="Times New Roman"/>
                <w:sz w:val="15"/>
              </w:rPr>
              <w:t>Met</w:t>
            </w:r>
          </w:p>
        </w:tc>
        <w:tc>
          <w:tcPr>
            <w:tcW w:w="3125" w:type="dxa"/>
            <w:tcBorders>
              <w:top w:val="single" w:sz="4" w:space="0" w:color="E3E3E4"/>
              <w:left w:val="single" w:sz="4" w:space="0" w:color="E3E3E4"/>
              <w:bottom w:val="single" w:sz="4" w:space="0" w:color="E3E3E4"/>
              <w:right w:val="single" w:sz="4" w:space="0" w:color="E3E3E4"/>
            </w:tcBorders>
          </w:tcPr>
          <w:p>
            <w:pPr>
              <w:pStyle w:val="Normal"/>
              <w:spacing w:lineRule="auto" w:line="240" w:before="0" w:after="0"/>
              <w:jc w:val="left"/>
              <w:rPr/>
            </w:pPr>
            <w:r>
              <w:rPr>
                <w:rFonts w:eastAsia="Times New Roman" w:cs="Times New Roman"/>
                <w:sz w:val="15"/>
              </w:rPr>
              <w:t>Deployment option (SaaS shared or dedicated/sovereign) recorded per organization; same isolation code.</w:t>
            </w:r>
          </w:p>
        </w:tc>
      </w:tr>
    </w:tbl>
    <w:p>
      <w:pPr>
        <w:pStyle w:val="Normal"/>
        <w:spacing w:before="0" w:after="4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20" w:top="108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808184"/>
        <w:sz w:val="18"/>
      </w:rPr>
      <w:t xml:space="preserve">POWERACT Consulting  ·  Page </w:t>
    </w:r>
    <w:r>
      <w:rPr>
        <w:rFonts w:eastAsia="Times New Roman" w:cs="Times New Roman"/>
        <w:color w:val="808184"/>
        <w:sz w:val="18"/>
      </w:rPr>
      <w:fldChar w:fldCharType="begin"/>
    </w:r>
    <w:r>
      <w:rPr>
        <w:sz w:val="18"/>
        <w:rFonts w:eastAsia="Times New Roman" w:cs="Times New Roman"/>
        <w:color w:val="808184"/>
      </w:rPr>
      <w:instrText xml:space="preserve"> PAGE </w:instrText>
    </w:r>
    <w:r>
      <w:rPr>
        <w:sz w:val="18"/>
        <w:rFonts w:eastAsia="Times New Roman" w:cs="Times New Roman"/>
        <w:color w:val="808184"/>
      </w:rPr>
      <w:fldChar w:fldCharType="separate"/>
    </w:r>
    <w:r>
      <w:rPr>
        <w:sz w:val="18"/>
        <w:rFonts w:eastAsia="Times New Roman" w:cs="Times New Roman"/>
        <w:color w:val="808184"/>
      </w:rPr>
      <w:t>16</w:t>
    </w:r>
    <w:r>
      <w:rPr>
        <w:sz w:val="18"/>
        <w:rFonts w:eastAsia="Times New Roman" w:cs="Times New Roman"/>
        <w:color w:val="808184"/>
      </w:rPr>
      <w:fldChar w:fldCharType="end"/>
    </w:r>
    <w:r>
      <w:rPr>
        <w:rFonts w:eastAsia="Times New Roman" w:cs="Times New Roman"/>
        <w:color w:val="808184"/>
        <w:sz w:val="18"/>
      </w:rPr>
      <w:t xml:space="preserve"> of </w:t>
    </w:r>
    <w:r>
      <w:rPr>
        <w:rFonts w:eastAsia="Times New Roman" w:cs="Times New Roman"/>
        <w:color w:val="808184"/>
        <w:sz w:val="18"/>
      </w:rPr>
      <w:fldChar w:fldCharType="begin"/>
    </w:r>
    <w:r>
      <w:rPr>
        <w:sz w:val="18"/>
        <w:rFonts w:eastAsia="Times New Roman" w:cs="Times New Roman"/>
        <w:color w:val="808184"/>
      </w:rPr>
      <w:instrText xml:space="preserve"> NUMPAGES </w:instrText>
    </w:r>
    <w:r>
      <w:rPr>
        <w:sz w:val="18"/>
        <w:rFonts w:eastAsia="Times New Roman" w:cs="Times New Roman"/>
        <w:color w:val="808184"/>
      </w:rPr>
      <w:fldChar w:fldCharType="separate"/>
    </w:r>
    <w:r>
      <w:rPr>
        <w:sz w:val="18"/>
        <w:rFonts w:eastAsia="Times New Roman" w:cs="Times New Roman"/>
        <w:color w:val="808184"/>
      </w:rPr>
      <w:t>16</w:t>
    </w:r>
    <w:r>
      <w:rPr>
        <w:sz w:val="18"/>
        <w:rFonts w:eastAsia="Times New Roman" w:cs="Times New Roman"/>
        <w:color w:val="80818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E3E3E4"/>
      </w:pBdr>
      <w:jc w:val="right"/>
      <w:rPr/>
    </w:pPr>
    <w:r>
      <w:rPr>
        <w:rFonts w:eastAsia="Times New Roman" w:cs="Times New Roman"/>
        <w:color w:val="808184"/>
        <w:sz w:val="18"/>
      </w:rPr>
      <w:t>CortexPLM Gap Analysis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
      <w:color w:val="3A3A3C"/>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Bdr>
        <w:bottom w:val="single" w:sz="8" w:space="4" w:color="E07B00"/>
      </w:pBdr>
      <w:spacing w:before="360" w:after="160"/>
      <w:jc w:val="left"/>
      <w:outlineLvl w:val="0"/>
    </w:pPr>
    <w:rPr>
      <w:rFonts w:ascii="Times New Roman" w:hAnsi="Times New Roman" w:eastAsia="Times New Roman"/>
      <w:b/>
      <w:bCs/>
      <w:i w:val="false"/>
      <w:color w:val="E07B00"/>
      <w:sz w:val="34"/>
      <w:szCs w:val="28"/>
    </w:rPr>
  </w:style>
  <w:style w:type="paragraph" w:styleId="Heading2">
    <w:name w:val="Heading 2"/>
    <w:basedOn w:val="Normal"/>
    <w:next w:val="Normal"/>
    <w:link w:val="Heading2Char"/>
    <w:uiPriority w:val="9"/>
    <w:unhideWhenUsed/>
    <w:qFormat/>
    <w:rsid w:val="00fc693f"/>
    <w:pPr>
      <w:keepNext w:val="true"/>
      <w:keepLines/>
      <w:spacing w:before="280" w:after="120"/>
      <w:jc w:val="left"/>
      <w:outlineLvl w:val="1"/>
    </w:pPr>
    <w:rPr>
      <w:rFonts w:ascii="Times New Roman" w:hAnsi="Times New Roman" w:eastAsia="Times New Roman"/>
      <w:b/>
      <w:bCs/>
      <w:i w:val="false"/>
      <w:color w:val="3A3A3C"/>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jc w:val="left"/>
      <w:outlineLvl w:val="2"/>
    </w:pPr>
    <w:rPr>
      <w:rFonts w:ascii="Times New Roman" w:hAnsi="Times New Roman" w:eastAsia="Times New Roman"/>
      <w:b/>
      <w:bCs/>
      <w:i w:val="false"/>
      <w:color w:val="E07B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jc w:val="left"/>
    </w:pPr>
    <w:rPr>
      <w:rFonts w:ascii="Times New Roman" w:hAnsi="Times New Roman"/>
      <w:sz w:val="24"/>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jc w:val="left"/>
    </w:pPr>
    <w:rPr>
      <w:rFonts w:ascii="Times New Roman" w:hAnsi="Times New Roman"/>
      <w:sz w:val="24"/>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746" w:leader="dot"/>
      </w:tabs>
      <w:ind w:hanging="0" w:left="0"/>
    </w:pPr>
    <w:rPr/>
  </w:style>
  <w:style w:type="paragraph" w:styleId="TOC2">
    <w:name w:val="TOC 2"/>
    <w:basedOn w:val="Index"/>
    <w:pPr>
      <w:tabs>
        <w:tab w:val="clear" w:pos="720"/>
        <w:tab w:val="right" w:pos="9463"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16</Pages>
  <Words>7293</Words>
  <Characters>41362</Characters>
  <CharactersWithSpaces>47504</CharactersWithSpaces>
  <Paragraphs>1232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POWERACT Consulting</dc:creator>
  <dc:description>generated by python-docx</dc:description>
  <dc:language>en-US</dc:language>
  <cp:lastModifiedBy/>
  <dcterms:modified xsi:type="dcterms:W3CDTF">2026-09-23T14:56:19Z</dcterms:modified>
  <cp:revision>2</cp:revision>
  <dc:subject/>
  <dc:title>CortexPLM Gap Analysis</dc:title>
</cp:coreProperties>
</file>

<file path=docProps/custom.xml><?xml version="1.0" encoding="utf-8"?>
<Properties xmlns="http://schemas.openxmlformats.org/officeDocument/2006/custom-properties" xmlns:vt="http://schemas.openxmlformats.org/officeDocument/2006/docPropsVTypes"/>
</file>