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0"/>
        <w:jc w:val="center"/>
        <w:rPr/>
      </w:pPr>
      <w:r>
        <w:rPr>
          <w:rFonts w:eastAsia="Times New Roman" w:cs="Times New Roman"/>
          <w:b/>
          <w:bCs/>
          <w:color w:val="3A3A3C"/>
          <w:spacing w:val="40"/>
          <w:sz w:val="56"/>
          <w:szCs w:val="56"/>
        </w:rPr>
        <w:t>POWER</w:t>
      </w:r>
      <w:r>
        <w:rPr>
          <w:rFonts w:eastAsia="Times New Roman" w:cs="Times New Roman"/>
          <w:b/>
          <w:bCs/>
          <w:color w:val="F8931D"/>
          <w:spacing w:val="40"/>
          <w:sz w:val="56"/>
          <w:szCs w:val="56"/>
        </w:rPr>
        <w:t>ACT</w:t>
      </w:r>
    </w:p>
    <w:p>
      <w:pPr>
        <w:pStyle w:val="Normal"/>
        <w:spacing w:before="0" w:after="0"/>
        <w:jc w:val="center"/>
        <w:rPr/>
      </w:pPr>
      <w:r>
        <w:rPr>
          <w:rFonts w:eastAsia="Times New Roman" w:cs="Times New Roman"/>
          <w:color w:val="808184"/>
          <w:spacing w:val="120"/>
          <w:sz w:val="20"/>
          <w:szCs w:val="20"/>
        </w:rPr>
        <w:t>CONSULTING</w:t>
      </w:r>
    </w:p>
    <w:p>
      <w:pPr>
        <w:pStyle w:val="Normal"/>
        <w:spacing w:before="0" w:after="1200"/>
        <w:rPr/>
      </w:pPr>
      <w:r>
        <w:rPr/>
      </w:r>
    </w:p>
    <w:p>
      <w:pPr>
        <w:pStyle w:val="Normal"/>
        <w:spacing w:before="0" w:after="120"/>
        <w:jc w:val="center"/>
        <w:rPr/>
      </w:pPr>
      <w:r>
        <w:rPr>
          <w:rFonts w:eastAsia="Times New Roman" w:cs="Times New Roman"/>
          <w:b/>
          <w:bCs/>
          <w:color w:val="E07B00"/>
          <w:spacing w:val="60"/>
          <w:sz w:val="22"/>
          <w:szCs w:val="22"/>
        </w:rPr>
        <w:t>CONFORMANCE REPORT</w:t>
      </w:r>
    </w:p>
    <w:p>
      <w:pPr>
        <w:pStyle w:val="Normal"/>
        <w:spacing w:before="0" w:after="160"/>
        <w:jc w:val="center"/>
        <w:rPr/>
      </w:pPr>
      <w:r>
        <w:rPr>
          <w:rFonts w:eastAsia="Times New Roman" w:cs="Times New Roman"/>
          <w:b/>
          <w:bCs/>
          <w:color w:val="3A3A3C"/>
          <w:sz w:val="52"/>
          <w:szCs w:val="52"/>
        </w:rPr>
        <w:t>CortexSkills</w:t>
      </w:r>
    </w:p>
    <w:p>
      <w:pPr>
        <w:pStyle w:val="Normal"/>
        <w:spacing w:before="0" w:after="1600"/>
        <w:jc w:val="center"/>
        <w:rPr/>
      </w:pPr>
      <w:r>
        <w:rPr>
          <w:rFonts w:eastAsia="Times New Roman" w:cs="Times New Roman"/>
          <w:color w:val="58595B"/>
          <w:sz w:val="26"/>
          <w:szCs w:val="26"/>
        </w:rPr>
        <w:t>Release 1.10.0 against the Dynamic Apps Standard SRS v1.10</w:t>
      </w:r>
    </w:p>
    <w:p>
      <w:pPr>
        <w:pStyle w:val="Normal"/>
        <w:spacing w:before="0" w:after="60"/>
        <w:jc w:val="center"/>
        <w:rPr/>
      </w:pPr>
      <w:r>
        <w:rPr>
          <w:rFonts w:eastAsia="Times New Roman" w:cs="Times New Roman"/>
          <w:color w:val="808184"/>
          <w:sz w:val="20"/>
          <w:szCs w:val="20"/>
        </w:rPr>
        <w:t>Version 1.10.0 · 2026-10-07</w:t>
      </w:r>
    </w:p>
    <w:p>
      <w:pPr>
        <w:pStyle w:val="Normal"/>
        <w:spacing w:before="0" w:after="60"/>
        <w:jc w:val="center"/>
        <w:rPr/>
      </w:pPr>
      <w:r>
        <w:rPr>
          <w:rFonts w:eastAsia="Times New Roman" w:cs="Times New Roman"/>
          <w:color w:val="808184"/>
          <w:sz w:val="20"/>
          <w:szCs w:val="20"/>
        </w:rPr>
        <w:t>Prepared by POWERACT Consulting for AI Value</w:t>
      </w:r>
    </w:p>
    <w:p>
      <w:pPr>
        <w:pStyle w:val="Normal"/>
        <w:rPr/>
      </w:pPr>
      <w:r>
        <w:rPr/>
      </w:r>
      <w:r>
        <w:br w:type="page"/>
      </w:r>
    </w:p>
    <w:p>
      <w:pPr>
        <w:pStyle w:val="Normal"/>
        <w:pBdr>
          <w:bottom w:val="single" w:sz="8" w:space="4" w:color="F8931D"/>
        </w:pBdr>
        <w:spacing w:before="0" w:after="200"/>
        <w:rPr/>
      </w:pPr>
      <w:r>
        <w:rPr>
          <w:rFonts w:eastAsia="Times New Roman" w:cs="Times New Roman"/>
          <w:b/>
          <w:bCs/>
          <w:color w:val="E07B00"/>
          <w:sz w:val="34"/>
          <w:szCs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"1-3" \h</w:instrText>
          </w:r>
          <w:r>
            <w:rPr>
              <w:rStyle w:val="IndexLink"/>
            </w:rPr>
            <w:fldChar w:fldCharType="separate"/>
          </w:r>
          <w:hyperlink w:anchor="__RefHeading___Toc166813_2904896170">
            <w:r>
              <w:rPr>
                <w:rStyle w:val="IndexLink"/>
              </w:rPr>
              <w:t>1. Summary</w:t>
              <w:tab/>
              <w:t>3</w:t>
            </w:r>
          </w:hyperlink>
        </w:p>
        <w:p>
          <w:pPr>
            <w:pStyle w:val="TOC1"/>
            <w:tabs>
              <w:tab w:val="clear" w:pos="9746"/>
              <w:tab w:val="right" w:pos="9745" w:leader="dot"/>
            </w:tabs>
            <w:rPr/>
          </w:pPr>
          <w:hyperlink w:anchor="__RefHeading___Toc166815_2904896170">
            <w:r>
              <w:rPr>
                <w:rStyle w:val="IndexLink"/>
              </w:rPr>
              <w:t>2. UI release checklist (Appendix K)</w:t>
              <w:tab/>
              <w:t>4</w:t>
            </w:r>
          </w:hyperlink>
        </w:p>
        <w:p>
          <w:pPr>
            <w:pStyle w:val="TOC1"/>
            <w:tabs>
              <w:tab w:val="clear" w:pos="9746"/>
              <w:tab w:val="right" w:pos="9745" w:leader="dot"/>
            </w:tabs>
            <w:rPr/>
          </w:pPr>
          <w:hyperlink w:anchor="__RefHeading___Toc166817_2904896170">
            <w:r>
              <w:rPr>
                <w:rStyle w:val="IndexLink"/>
              </w:rPr>
              <w:t>3. Input-integrity remediation report (Appendix L)</w:t>
              <w:tab/>
              <w:t>6</w:t>
            </w:r>
          </w:hyperlink>
        </w:p>
        <w:p>
          <w:pPr>
            <w:pStyle w:val="TOC2"/>
            <w:tabs>
              <w:tab w:val="clear" w:pos="9463"/>
              <w:tab w:val="right" w:pos="9745" w:leader="dot"/>
            </w:tabs>
            <w:rPr/>
          </w:pPr>
          <w:hyperlink w:anchor="__RefHeading___Toc166819_2904896170">
            <w:r>
              <w:rPr>
                <w:rStyle w:val="IndexLink"/>
              </w:rPr>
              <w:t>3.1 Framework and architecture</w:t>
              <w:tab/>
              <w:t>6</w:t>
            </w:r>
          </w:hyperlink>
        </w:p>
        <w:p>
          <w:pPr>
            <w:pStyle w:val="TOC2"/>
            <w:tabs>
              <w:tab w:val="clear" w:pos="9463"/>
              <w:tab w:val="right" w:pos="9745" w:leader="dot"/>
            </w:tabs>
            <w:rPr/>
          </w:pPr>
          <w:hyperlink w:anchor="__RefHeading___Toc166821_2904896170">
            <w:r>
              <w:rPr>
                <w:rStyle w:val="IndexLink"/>
              </w:rPr>
              <w:t>3.2 Typeable screen inventory</w:t>
              <w:tab/>
              <w:t>6</w:t>
            </w:r>
          </w:hyperlink>
        </w:p>
        <w:p>
          <w:pPr>
            <w:pStyle w:val="TOC2"/>
            <w:tabs>
              <w:tab w:val="clear" w:pos="9463"/>
              <w:tab w:val="right" w:pos="9745" w:leader="dot"/>
            </w:tabs>
            <w:rPr/>
          </w:pPr>
          <w:hyperlink w:anchor="__RefHeading___Toc166823_2904896170">
            <w:r>
              <w:rPr>
                <w:rStyle w:val="IndexLink"/>
              </w:rPr>
              <w:t>3.3 Findings and fixes</w:t>
              <w:tab/>
              <w:t>7</w:t>
            </w:r>
          </w:hyperlink>
        </w:p>
        <w:p>
          <w:pPr>
            <w:pStyle w:val="TOC2"/>
            <w:tabs>
              <w:tab w:val="clear" w:pos="9463"/>
              <w:tab w:val="right" w:pos="9745" w:leader="dot"/>
            </w:tabs>
            <w:rPr/>
          </w:pPr>
          <w:hyperlink w:anchor="__RefHeading___Toc166825_2904896170">
            <w:r>
              <w:rPr>
                <w:rStyle w:val="IndexLink"/>
              </w:rPr>
              <w:t>3.4 Cause counts</w:t>
              <w:tab/>
              <w:t>7</w:t>
            </w:r>
          </w:hyperlink>
        </w:p>
        <w:p>
          <w:pPr>
            <w:pStyle w:val="TOC2"/>
            <w:tabs>
              <w:tab w:val="clear" w:pos="9463"/>
              <w:tab w:val="right" w:pos="9745" w:leader="dot"/>
            </w:tabs>
            <w:rPr/>
          </w:pPr>
          <w:hyperlink w:anchor="__RefHeading___Toc166827_2904896170">
            <w:r>
              <w:rPr>
                <w:rStyle w:val="IndexLink"/>
              </w:rPr>
              <w:t>3.5 Totals</w:t>
              <w:tab/>
              <w:t>8</w:t>
            </w:r>
          </w:hyperlink>
        </w:p>
        <w:p>
          <w:pPr>
            <w:pStyle w:val="TOC2"/>
            <w:tabs>
              <w:tab w:val="clear" w:pos="9463"/>
              <w:tab w:val="right" w:pos="9745" w:leader="dot"/>
            </w:tabs>
            <w:rPr/>
          </w:pPr>
          <w:hyperlink w:anchor="__RefHeading___Toc166829_2904896170">
            <w:r>
              <w:rPr>
                <w:rStyle w:val="IndexLink"/>
              </w:rPr>
              <w:t>3.6 Files touched</w:t>
              <w:tab/>
              <w:t>8</w:t>
            </w:r>
          </w:hyperlink>
        </w:p>
        <w:p>
          <w:pPr>
            <w:pStyle w:val="TOC2"/>
            <w:tabs>
              <w:tab w:val="clear" w:pos="9463"/>
              <w:tab w:val="right" w:pos="9745" w:leader="dot"/>
            </w:tabs>
            <w:rPr/>
          </w:pPr>
          <w:hyperlink w:anchor="__RefHeading___Toc166831_2904896170">
            <w:r>
              <w:rPr>
                <w:rStyle w:val="IndexLink"/>
              </w:rPr>
              <w:t>3.7 Deferred findings</w:t>
              <w:tab/>
              <w:t>8</w:t>
            </w:r>
          </w:hyperlink>
        </w:p>
        <w:p>
          <w:pPr>
            <w:pStyle w:val="TOC2"/>
            <w:tabs>
              <w:tab w:val="clear" w:pos="9463"/>
              <w:tab w:val="right" w:pos="9745" w:leader="dot"/>
            </w:tabs>
            <w:rPr/>
          </w:pPr>
          <w:hyperlink w:anchor="__RefHeading___Toc166833_2904896170">
            <w:r>
              <w:rPr>
                <w:rStyle w:val="IndexLink"/>
              </w:rPr>
              <w:t>3.8 Out-of-catalog findings</w:t>
              <w:tab/>
              <w:t>8</w:t>
            </w:r>
          </w:hyperlink>
        </w:p>
        <w:p>
          <w:pPr>
            <w:pStyle w:val="TOC2"/>
            <w:tabs>
              <w:tab w:val="clear" w:pos="9463"/>
              <w:tab w:val="right" w:pos="9745" w:leader="dot"/>
            </w:tabs>
            <w:rPr/>
          </w:pPr>
          <w:hyperlink w:anchor="__RefHeading___Toc166835_2904896170">
            <w:r>
              <w:rPr>
                <w:rStyle w:val="IndexLink"/>
              </w:rPr>
              <w:t>3.9 Causes not found</w:t>
              <w:tab/>
              <w:t>8</w:t>
            </w:r>
          </w:hyperlink>
        </w:p>
        <w:p>
          <w:pPr>
            <w:pStyle w:val="TOC2"/>
            <w:tabs>
              <w:tab w:val="clear" w:pos="9463"/>
              <w:tab w:val="right" w:pos="9745" w:leader="dot"/>
            </w:tabs>
            <w:rPr/>
          </w:pPr>
          <w:hyperlink w:anchor="__RefHeading___Toc166837_2904896170">
            <w:r>
              <w:rPr>
                <w:rStyle w:val="IndexLink"/>
              </w:rPr>
              <w:t>3.10 Final verification</w:t>
              <w:tab/>
              <w:t>8</w:t>
            </w:r>
          </w:hyperlink>
        </w:p>
        <w:p>
          <w:pPr>
            <w:pStyle w:val="TOC2"/>
            <w:tabs>
              <w:tab w:val="clear" w:pos="9463"/>
              <w:tab w:val="right" w:pos="9745" w:leader="dot"/>
            </w:tabs>
            <w:rPr/>
          </w:pPr>
          <w:hyperlink w:anchor="__RefHeading___Toc166839_2904896170">
            <w:r>
              <w:rPr>
                <w:rStyle w:val="IndexLink"/>
              </w:rPr>
              <w:t>3.11 Behavioral-scope confirmation</w:t>
              <w:tab/>
              <w:t>9</w:t>
            </w:r>
          </w:hyperlink>
        </w:p>
        <w:p>
          <w:pPr>
            <w:pStyle w:val="TOC1"/>
            <w:tabs>
              <w:tab w:val="clear" w:pos="9746"/>
              <w:tab w:val="right" w:pos="9745" w:leader="dot"/>
            </w:tabs>
            <w:rPr/>
          </w:pPr>
          <w:hyperlink w:anchor="__RefHeading___Toc166841_2904896170">
            <w:r>
              <w:rPr>
                <w:rStyle w:val="IndexLink"/>
              </w:rPr>
              <w:t>4. Graphical chart and conformance notes</w:t>
              <w:tab/>
              <w:t>10</w:t>
            </w:r>
          </w:hyperlink>
        </w:p>
        <w:p>
          <w:pPr>
            <w:pStyle w:val="TOC1"/>
            <w:tabs>
              <w:tab w:val="clear" w:pos="9746"/>
              <w:tab w:val="right" w:pos="9745" w:leader="dot"/>
            </w:tabs>
            <w:rPr/>
          </w:pPr>
          <w:hyperlink w:anchor="__RefHeading___Toc166843_2904896170">
            <w:r>
              <w:rPr>
                <w:rStyle w:val="IndexLink"/>
              </w:rPr>
              <w:t>5. Requirement traceability</w:t>
              <w:tab/>
              <w:t>11</w:t>
            </w:r>
          </w:hyperlink>
        </w:p>
        <w:p>
          <w:pPr>
            <w:pStyle w:val="TOC2"/>
            <w:tabs>
              <w:tab w:val="clear" w:pos="9463"/>
              <w:tab w:val="right" w:pos="9745" w:leader="dot"/>
            </w:tabs>
            <w:rPr/>
          </w:pPr>
          <w:hyperlink w:anchor="__RefHeading___Toc166845_2904896170">
            <w:r>
              <w:rPr>
                <w:rStyle w:val="IndexLink"/>
              </w:rPr>
              <w:t>Requirements by family</w:t>
              <w:tab/>
              <w:t>12</w:t>
            </w:r>
          </w:hyperlink>
          <w:r>
            <w:rPr>
              <w:rStyle w:val="IndexLink"/>
            </w:rPr>
            <w:fldChar w:fldCharType="end"/>
          </w:r>
        </w:p>
      </w:sdtContent>
    </w:sdt>
    <w:p>
      <w:pPr>
        <w:pStyle w:val="Normal"/>
        <w:widowControl/>
        <w:bidi w:val="0"/>
        <w:spacing w:lineRule="auto" w:line="276" w:before="0" w:after="0"/>
        <w:jc w:val="left"/>
        <w:rPr/>
      </w:pPr>
      <w:r>
        <w:rPr/>
      </w:r>
      <w:r>
        <w:br w:type="page"/>
      </w:r>
    </w:p>
    <w:p>
      <w:pPr>
        <w:pStyle w:val="Heading1"/>
        <w:pBdr>
          <w:bottom w:val="single" w:sz="8" w:space="4" w:color="F8931D"/>
        </w:pBdr>
        <w:spacing w:before="0" w:after="200"/>
        <w:rPr/>
      </w:pPr>
      <w:bookmarkStart w:id="0" w:name="__RefHeading___Toc166813_2904896170"/>
      <w:bookmarkEnd w:id="0"/>
      <w:r>
        <w:rPr>
          <w:rFonts w:eastAsia="Times New Roman" w:cs="Times New Roman"/>
          <w:b/>
          <w:bCs/>
          <w:color w:val="E07B00"/>
          <w:sz w:val="34"/>
          <w:szCs w:val="34"/>
        </w:rPr>
        <w:t>1. Summary</w:t>
      </w:r>
    </w:p>
    <w:p>
      <w:pPr>
        <w:pStyle w:val="Normal"/>
        <w:spacing w:lineRule="auto" w:line="276" w:before="0" w:after="120"/>
        <w:jc w:val="both"/>
        <w:rPr/>
      </w:pPr>
      <w:r>
        <w:rPr>
          <w:rFonts w:eastAsia="Times New Roman" w:cs="Times New Roman"/>
          <w:color w:val="58595B"/>
          <w:sz w:val="24"/>
          <w:szCs w:val="24"/>
        </w:rPr>
        <w:t>558 of 580 requirements are met, 10 are partial and 12 depend on the production hosting. No requirement is unmet.</w:t>
      </w:r>
    </w:p>
    <w:p>
      <w:pPr>
        <w:pStyle w:val="Normal"/>
        <w:spacing w:lineRule="auto" w:line="276" w:before="0" w:after="120"/>
        <w:jc w:val="both"/>
        <w:rPr/>
      </w:pPr>
      <w:r>
        <w:rPr>
          <w:rFonts w:eastAsia="Times New Roman" w:cs="Times New Roman"/>
          <w:color w:val="58595B"/>
          <w:sz w:val="24"/>
          <w:szCs w:val="24"/>
        </w:rPr>
        <w:t>All 19 lines of the UI release checklist (Appendix K) are confirmed. The input-integrity audit (Appendix L) checked the 23 causes: 5 instances were found and fixed in this pass, 3 had been fixed in the earlier pass, 1 out-of-catalog defect was fixed, and nothing is deferred.</w:t>
      </w:r>
    </w:p>
    <w:tbl>
      <w:tblPr>
        <w:tblW w:w="9746" w:type="dxa"/>
        <w:jc w:val="left"/>
        <w:tblInd w:w="0" w:type="dxa"/>
        <w:tblLayout w:type="fixed"/>
        <w:tblCellMar>
          <w:top w:w="60" w:type="dxa"/>
          <w:left w:w="100" w:type="dxa"/>
          <w:bottom w:w="60" w:type="dxa"/>
          <w:right w:w="100" w:type="dxa"/>
        </w:tblCellMar>
      </w:tblPr>
      <w:tblGrid>
        <w:gridCol w:w="2600"/>
        <w:gridCol w:w="4300"/>
        <w:gridCol w:w="2846"/>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Check</w:t>
            </w:r>
          </w:p>
        </w:tc>
        <w:tc>
          <w:tcPr>
            <w:tcW w:w="4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Scope</w:t>
            </w:r>
          </w:p>
        </w:tc>
        <w:tc>
          <w:tcPr>
            <w:tcW w:w="28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Result</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Focus and input integrity (NFR-DA-FOC-05)</w:t>
            </w:r>
          </w:p>
        </w:tc>
        <w:tc>
          <w:tcPr>
            <w:tcW w:w="4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Inline table of a running task: type, Tab, Escape, autosave, draft during autosave, Row Editor and Back, paste of two rows, delete and Undo</w:t>
            </w:r>
          </w:p>
        </w:tc>
        <w:tc>
          <w:tcPr>
            <w:tcW w:w="28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12 of 12 checks pass; no console error</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Crawler — languages</w:t>
            </w:r>
          </w:p>
        </w:tc>
        <w:tc>
          <w:tcPr>
            <w:tcW w:w="4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62 routes × English, French, Arabic</w:t>
            </w:r>
          </w:p>
        </w:tc>
        <w:tc>
          <w:tcPr>
            <w:tcW w:w="28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No page error; no untranslated key; Arabic right-to-left</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Crawler — responsive</w:t>
            </w:r>
          </w:p>
        </w:tc>
        <w:tc>
          <w:tcPr>
            <w:tcW w:w="4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62 routes × 390, 768, 1024, 1280 px</w:t>
            </w:r>
          </w:p>
        </w:tc>
        <w:tc>
          <w:tcPr>
            <w:tcW w:w="28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No horizontal overflow after fixing the scope selectors, cards and BPMN layout</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API integration</w:t>
            </w:r>
          </w:p>
        </w:tc>
        <w:tc>
          <w:tcPr>
            <w:tcW w:w="4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Process design, steps, readiness, registers, OBS, RACSI, prompt specifications, AI settings, releases, documents (DOCX/PDF/XLSX), lifecycle, blueprints, audits, search filters</w:t>
            </w:r>
          </w:p>
        </w:tc>
        <w:tc>
          <w:tcPr>
            <w:tcW w:w="28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All calls return the expected status; two-person rules refuse self-approval</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Design tokens (CI)</w:t>
            </w:r>
          </w:p>
        </w:tc>
        <w:tc>
          <w:tcPr>
            <w:tcW w:w="4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 every colour through --aiv tokens</w:t>
            </w:r>
          </w:p>
        </w:tc>
        <w:tc>
          <w:tcPr>
            <w:tcW w:w="28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Token check passed</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Seed</w:t>
            </w:r>
          </w:p>
        </w:tc>
        <w:tc>
          <w:tcPr>
            <w:tcW w:w="4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59 organizations, 118 runs, step records and registers</w:t>
            </w:r>
          </w:p>
        </w:tc>
        <w:tc>
          <w:tcPr>
            <w:tcW w:w="28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Seed completes in about 100 s; universal scenario 514/514 tasks completed, 218 documents published</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tc>
          <w:tcPr>
            <w:tcW w:w="9746" w:type="dxa"/>
            <w:tcBorders>
              <w:top w:val="single" w:sz="4" w:space="0" w:color="E3E3E4"/>
              <w:left w:val="single" w:sz="4" w:space="0" w:color="E3E3E4"/>
              <w:bottom w:val="single" w:sz="4" w:space="0" w:color="E3E3E4"/>
              <w:right w:val="single" w:sz="4" w:space="0" w:color="E3E3E4"/>
            </w:tcBorders>
            <w:shd w:color="auto" w:fill="FDEEDA" w:val="clear"/>
          </w:tcPr>
          <w:p>
            <w:pPr>
              <w:pStyle w:val="Normal"/>
              <w:spacing w:before="0" w:after="60"/>
              <w:rPr/>
            </w:pPr>
            <w:r>
              <w:rPr>
                <w:rFonts w:eastAsia="Times New Roman" w:cs="Times New Roman"/>
                <w:b/>
                <w:bCs/>
                <w:color w:val="3A3A3C"/>
                <w:sz w:val="22"/>
                <w:szCs w:val="22"/>
              </w:rPr>
              <w:t>How to reproduce</w:t>
            </w:r>
          </w:p>
          <w:p>
            <w:pPr>
              <w:pStyle w:val="Normal"/>
              <w:spacing w:lineRule="auto" w:line="276" w:before="0" w:after="40"/>
              <w:jc w:val="left"/>
              <w:rPr/>
            </w:pPr>
            <w:r>
              <w:rPr>
                <w:rFonts w:eastAsia="Times New Roman" w:cs="Times New Roman"/>
                <w:color w:val="58595B"/>
                <w:sz w:val="22"/>
                <w:szCs w:val="22"/>
              </w:rPr>
              <w:t>Focus tests: node web/tools/qa/focus-tests.mjs (server running on port 4000).</w:t>
            </w:r>
          </w:p>
          <w:p>
            <w:pPr>
              <w:pStyle w:val="Normal"/>
              <w:spacing w:lineRule="auto" w:line="276" w:before="0" w:after="40"/>
              <w:jc w:val="left"/>
              <w:rPr/>
            </w:pPr>
            <w:r>
              <w:rPr>
                <w:rFonts w:eastAsia="Times New Roman" w:cs="Times New Roman"/>
                <w:color w:val="58595B"/>
                <w:sz w:val="22"/>
                <w:szCs w:val="22"/>
              </w:rPr>
              <w:t>Crawler: node web/tools/qa/crawler.mjs &lt;e-mail&gt; en,fr,ar; WIDTHS=390,768,1024,1280 for the responsive pass.</w:t>
            </w:r>
          </w:p>
          <w:p>
            <w:pPr>
              <w:pStyle w:val="Normal"/>
              <w:spacing w:lineRule="auto" w:line="276" w:before="0" w:after="40"/>
              <w:jc w:val="left"/>
              <w:rPr/>
            </w:pPr>
            <w:r>
              <w:rPr>
                <w:rFonts w:eastAsia="Times New Roman" w:cs="Times New Roman"/>
                <w:color w:val="58595B"/>
                <w:sz w:val="22"/>
                <w:szCs w:val="22"/>
              </w:rPr>
              <w:t>Token check: npm run check:tokens in the web folder.</w:t>
            </w:r>
          </w:p>
        </w:tc>
      </w:tr>
    </w:tbl>
    <w:p>
      <w:pPr>
        <w:pStyle w:val="Heading1"/>
        <w:pBdr>
          <w:bottom w:val="single" w:sz="8" w:space="4" w:color="F8931D"/>
        </w:pBdr>
        <w:spacing w:before="0" w:after="200"/>
        <w:rPr/>
      </w:pPr>
      <w:r>
        <w:br w:type="page"/>
      </w:r>
      <w:bookmarkStart w:id="1" w:name="__RefHeading___Toc166815_2904896170"/>
      <w:bookmarkEnd w:id="1"/>
      <w:r>
        <w:rPr>
          <w:rFonts w:eastAsia="Times New Roman" w:cs="Times New Roman"/>
          <w:b/>
          <w:bCs/>
          <w:color w:val="E07B00"/>
          <w:sz w:val="34"/>
          <w:szCs w:val="34"/>
        </w:rPr>
        <w:t>2. UI release checklist (Appendix K)</w:t>
      </w:r>
    </w:p>
    <w:p>
      <w:pPr>
        <w:pStyle w:val="Normal"/>
        <w:spacing w:lineRule="auto" w:line="276" w:before="0" w:after="120"/>
        <w:jc w:val="both"/>
        <w:rPr/>
      </w:pPr>
      <w:r>
        <w:rPr>
          <w:rFonts w:eastAsia="Times New Roman" w:cs="Times New Roman"/>
          <w:color w:val="58595B"/>
          <w:sz w:val="24"/>
          <w:szCs w:val="24"/>
        </w:rPr>
        <w:t>Each line was confirmed on the release build for the screens and documents changed in release 1.10.</w:t>
      </w:r>
    </w:p>
    <w:tbl>
      <w:tblPr>
        <w:tblW w:w="9746" w:type="dxa"/>
        <w:jc w:val="left"/>
        <w:tblInd w:w="0" w:type="dxa"/>
        <w:tblLayout w:type="fixed"/>
        <w:tblCellMar>
          <w:top w:w="60" w:type="dxa"/>
          <w:left w:w="100" w:type="dxa"/>
          <w:bottom w:w="60" w:type="dxa"/>
          <w:right w:w="100" w:type="dxa"/>
        </w:tblCellMar>
      </w:tblPr>
      <w:tblGrid>
        <w:gridCol w:w="1499"/>
        <w:gridCol w:w="3300"/>
        <w:gridCol w:w="4000"/>
        <w:gridCol w:w="946"/>
      </w:tblGrid>
      <w:tr>
        <w:trPr>
          <w:tblHeader w:val="true"/>
          <w:cantSplit w:val="true"/>
        </w:trPr>
        <w:tc>
          <w:tcPr>
            <w:tcW w:w="14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Area</w:t>
            </w:r>
          </w:p>
        </w:tc>
        <w:tc>
          <w:tcPr>
            <w:tcW w:w="3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Check</w:t>
            </w:r>
          </w:p>
        </w:tc>
        <w:tc>
          <w:tcPr>
            <w:tcW w:w="40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Evidence</w:t>
            </w:r>
          </w:p>
        </w:tc>
        <w:tc>
          <w:tcPr>
            <w:tcW w:w="9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Result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Tokens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No raw color, size or spacing value outside the token file; the CI token check passes.</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npm run check:tokens: “Token check passed: no raw colour outside src/styles/tokens.css”; run in CI.</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Color and contrast</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Body text in Ink or Navy; no Azure, Teal or Green text below 18.66 px bold.</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Small text uses --aiv-ink / --aiv-navy; orange (Azure token) only on fills, large figures and table headers with white bold text (brand divergence recorded).</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Status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Status Scale only, in fixed order, always with a label.</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StatusPill / LevelPill show label and level 1–5; status tokens #F4C7C3 → #B6D7A8.</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Typography</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Montserrat, Open Sans and JetBrains Mono served with the application; sizes from the scale.</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@fontsource packages bundled; Noto Sans/Kufi Arabic for Arabic; --aiv-fs-* scale.</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Shape and elevation</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Radii 8 / 12 / 16 px; no pill buttons; card border or shadow, never both.</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--aiv-radius-* tokens; cards use the card shadow only.</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Icons</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Lucide line icons only; no emoji; icon-only buttons named.</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lucide-react; aria-label on every icon-only Btn; crawler found no emoji.</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Component states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Hover, focus-visible, active, disabled, loading, error and success designed.</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Button, field, Select, table and dialog states in app.css; Btn loading state.</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Record tables</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Pattern chosen by field count; keyboard map, row status, autosave, Undo, paste from spreadsheet.</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InlineTable.jsx; focus tests T1–T8 pass (typing, Tab, Escape, autosave, draft kept, Row Editor, paste, Undo).</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Focus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Focus kept while typing and on dropdown change; focus tests pass; no new console warning.</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web/tools/qa/focus-tests.mjs: 12/12 checks pass; no console error.</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Input integrity</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Remediation audit of Appendix L recorded; every cause C1 – C23 checked.</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Conformance report, section Appendix L: 5 instances found and fixed this pass, 1 out-of-catalog fixed, none deferred.</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Panels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Side panels resizable by mouse and keyboard; widths kept; disabled below 768 px.</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ResizeHandle (role separator, arrows ±16 px, Home/End, double-click reset); widths in server preferences; drawer below 768 px.</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Charts</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Series colors, caption, legend below, no pie or 3D, export, data-table view.</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Figure component: PNG/SVG/CSV export, data-table view, caption, legend below.</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System states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Loading, empty, error, success, offline and permission states designed.</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Skeleton, Empty, ErrorState, AccessNotice, toasts, offline banner, session-expired dialog.</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Responsive</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Layout checked at 390, 768, 1024 and 1280 px.</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Crawler over 62 routes at 4 widths: no horizontal overflow after fixes.</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Languages</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English, French and Arabic checked; full mirroring under Arabic; no clipped label.</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Crawler over 62 routes in EN/FR/AR: dir=rtl in Arabic, no untranslated key, no page error.</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Motion</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Durations 150–300 ms; reduced motion respected.</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--aiv-duration-* tokens; prefers-reduced-motion rule in tokens.css.</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Copy</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Evidence-first microcopy; product names written exactly.</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UI dictionary (2,700+ keys, EN/FR/AR) reviewed; CortexSkills, DynamicSurveys, AIMM spelled exactly.</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Documents</w:t>
            </w:r>
          </w:p>
        </w:tc>
        <w:tc>
          <w:tcPr>
            <w:tcW w:w="3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Generated documents and exports in the house style, fonts embedded, A4 or Letter.</w:t>
            </w:r>
          </w:p>
        </w:tc>
        <w:tc>
          <w:tcPr>
            <w:tcW w:w="4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DOCX/PDF/XLSX exports: A4, Times New Roman (Liberation Serif embedded in PDF), orange headers, cover, TOC, page X of Y.</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r>
        <w:trPr>
          <w:cantSplit w:val="true"/>
        </w:trPr>
        <w:tc>
          <w:tcPr>
            <w:tcW w:w="14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Version</w:t>
            </w:r>
          </w:p>
        </w:tc>
        <w:tc>
          <w:tcPr>
            <w:tcW w:w="3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Release notes state the Graphical Chart version conformed to.</w:t>
            </w:r>
          </w:p>
        </w:tc>
        <w:tc>
          <w:tcPr>
            <w:tcW w:w="4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Release 1.10.0 conforms to the POWERACT Graphical Chart v1.0 (August 2026) mapped onto SRS v1.10 tokens.</w:t>
            </w:r>
          </w:p>
        </w:tc>
        <w:tc>
          <w:tcPr>
            <w:tcW w:w="946"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Met</w:t>
            </w:r>
          </w:p>
        </w:tc>
      </w:tr>
    </w:tbl>
    <w:p>
      <w:pPr>
        <w:pStyle w:val="Heading1"/>
        <w:pBdr>
          <w:bottom w:val="single" w:sz="8" w:space="4" w:color="F8931D"/>
        </w:pBdr>
        <w:spacing w:before="0" w:after="200"/>
        <w:rPr/>
      </w:pPr>
      <w:r>
        <w:br w:type="page"/>
      </w:r>
      <w:bookmarkStart w:id="2" w:name="__RefHeading___Toc166817_2904896170"/>
      <w:bookmarkEnd w:id="2"/>
      <w:r>
        <w:rPr>
          <w:rFonts w:eastAsia="Times New Roman" w:cs="Times New Roman"/>
          <w:b/>
          <w:bCs/>
          <w:color w:val="E07B00"/>
          <w:sz w:val="34"/>
          <w:szCs w:val="34"/>
        </w:rPr>
        <w:t>3. Input-integrity remediation report (Appendix L)</w:t>
      </w:r>
    </w:p>
    <w:p>
      <w:pPr>
        <w:pStyle w:val="Heading2"/>
        <w:keepNext w:val="true"/>
        <w:spacing w:before="280" w:after="120"/>
        <w:rPr/>
      </w:pPr>
      <w:bookmarkStart w:id="3" w:name="__RefHeading___Toc166819_2904896170"/>
      <w:bookmarkEnd w:id="3"/>
      <w:r>
        <w:rPr>
          <w:rFonts w:eastAsia="Times New Roman" w:cs="Times New Roman"/>
          <w:b/>
          <w:bCs/>
          <w:color w:val="3A3A3C"/>
          <w:sz w:val="27"/>
          <w:szCs w:val="27"/>
        </w:rPr>
        <w:t>3.1 Framework and architecture</w:t>
      </w:r>
    </w:p>
    <w:tbl>
      <w:tblPr>
        <w:tblW w:w="9746" w:type="dxa"/>
        <w:jc w:val="left"/>
        <w:tblInd w:w="0" w:type="dxa"/>
        <w:tblLayout w:type="fixed"/>
        <w:tblCellMar>
          <w:top w:w="60" w:type="dxa"/>
          <w:left w:w="100" w:type="dxa"/>
          <w:bottom w:w="60" w:type="dxa"/>
          <w:right w:w="100" w:type="dxa"/>
        </w:tblCellMar>
      </w:tblPr>
      <w:tblGrid>
        <w:gridCol w:w="2800"/>
        <w:gridCol w:w="6945"/>
      </w:tblGrid>
      <w:tr>
        <w:trPr>
          <w:tblHeader w:val="true"/>
          <w:cantSplit w:val="true"/>
        </w:trPr>
        <w:tc>
          <w:tcPr>
            <w:tcW w:w="28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Layer</w:t>
            </w:r>
          </w:p>
        </w:tc>
        <w:tc>
          <w:tcPr>
            <w:tcW w:w="69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Technology</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Framework and language</w:t>
            </w:r>
          </w:p>
        </w:tc>
        <w:tc>
          <w:tcPr>
            <w:tcW w:w="69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React 18 with JavaScript (JSX), built with Vite</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UI library</w:t>
            </w:r>
          </w:p>
        </w:tc>
        <w:tc>
          <w:tcPr>
            <w:tcW w:w="69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Project components only (web/src/components/ui.jsx, DataTable.jsx, InlineTable.jsx); Lucide icons</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Form libraries</w:t>
            </w:r>
          </w:p>
        </w:tc>
        <w:tc>
          <w:tcPr>
            <w:tcW w:w="69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None: controlled inputs with component state</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Routing</w:t>
            </w:r>
          </w:p>
        </w:tc>
        <w:tc>
          <w:tcPr>
            <w:tcW w:w="69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react-router-dom</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State management</w:t>
            </w:r>
          </w:p>
        </w:tc>
        <w:tc>
          <w:tcPr>
            <w:tcW w:w="69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React context (session.jsx) and component state</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Data fetching</w:t>
            </w:r>
          </w:p>
        </w:tc>
        <w:tc>
          <w:tcPr>
            <w:tcW w:w="69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fetch wrapper (lib/api.js) with request sequencing in useData</w:t>
            </w:r>
          </w:p>
        </w:tc>
      </w:tr>
      <w:tr>
        <w:trPr>
          <w:cantSplit w:val="true"/>
        </w:trPr>
        <w:tc>
          <w:tcPr>
            <w:tcW w:w="2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Debounce</w:t>
            </w:r>
          </w:p>
        </w:tc>
        <w:tc>
          <w:tcPr>
            <w:tcW w:w="69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Timers kept in refs (preferences, row autosave)</w:t>
            </w:r>
          </w:p>
        </w:tc>
      </w:tr>
    </w:tbl>
    <w:p>
      <w:pPr>
        <w:pStyle w:val="Heading2"/>
        <w:keepNext w:val="true"/>
        <w:spacing w:before="280" w:after="120"/>
        <w:rPr/>
      </w:pPr>
      <w:bookmarkStart w:id="4" w:name="__RefHeading___Toc166821_2904896170"/>
      <w:bookmarkEnd w:id="4"/>
      <w:r>
        <w:rPr>
          <w:rFonts w:eastAsia="Times New Roman" w:cs="Times New Roman"/>
          <w:b/>
          <w:bCs/>
          <w:color w:val="3A3A3C"/>
          <w:sz w:val="27"/>
          <w:szCs w:val="27"/>
        </w:rPr>
        <w:t>3.2 Typeable screen inventory</w:t>
      </w:r>
    </w:p>
    <w:tbl>
      <w:tblPr>
        <w:tblW w:w="9746" w:type="dxa"/>
        <w:jc w:val="left"/>
        <w:tblInd w:w="0" w:type="dxa"/>
        <w:tblLayout w:type="fixed"/>
        <w:tblCellMar>
          <w:top w:w="60" w:type="dxa"/>
          <w:left w:w="100" w:type="dxa"/>
          <w:bottom w:w="60" w:type="dxa"/>
          <w:right w:w="100" w:type="dxa"/>
        </w:tblCellMar>
      </w:tblPr>
      <w:tblGrid>
        <w:gridCol w:w="2300"/>
        <w:gridCol w:w="2300"/>
        <w:gridCol w:w="2300"/>
        <w:gridCol w:w="899"/>
        <w:gridCol w:w="1201"/>
        <w:gridCol w:w="745"/>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Screen or route</w:t>
            </w:r>
          </w:p>
        </w:tc>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Component</w:t>
            </w:r>
          </w:p>
        </w:tc>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Typeable fields</w:t>
            </w:r>
          </w:p>
        </w:tc>
        <w:tc>
          <w:tcPr>
            <w:tcW w:w="8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Audited</w:t>
            </w:r>
          </w:p>
        </w:tc>
        <w:tc>
          <w:tcPr>
            <w:tcW w:w="12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Findings</w:t>
            </w:r>
          </w:p>
        </w:tc>
        <w:tc>
          <w:tcPr>
            <w:tcW w:w="7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Fixed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/runs/:id?task=</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StepForms, InlineTable, RowEditor, ChoiceField</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Table cells, Row Editor fields, form fields, choice lists</w:t>
            </w:r>
          </w:p>
        </w:tc>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 (out-of-catalog)</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/process/design</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DesignNode, ElementForm, NewElement, Versions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Names in three languages, notes, filter</w:t>
            </w:r>
          </w:p>
        </w:tc>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 (C1)</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/process/templates/:id</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BlueprintNode, PartTable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Inclusion boxes, names, rows of each part</w:t>
            </w:r>
          </w:p>
        </w:tc>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 (C1)</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/gov/obs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Functions, Roles, RacsiMatrix, OrgNode</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Names, missions, assignment fields, RACSI pickers</w:t>
            </w:r>
          </w:p>
        </w:tc>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 (C1)</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/questionnaires/:id, /respond/:token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QForm, TableSection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Answers, table rows</w:t>
            </w:r>
          </w:p>
        </w:tc>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 (C2)</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/training-plan</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TrainingEditor</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 fields, objectives, agenda</w:t>
            </w:r>
          </w:p>
        </w:tc>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 (C2)</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/documents/:id</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DocContent, SectionsEditor, DocMeta</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Overrides, section titles and text, metadata</w:t>
            </w:r>
          </w:p>
        </w:tc>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/documents/layout, /ai/settings, /ai/use-cases/:id/spec</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DocLayout, AiSettings, SpecField</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Formatting, model settings, specification fields</w:t>
            </w:r>
          </w:p>
        </w:tc>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Every list screen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DataTable, GlobalSearch, Select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Search, filters, column and page controls</w:t>
            </w:r>
          </w:p>
        </w:tc>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Records, governance, administration</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RecordEditor, Modal, JustifyDialog</w:t>
            </w:r>
          </w:p>
        </w:tc>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Record fields, justifications</w:t>
            </w:r>
          </w:p>
        </w:tc>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Yes</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bl>
    <w:p>
      <w:pPr>
        <w:pStyle w:val="Heading2"/>
        <w:keepNext w:val="true"/>
        <w:spacing w:before="280" w:after="120"/>
        <w:rPr/>
      </w:pPr>
      <w:bookmarkStart w:id="5" w:name="__RefHeading___Toc166823_2904896170"/>
      <w:bookmarkEnd w:id="5"/>
      <w:r>
        <w:rPr>
          <w:rFonts w:eastAsia="Times New Roman" w:cs="Times New Roman"/>
          <w:b/>
          <w:bCs/>
          <w:color w:val="3A3A3C"/>
          <w:sz w:val="27"/>
          <w:szCs w:val="27"/>
        </w:rPr>
        <w:t>3.3 Findings and fixes</w:t>
      </w:r>
    </w:p>
    <w:tbl>
      <w:tblPr>
        <w:tblW w:w="9746" w:type="dxa"/>
        <w:jc w:val="left"/>
        <w:tblInd w:w="0" w:type="dxa"/>
        <w:tblLayout w:type="fixed"/>
        <w:tblCellMar>
          <w:top w:w="60" w:type="dxa"/>
          <w:left w:w="100" w:type="dxa"/>
          <w:bottom w:w="60" w:type="dxa"/>
          <w:right w:w="100" w:type="dxa"/>
        </w:tblCellMar>
      </w:tblPr>
      <w:tblGrid>
        <w:gridCol w:w="2600"/>
        <w:gridCol w:w="1899"/>
        <w:gridCol w:w="1601"/>
        <w:gridCol w:w="1100"/>
        <w:gridCol w:w="2546"/>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File</w:t>
            </w:r>
          </w:p>
        </w:tc>
        <w:tc>
          <w:tcPr>
            <w:tcW w:w="18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Component</w:t>
            </w:r>
          </w:p>
        </w:tc>
        <w:tc>
          <w:tcPr>
            <w:tcW w:w="16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Screen type</w:t>
            </w:r>
          </w:p>
        </w:tc>
        <w:tc>
          <w:tcPr>
            <w:tcW w:w="11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Cause</w:t>
            </w:r>
          </w:p>
        </w:tc>
        <w:tc>
          <w:tcPr>
            <w:tcW w:w="25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Fix applied</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web/src/pages/Design.jsx</w:t>
            </w:r>
          </w:p>
        </w:tc>
        <w:tc>
          <w:tcPr>
            <w:tcW w:w="1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DesignTree › Node</w:t>
            </w:r>
          </w:p>
        </w:tc>
        <w:tc>
          <w:tcPr>
            <w:tcW w:w="1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Tree</w:t>
            </w:r>
          </w:p>
        </w:tc>
        <w:tc>
          <w:tcPr>
            <w:tcW w:w="1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w:t>
            </w:r>
          </w:p>
        </w:tc>
        <w:tc>
          <w:tcPr>
            <w:tcW w:w="25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Node moved to module scope as DesignNode; context passed as a prop</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web/src/pages/Blueprint.jsx</w:t>
            </w:r>
          </w:p>
        </w:tc>
        <w:tc>
          <w:tcPr>
            <w:tcW w:w="1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BlueprintTree › Node</w:t>
            </w:r>
          </w:p>
        </w:tc>
        <w:tc>
          <w:tcPr>
            <w:tcW w:w="16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Tree with check boxes</w:t>
            </w:r>
          </w:p>
        </w:tc>
        <w:tc>
          <w:tcPr>
            <w:tcW w:w="1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w:t>
            </w:r>
          </w:p>
        </w:tc>
        <w:tc>
          <w:tcPr>
            <w:tcW w:w="25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Node moved to module scope as BlueprintNode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web/src/pages/Obs.jsx</w:t>
            </w:r>
          </w:p>
        </w:tc>
        <w:tc>
          <w:tcPr>
            <w:tcW w:w="1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Chart › Node</w:t>
            </w:r>
          </w:p>
        </w:tc>
        <w:tc>
          <w:tcPr>
            <w:tcW w:w="1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Organization chart</w:t>
            </w:r>
          </w:p>
        </w:tc>
        <w:tc>
          <w:tcPr>
            <w:tcW w:w="1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w:t>
            </w:r>
          </w:p>
        </w:tc>
        <w:tc>
          <w:tcPr>
            <w:tcW w:w="25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Node moved to module scope as OrgNode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web/src/components/QForm.jsx</w:t>
            </w:r>
          </w:p>
        </w:tc>
        <w:tc>
          <w:tcPr>
            <w:tcW w:w="1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TableSection</w:t>
            </w:r>
          </w:p>
        </w:tc>
        <w:tc>
          <w:tcPr>
            <w:tcW w:w="16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Questionnaire table</w:t>
            </w:r>
          </w:p>
        </w:tc>
        <w:tc>
          <w:tcPr>
            <w:tcW w:w="1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C2</w:t>
            </w:r>
          </w:p>
        </w:tc>
        <w:tc>
          <w:tcPr>
            <w:tcW w:w="25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Row keys kept in a ref beside the rows; follow inserts and deletions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web/src/pages/TrainingPlan.jsx</w:t>
            </w:r>
          </w:p>
        </w:tc>
        <w:tc>
          <w:tcPr>
            <w:tcW w:w="1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TrainingEditor objectives</w:t>
            </w:r>
          </w:p>
        </w:tc>
        <w:tc>
          <w:tcPr>
            <w:tcW w:w="16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Editable list</w:t>
            </w:r>
          </w:p>
        </w:tc>
        <w:tc>
          <w:tcPr>
            <w:tcW w:w="1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C2</w:t>
            </w:r>
          </w:p>
        </w:tc>
        <w:tc>
          <w:tcPr>
            <w:tcW w:w="25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Objective keys kept in a ref; delete removes the matching key</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web/src/components/InlineTable.jsx</w:t>
            </w:r>
          </w:p>
        </w:tc>
        <w:tc>
          <w:tcPr>
            <w:tcW w:w="1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Cell</w:t>
            </w:r>
          </w:p>
        </w:tc>
        <w:tc>
          <w:tcPr>
            <w:tcW w:w="16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Inline table</w:t>
            </w:r>
          </w:p>
        </w:tc>
        <w:tc>
          <w:tcPr>
            <w:tcW w:w="1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Out of catalog</w:t>
            </w:r>
          </w:p>
        </w:tc>
        <w:tc>
          <w:tcPr>
            <w:tcW w:w="25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Escape start value normalized to an empty string</w:t>
            </w:r>
          </w:p>
        </w:tc>
      </w:tr>
    </w:tbl>
    <w:p>
      <w:pPr>
        <w:pStyle w:val="Heading2"/>
        <w:keepNext w:val="true"/>
        <w:spacing w:before="280" w:after="120"/>
        <w:rPr/>
      </w:pPr>
      <w:bookmarkStart w:id="6" w:name="__RefHeading___Toc166825_2904896170"/>
      <w:bookmarkEnd w:id="6"/>
      <w:r>
        <w:rPr>
          <w:rFonts w:eastAsia="Times New Roman" w:cs="Times New Roman"/>
          <w:b/>
          <w:bCs/>
          <w:color w:val="3A3A3C"/>
          <w:sz w:val="27"/>
          <w:szCs w:val="27"/>
        </w:rPr>
        <w:t>3.4 Cause counts</w:t>
      </w:r>
    </w:p>
    <w:tbl>
      <w:tblPr>
        <w:tblW w:w="9746" w:type="dxa"/>
        <w:jc w:val="left"/>
        <w:tblInd w:w="0" w:type="dxa"/>
        <w:tblLayout w:type="fixed"/>
        <w:tblCellMar>
          <w:top w:w="60" w:type="dxa"/>
          <w:left w:w="100" w:type="dxa"/>
          <w:bottom w:w="60" w:type="dxa"/>
          <w:right w:w="100" w:type="dxa"/>
        </w:tblCellMar>
      </w:tblPr>
      <w:tblGrid>
        <w:gridCol w:w="899"/>
        <w:gridCol w:w="6046"/>
        <w:gridCol w:w="900"/>
        <w:gridCol w:w="901"/>
        <w:gridCol w:w="1000"/>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Cause</w:t>
            </w:r>
          </w:p>
        </w:tc>
        <w:tc>
          <w:tcPr>
            <w:tcW w:w="60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Description</w:t>
            </w:r>
          </w:p>
        </w:tc>
        <w:tc>
          <w:tcPr>
            <w:tcW w:w="9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Found</w:t>
            </w:r>
          </w:p>
        </w:tc>
        <w:tc>
          <w:tcPr>
            <w:tcW w:w="9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Fixed</w:t>
            </w:r>
          </w:p>
        </w:tc>
        <w:tc>
          <w:tcPr>
            <w:tcW w:w="10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Deferred</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Component defined inside another component.</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C2</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Unstable list, row or field key.</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C3</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Focus effect without proper dependencies.</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C4</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Dialog, drawer or editor re-created on every render.</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C5</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Form-library misuse.</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C6</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Controlled input receives an object or array.</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C7</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Element type changes while in use.</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C8</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Context provider value re-created on every render.</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C9</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Memoized child receives a new callback each render.</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C10</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Ref-based autofocus runs again.</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C11</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Validation or save effect calls focus or blur.</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C12</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Row key contains an edited or computed value.</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C13</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Field name or identifier changes while focused.</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C14</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Form region re-rendered through a changing key or injected HTML.</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C15</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Route, tab or panel switch remounts an active form.</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C16</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Validation on every keystroke rewrites the value.</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C17</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Autosave resets the active form.</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C18</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Field conditionally unmounted while typing.</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C19</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Asynchronous race: a stale result overwrites newer input.</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C20</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Debounce re-created on every render.</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C21</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Server state overwrites the Active Draft.</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C22</w:t>
            </w:r>
          </w:p>
        </w:tc>
        <w:tc>
          <w:tcPr>
            <w:tcW w:w="6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Input switches between controlled and uncontrolled.</w:t>
            </w:r>
          </w:p>
        </w:tc>
        <w:tc>
          <w:tcPr>
            <w:tcW w:w="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C23</w:t>
            </w:r>
          </w:p>
        </w:tc>
        <w:tc>
          <w:tcPr>
            <w:tcW w:w="6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Event order causes a premature commit or close.</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1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bl>
    <w:p>
      <w:pPr>
        <w:pStyle w:val="Heading2"/>
        <w:keepNext w:val="true"/>
        <w:spacing w:before="280" w:after="120"/>
        <w:rPr/>
      </w:pPr>
      <w:bookmarkStart w:id="7" w:name="__RefHeading___Toc166827_2904896170"/>
      <w:bookmarkEnd w:id="7"/>
      <w:r>
        <w:rPr>
          <w:rFonts w:eastAsia="Times New Roman" w:cs="Times New Roman"/>
          <w:b/>
          <w:bCs/>
          <w:color w:val="3A3A3C"/>
          <w:sz w:val="27"/>
          <w:szCs w:val="27"/>
        </w:rPr>
        <w:t>3.5 Totals</w:t>
      </w:r>
    </w:p>
    <w:tbl>
      <w:tblPr>
        <w:tblW w:w="9746" w:type="dxa"/>
        <w:jc w:val="left"/>
        <w:tblInd w:w="0" w:type="dxa"/>
        <w:tblLayout w:type="fixed"/>
        <w:tblCellMar>
          <w:top w:w="60" w:type="dxa"/>
          <w:left w:w="100" w:type="dxa"/>
          <w:bottom w:w="60" w:type="dxa"/>
          <w:right w:w="100" w:type="dxa"/>
        </w:tblCellMar>
      </w:tblPr>
      <w:tblGrid>
        <w:gridCol w:w="2436"/>
        <w:gridCol w:w="2436"/>
        <w:gridCol w:w="2435"/>
        <w:gridCol w:w="2438"/>
      </w:tblGrid>
      <w:tr>
        <w:trPr>
          <w:tblHeader w:val="true"/>
          <w:cantSplit w:val="true"/>
        </w:trPr>
        <w:tc>
          <w:tcPr>
            <w:tcW w:w="24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Confirmed instances</w:t>
            </w:r>
          </w:p>
        </w:tc>
        <w:tc>
          <w:tcPr>
            <w:tcW w:w="24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Fixed</w:t>
            </w:r>
          </w:p>
        </w:tc>
        <w:tc>
          <w:tcPr>
            <w:tcW w:w="243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Deferred</w:t>
            </w:r>
          </w:p>
        </w:tc>
        <w:tc>
          <w:tcPr>
            <w:tcW w:w="243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Out-of-catalog</w:t>
            </w:r>
          </w:p>
        </w:tc>
      </w:tr>
      <w:tr>
        <w:trPr>
          <w:cantSplit w:val="true"/>
        </w:trPr>
        <w:tc>
          <w:tcPr>
            <w:tcW w:w="24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4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4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c>
          <w:tcPr>
            <w:tcW w:w="2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 (fixed)</w:t>
            </w:r>
          </w:p>
        </w:tc>
      </w:tr>
    </w:tbl>
    <w:p>
      <w:pPr>
        <w:pStyle w:val="Normal"/>
        <w:spacing w:lineRule="auto" w:line="276" w:before="0" w:after="120"/>
        <w:jc w:val="both"/>
        <w:rPr/>
      </w:pPr>
      <w:r>
        <w:rPr>
          <w:rFonts w:eastAsia="Times New Roman" w:cs="Times New Roman"/>
          <w:i/>
          <w:iCs/>
          <w:color w:val="58595B"/>
          <w:sz w:val="24"/>
          <w:szCs w:val="24"/>
        </w:rPr>
        <w:t>Counts include the instances fixed in the earlier pass of this release (C3, C8, C19).</w:t>
      </w:r>
    </w:p>
    <w:p>
      <w:pPr>
        <w:pStyle w:val="Heading2"/>
        <w:keepNext w:val="true"/>
        <w:spacing w:before="280" w:after="120"/>
        <w:rPr/>
      </w:pPr>
      <w:bookmarkStart w:id="8" w:name="__RefHeading___Toc166829_2904896170"/>
      <w:bookmarkEnd w:id="8"/>
      <w:r>
        <w:rPr>
          <w:rFonts w:eastAsia="Times New Roman" w:cs="Times New Roman"/>
          <w:b/>
          <w:bCs/>
          <w:color w:val="3A3A3C"/>
          <w:sz w:val="27"/>
          <w:szCs w:val="27"/>
        </w:rPr>
        <w:t>3.6 Files touched</w:t>
      </w:r>
    </w:p>
    <w:tbl>
      <w:tblPr>
        <w:tblW w:w="9746" w:type="dxa"/>
        <w:jc w:val="left"/>
        <w:tblInd w:w="0" w:type="dxa"/>
        <w:tblLayout w:type="fixed"/>
        <w:tblCellMar>
          <w:top w:w="60" w:type="dxa"/>
          <w:left w:w="100" w:type="dxa"/>
          <w:bottom w:w="60" w:type="dxa"/>
          <w:right w:w="100" w:type="dxa"/>
        </w:tblCellMar>
      </w:tblPr>
      <w:tblGrid>
        <w:gridCol w:w="4999"/>
        <w:gridCol w:w="4746"/>
      </w:tblGrid>
      <w:tr>
        <w:trPr>
          <w:tblHeader w:val="true"/>
          <w:cantSplit w:val="true"/>
        </w:trPr>
        <w:tc>
          <w:tcPr>
            <w:tcW w:w="4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File</w:t>
            </w:r>
          </w:p>
        </w:tc>
        <w:tc>
          <w:tcPr>
            <w:tcW w:w="47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Reason</w:t>
            </w:r>
          </w:p>
        </w:tc>
      </w:tr>
      <w:tr>
        <w:trPr>
          <w:cantSplit w:val="true"/>
        </w:trPr>
        <w:tc>
          <w:tcPr>
            <w:tcW w:w="4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web/src/pages/Design.jsx</w:t>
            </w:r>
          </w:p>
        </w:tc>
        <w:tc>
          <w:tcPr>
            <w:tcW w:w="4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w:t>
            </w:r>
          </w:p>
        </w:tc>
      </w:tr>
      <w:tr>
        <w:trPr>
          <w:cantSplit w:val="true"/>
        </w:trPr>
        <w:tc>
          <w:tcPr>
            <w:tcW w:w="4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web/src/pages/Blueprint.jsx</w:t>
            </w:r>
          </w:p>
        </w:tc>
        <w:tc>
          <w:tcPr>
            <w:tcW w:w="4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C1</w:t>
            </w:r>
          </w:p>
        </w:tc>
      </w:tr>
      <w:tr>
        <w:trPr>
          <w:cantSplit w:val="true"/>
        </w:trPr>
        <w:tc>
          <w:tcPr>
            <w:tcW w:w="4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web/src/pages/Obs.jsx</w:t>
            </w:r>
          </w:p>
        </w:tc>
        <w:tc>
          <w:tcPr>
            <w:tcW w:w="4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C1</w:t>
            </w:r>
          </w:p>
        </w:tc>
      </w:tr>
      <w:tr>
        <w:trPr>
          <w:cantSplit w:val="true"/>
        </w:trPr>
        <w:tc>
          <w:tcPr>
            <w:tcW w:w="4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web/src/components/QForm.jsx</w:t>
            </w:r>
          </w:p>
        </w:tc>
        <w:tc>
          <w:tcPr>
            <w:tcW w:w="4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C2</w:t>
            </w:r>
          </w:p>
        </w:tc>
      </w:tr>
      <w:tr>
        <w:trPr>
          <w:cantSplit w:val="true"/>
        </w:trPr>
        <w:tc>
          <w:tcPr>
            <w:tcW w:w="4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web/src/pages/TrainingPlan.jsx</w:t>
            </w:r>
          </w:p>
        </w:tc>
        <w:tc>
          <w:tcPr>
            <w:tcW w:w="4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C2</w:t>
            </w:r>
          </w:p>
        </w:tc>
      </w:tr>
      <w:tr>
        <w:trPr>
          <w:cantSplit w:val="true"/>
        </w:trPr>
        <w:tc>
          <w:tcPr>
            <w:tcW w:w="4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web/src/components/InlineTable.jsx</w:t>
            </w:r>
          </w:p>
        </w:tc>
        <w:tc>
          <w:tcPr>
            <w:tcW w:w="4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Out-of-catalog (Escape restore)</w:t>
            </w:r>
          </w:p>
        </w:tc>
      </w:tr>
    </w:tbl>
    <w:p>
      <w:pPr>
        <w:pStyle w:val="Heading2"/>
        <w:keepNext w:val="true"/>
        <w:spacing w:before="280" w:after="120"/>
        <w:rPr/>
      </w:pPr>
      <w:bookmarkStart w:id="9" w:name="__RefHeading___Toc166831_2904896170"/>
      <w:bookmarkEnd w:id="9"/>
      <w:r>
        <w:rPr>
          <w:rFonts w:eastAsia="Times New Roman" w:cs="Times New Roman"/>
          <w:b/>
          <w:bCs/>
          <w:color w:val="3A3A3C"/>
          <w:sz w:val="27"/>
          <w:szCs w:val="27"/>
        </w:rPr>
        <w:t>3.7 Deferred findings</w:t>
      </w:r>
    </w:p>
    <w:p>
      <w:pPr>
        <w:pStyle w:val="Normal"/>
        <w:spacing w:lineRule="auto" w:line="276" w:before="0" w:after="120"/>
        <w:jc w:val="both"/>
        <w:rPr/>
      </w:pPr>
      <w:r>
        <w:rPr>
          <w:rFonts w:eastAsia="Times New Roman" w:cs="Times New Roman"/>
          <w:color w:val="58595B"/>
          <w:sz w:val="24"/>
          <w:szCs w:val="24"/>
        </w:rPr>
        <w:t>No findings were deliberately deferred.</w:t>
      </w:r>
    </w:p>
    <w:p>
      <w:pPr>
        <w:pStyle w:val="Heading2"/>
        <w:keepNext w:val="true"/>
        <w:spacing w:before="280" w:after="120"/>
        <w:rPr/>
      </w:pPr>
      <w:bookmarkStart w:id="10" w:name="__RefHeading___Toc166833_2904896170"/>
      <w:bookmarkEnd w:id="10"/>
      <w:r>
        <w:rPr>
          <w:rFonts w:eastAsia="Times New Roman" w:cs="Times New Roman"/>
          <w:b/>
          <w:bCs/>
          <w:color w:val="3A3A3C"/>
          <w:sz w:val="27"/>
          <w:szCs w:val="27"/>
        </w:rPr>
        <w:t>3.8 Out-of-catalog findings</w:t>
      </w:r>
    </w:p>
    <w:tbl>
      <w:tblPr>
        <w:tblW w:w="9746" w:type="dxa"/>
        <w:jc w:val="left"/>
        <w:tblInd w:w="0" w:type="dxa"/>
        <w:tblLayout w:type="fixed"/>
        <w:tblCellMar>
          <w:top w:w="60" w:type="dxa"/>
          <w:left w:w="100" w:type="dxa"/>
          <w:bottom w:w="60" w:type="dxa"/>
          <w:right w:w="100" w:type="dxa"/>
        </w:tblCellMar>
      </w:tblPr>
      <w:tblGrid>
        <w:gridCol w:w="2600"/>
        <w:gridCol w:w="1399"/>
        <w:gridCol w:w="3401"/>
        <w:gridCol w:w="2345"/>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File</w:t>
            </w:r>
          </w:p>
        </w:tc>
        <w:tc>
          <w:tcPr>
            <w:tcW w:w="13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Component</w:t>
            </w:r>
          </w:p>
        </w:tc>
        <w:tc>
          <w:tcPr>
            <w:tcW w:w="34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Description</w:t>
            </w:r>
          </w:p>
        </w:tc>
        <w:tc>
          <w:tcPr>
            <w:tcW w:w="23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Follow-up</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InlineTable.jsx</w:t>
            </w:r>
          </w:p>
        </w:tc>
        <w:tc>
          <w:tcPr>
            <w:tcW w:w="1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Cell</w:t>
            </w:r>
          </w:p>
        </w:tc>
        <w:tc>
          <w:tcPr>
            <w:tcW w:w="3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Escape on an empty new cell did not restore the empty value (start value undefined)</w:t>
            </w:r>
          </w:p>
        </w:tc>
        <w:tc>
          <w:tcPr>
            <w:tcW w:w="23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Start value normalized to an empty string; focus test T3 passes</w:t>
            </w:r>
          </w:p>
        </w:tc>
      </w:tr>
    </w:tbl>
    <w:p>
      <w:pPr>
        <w:pStyle w:val="Heading2"/>
        <w:keepNext w:val="true"/>
        <w:spacing w:before="280" w:after="120"/>
        <w:rPr/>
      </w:pPr>
      <w:bookmarkStart w:id="11" w:name="__RefHeading___Toc166835_2904896170"/>
      <w:bookmarkEnd w:id="11"/>
      <w:r>
        <w:rPr>
          <w:rFonts w:eastAsia="Times New Roman" w:cs="Times New Roman"/>
          <w:b/>
          <w:bCs/>
          <w:color w:val="3A3A3C"/>
          <w:sz w:val="27"/>
          <w:szCs w:val="27"/>
        </w:rPr>
        <w:t>3.9 Causes not found</w:t>
      </w:r>
    </w:p>
    <w:p>
      <w:pPr>
        <w:pStyle w:val="Normal"/>
        <w:spacing w:lineRule="auto" w:line="276" w:before="0" w:after="120"/>
        <w:jc w:val="both"/>
        <w:rPr/>
      </w:pPr>
      <w:r>
        <w:rPr>
          <w:rFonts w:eastAsia="Times New Roman" w:cs="Times New Roman"/>
          <w:color w:val="58595B"/>
          <w:sz w:val="24"/>
          <w:szCs w:val="24"/>
        </w:rPr>
        <w:t>C4, C5, C6, C7, C9, C10, C11, C12, C13, C14, C15, C16, C17, C18, C20, C21, C22, C23: checked; no instance found.</w:t>
      </w:r>
    </w:p>
    <w:p>
      <w:pPr>
        <w:pStyle w:val="Heading2"/>
        <w:keepNext w:val="true"/>
        <w:spacing w:before="280" w:after="120"/>
        <w:rPr/>
      </w:pPr>
      <w:bookmarkStart w:id="12" w:name="__RefHeading___Toc166837_2904896170"/>
      <w:bookmarkEnd w:id="12"/>
      <w:r>
        <w:rPr>
          <w:rFonts w:eastAsia="Times New Roman" w:cs="Times New Roman"/>
          <w:b/>
          <w:bCs/>
          <w:color w:val="3A3A3C"/>
          <w:sz w:val="27"/>
          <w:szCs w:val="27"/>
        </w:rPr>
        <w:t>3.10 Final verification</w:t>
      </w:r>
    </w:p>
    <w:p>
      <w:pPr>
        <w:pStyle w:val="Normal"/>
        <w:spacing w:lineRule="auto" w:line="276" w:before="0" w:after="120"/>
        <w:jc w:val="both"/>
        <w:rPr/>
      </w:pPr>
      <w:r>
        <w:rPr>
          <w:rFonts w:eastAsia="Times New Roman" w:cs="Times New Roman"/>
          <w:color w:val="58595B"/>
          <w:sz w:val="24"/>
          <w:szCs w:val="24"/>
        </w:rPr>
        <w:t>The touched areas were re-scanned for index keys on editable rows, focus and blur calls in effects, components defined during rendering, nullable controlled values and event ordering around editors and popovers. The remaining index keys are on read-only lists (history, references, rule issues). The focus tests and the three-language crawler were run again on the final build: 12 of 12 checks pass and no page error is reported.</w:t>
      </w:r>
    </w:p>
    <w:p>
      <w:pPr>
        <w:pStyle w:val="Heading2"/>
        <w:keepNext w:val="true"/>
        <w:spacing w:before="280" w:after="120"/>
        <w:rPr/>
      </w:pPr>
      <w:bookmarkStart w:id="13" w:name="__RefHeading___Toc166839_2904896170"/>
      <w:bookmarkEnd w:id="13"/>
      <w:r>
        <w:rPr>
          <w:rFonts w:eastAsia="Times New Roman" w:cs="Times New Roman"/>
          <w:b/>
          <w:bCs/>
          <w:color w:val="3A3A3C"/>
          <w:sz w:val="27"/>
          <w:szCs w:val="27"/>
        </w:rPr>
        <w:t>3.11 Behavioral-scope confirmation</w:t>
      </w:r>
    </w:p>
    <w:p>
      <w:pPr>
        <w:pStyle w:val="Normal"/>
        <w:spacing w:lineRule="auto" w:line="276" w:before="0" w:after="120"/>
        <w:jc w:val="both"/>
        <w:rPr/>
      </w:pPr>
      <w:r>
        <w:rPr>
          <w:rFonts w:eastAsia="Times New Roman" w:cs="Times New Roman"/>
          <w:color w:val="58595B"/>
          <w:sz w:val="24"/>
          <w:szCs w:val="24"/>
        </w:rPr>
        <w:t>No behavior changed other than what corrects typing, focus and input-integrity defects: the tree nodes render the same markup, the stable keys do not change the stored data, and Escape now restores an empty cell as it already did for a filled one.</w:t>
      </w:r>
      <w:r>
        <w:br w:type="page"/>
      </w:r>
    </w:p>
    <w:p>
      <w:pPr>
        <w:pStyle w:val="Heading1"/>
        <w:pBdr>
          <w:bottom w:val="single" w:sz="8" w:space="4" w:color="F8931D"/>
        </w:pBdr>
        <w:spacing w:before="0" w:after="200"/>
        <w:rPr/>
      </w:pPr>
      <w:bookmarkStart w:id="14" w:name="__RefHeading___Toc166841_2904896170"/>
      <w:bookmarkEnd w:id="14"/>
      <w:r>
        <w:rPr>
          <w:rFonts w:eastAsia="Times New Roman" w:cs="Times New Roman"/>
          <w:b/>
          <w:bCs/>
          <w:color w:val="E07B00"/>
          <w:sz w:val="34"/>
          <w:szCs w:val="34"/>
        </w:rPr>
        <w:t>4. Graphical chart and conformance notes</w:t>
      </w:r>
    </w:p>
    <w:p>
      <w:pPr>
        <w:pStyle w:val="Normal"/>
        <w:spacing w:lineRule="auto" w:line="276" w:before="0" w:after="120"/>
        <w:jc w:val="both"/>
        <w:rPr/>
      </w:pPr>
      <w:r>
        <w:rPr>
          <w:rFonts w:eastAsia="Times New Roman" w:cs="Times New Roman"/>
          <w:color w:val="58595B"/>
          <w:sz w:val="24"/>
          <w:szCs w:val="24"/>
        </w:rPr>
        <w:t>The application and every document it generates follow the AI Value Graphical Chart 1.2 as restated in SRS v1.10 Appendix J. The design tokens (web/src/styles/tokens.css) carry the Appendix J values unchanged, and the server exporters read the same palette from server/src/services/brand.js.</w:t>
      </w:r>
    </w:p>
    <w:tbl>
      <w:tblPr>
        <w:tblW w:w="9746" w:type="dxa"/>
        <w:jc w:val="left"/>
        <w:tblInd w:w="0" w:type="dxa"/>
        <w:tblLayout w:type="fixed"/>
        <w:tblCellMar>
          <w:top w:w="60" w:type="dxa"/>
          <w:left w:w="100" w:type="dxa"/>
          <w:bottom w:w="60" w:type="dxa"/>
          <w:right w:w="100" w:type="dxa"/>
        </w:tblCellMar>
      </w:tblPr>
      <w:tblGrid>
        <w:gridCol w:w="2699"/>
        <w:gridCol w:w="3600"/>
        <w:gridCol w:w="3447"/>
      </w:tblGrid>
      <w:tr>
        <w:trPr>
          <w:tblHeader w:val="true"/>
          <w:cantSplit w:val="true"/>
        </w:trPr>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SRS token or rule</w:t>
            </w:r>
          </w:p>
        </w:tc>
        <w:tc>
          <w:tcPr>
            <w:tcW w:w="3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Value used</w:t>
            </w:r>
          </w:p>
        </w:tc>
        <w:tc>
          <w:tcPr>
            <w:tcW w:w="34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Where</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--aiv-navy / navy-dark</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#123A5F / #0D2A47</w:t>
            </w:r>
          </w:p>
        </w:tc>
        <w:tc>
          <w:tcPr>
            <w:tcW w:w="3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Titles, headings, eyebrow labels, table headers, hover state of primary buttons</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--aiv-azure</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#1876C6</w:t>
            </w:r>
          </w:p>
        </w:tc>
        <w:tc>
          <w:tcPr>
            <w:tcW w:w="3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Primary buttons, links underline, selected tabs, check boxes, focus ring (35 %)</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--aiv-green / teal</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#28C87C / #17A2B8</w:t>
            </w:r>
          </w:p>
        </w:tc>
        <w:tc>
          <w:tcPr>
            <w:tcW w:w="3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Toggles when on, success, chart series; never small text</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--aiv-ink / muted</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#2C3E50 / #5A6B7B</w:t>
            </w:r>
          </w:p>
        </w:tc>
        <w:tc>
          <w:tcPr>
            <w:tcW w:w="3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Body text and secondary text</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--aiv-bg / line</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#F5F8FB / #E1E8F0</w:t>
            </w:r>
          </w:p>
        </w:tc>
        <w:tc>
          <w:tcPr>
            <w:tcW w:w="3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Page background, alternate table rows, borders and grid lines</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Gradient Azure → Teal → Green</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Logo swoosh; one cover band per generated document</w:t>
            </w:r>
          </w:p>
        </w:tc>
        <w:tc>
          <w:tcPr>
            <w:tcW w:w="3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Never on data or text</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Status scale</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#F4C7C3 → #B6D7A8</w:t>
            </w:r>
          </w:p>
        </w:tc>
        <w:tc>
          <w:tcPr>
            <w:tcW w:w="3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Scores, RAG health and heatmaps only</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Typography</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Montserrat headings, Open Sans body (bundled, embedded in PDF and Word)</w:t>
            </w:r>
          </w:p>
        </w:tc>
        <w:tc>
          <w:tcPr>
            <w:tcW w:w="3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Application and generated documents</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Logos (NFR-DA-VDS-19)</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CortexSkills lockup in the 64 px top bar (≥ 150 px), sign-in and response pages, document headers (35 mm); icon for favicon; AI Value lockup on sign-in, navigation and document covers</w:t>
            </w:r>
          </w:p>
        </w:tc>
        <w:tc>
          <w:tcPr>
            <w:tcW w:w="3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Never recolored, stretched or shadowed</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Generated documents (NFR-DA-VDS-20)</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Open Sans 11 pt Ink, Montserrat Navy headings, Navy table header rows, alternating White and Background rows, 2 cm margins, A4 default and Letter option</w:t>
            </w:r>
          </w:p>
        </w:tc>
        <w:tc>
          <w:tcPr>
            <w:tcW w:w="3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Word, PDF, Excel</w:t>
            </w:r>
          </w:p>
        </w:tc>
      </w:tr>
      <w:tr>
        <w:trPr>
          <w:cantSplit w:val="true"/>
        </w:trPr>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Known gap</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Logo artwork supplied as raster images</w:t>
            </w:r>
          </w:p>
        </w:tc>
        <w:tc>
          <w:tcPr>
            <w:tcW w:w="3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logo is placed at 300 dpi until vector artwork (SVG or EPS) is provided (NFR-DA-VDS-20 partial)</w:t>
            </w:r>
          </w:p>
        </w:tc>
      </w:tr>
    </w:tbl>
    <w:p>
      <w:pPr>
        <w:pStyle w:val="Heading1"/>
        <w:pBdr>
          <w:bottom w:val="single" w:sz="8" w:space="4" w:color="F8931D"/>
        </w:pBdr>
        <w:spacing w:before="0" w:after="200"/>
        <w:rPr/>
      </w:pPr>
      <w:r>
        <w:br w:type="page"/>
      </w:r>
      <w:bookmarkStart w:id="15" w:name="__RefHeading___Toc166843_2904896170"/>
      <w:bookmarkEnd w:id="15"/>
      <w:r>
        <w:rPr>
          <w:rFonts w:eastAsia="Times New Roman" w:cs="Times New Roman"/>
          <w:b/>
          <w:bCs/>
          <w:color w:val="E07B00"/>
          <w:sz w:val="34"/>
          <w:szCs w:val="34"/>
        </w:rPr>
        <w:t>5. Requirement traceability</w:t>
      </w:r>
    </w:p>
    <w:p>
      <w:pPr>
        <w:pStyle w:val="Normal"/>
        <w:spacing w:lineRule="auto" w:line="276" w:before="0" w:after="120"/>
        <w:jc w:val="both"/>
        <w:rPr/>
      </w:pPr>
      <w:r>
        <w:rPr>
          <w:rFonts w:eastAsia="Times New Roman" w:cs="Times New Roman"/>
          <w:color w:val="58595B"/>
          <w:sz w:val="24"/>
          <w:szCs w:val="24"/>
        </w:rPr>
        <w:t>The traceability screen (Administration › Traceability) and the Coverage Checklist list all 580 requirements with their evidence. The table below lists those not fully met by the application itself.</w:t>
      </w:r>
    </w:p>
    <w:tbl>
      <w:tblPr>
        <w:tblW w:w="9746" w:type="dxa"/>
        <w:jc w:val="left"/>
        <w:tblInd w:w="0" w:type="dxa"/>
        <w:tblLayout w:type="fixed"/>
        <w:tblCellMar>
          <w:top w:w="60" w:type="dxa"/>
          <w:left w:w="100" w:type="dxa"/>
          <w:bottom w:w="60" w:type="dxa"/>
          <w:right w:w="100" w:type="dxa"/>
        </w:tblCellMar>
      </w:tblPr>
      <w:tblGrid>
        <w:gridCol w:w="2199"/>
        <w:gridCol w:w="1800"/>
        <w:gridCol w:w="5747"/>
      </w:tblGrid>
      <w:tr>
        <w:trPr>
          <w:tblHeader w:val="true"/>
          <w:cantSplit w:val="true"/>
        </w:trPr>
        <w:tc>
          <w:tcPr>
            <w:tcW w:w="21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Requirement</w:t>
            </w:r>
          </w:p>
        </w:tc>
        <w:tc>
          <w:tcPr>
            <w:tcW w:w="18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Status</w:t>
            </w:r>
          </w:p>
        </w:tc>
        <w:tc>
          <w:tcPr>
            <w:tcW w:w="5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Evidence</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FR-DA-ONB-02</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Spreadsheet/CSV import with validation and rejected-line reasons; legacy-system and cloud-storage import go through the integration registry.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FR-DA-OPS-07</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Two full runs per organization (Digital and AI) instead of ten instances of each E2E process; every E2E process is instantiated in every run.</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FR-DA-PKG-03</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Upgrade and downgrade keep all data and show a prorated amount; invoicing is outside the application.</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FR-DA-PKG-04</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Pack and bundle reports are produced from licence and quota data; revenue figures need the billing system.</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FR-DA-VDT-02</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JSON, CSV, XML (BPMN) and PDF exchange provided; STEP/IGES/JT files are accepted as attachments, not parsed.</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FR-DA-VIN-01</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REST and file-based connectors through the integration registry; SOAP/GraphQL connectors are configuration of the registry, not bundled.</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NFR-DA-DATA-02</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NFR-DA-MAINT-06</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Guides are generated from source in Word and PDF with an automatic TOC; walkthrough replay is scripted in tools, run at release.</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NFR-DA-PERF-06</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NFR-DA-PERF-07</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NFR-DA-PERF-08</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NFR-DA-PORT-03</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 CI workflow for Linux, Windows and macOS is provided in .github/workflows; it runs when the repository is hosted on GitHub.</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NFR-DA-REL-02</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NFR-DA-REL-04</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NFR-DA-REL-06</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NFR-DA-SCALE-01</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NFR-DA-SCALE-03</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NFR-DA-SCALE-04</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NFR-DA-SEC-14</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SSO is registered as an external integration (INT-SSO-01); SAML/OIDC login and MFA need an identity provider at deployment.</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NFR-DA-SEC-16</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NFR-DA-UX-10</w:t>
            </w:r>
          </w:p>
        </w:tc>
        <w:tc>
          <w:tcPr>
            <w:tcW w:w="1800"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Deployment responsibility</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Target for the production hosting (sizing, uptime, encryption at rest, residency).</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NFR-DA-VDS-20</w:t>
            </w:r>
          </w:p>
        </w:tc>
        <w:tc>
          <w:tcPr>
            <w:tcW w:w="1800"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Partial</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Word, PDF and Excel exports use Open Sans 11 pt Ink body, Montserrat Navy headings, Navy table header rows, alternating White and Background rows, 2 cm margins, A4 by default and Letter as an option; fonts are embedded in Word and PDF; spreadsheets use the Status Scale only (server/src/services/brand.js, docexport.js). The logo files supplied are raster images, so the logo is placed as a high-resolution bitmap until vector artwork is provided.</w:t>
            </w:r>
          </w:p>
        </w:tc>
      </w:tr>
    </w:tbl>
    <w:p>
      <w:pPr>
        <w:pStyle w:val="Normal"/>
        <w:spacing w:before="0" w:after="120"/>
        <w:rPr/>
      </w:pPr>
      <w:r>
        <w:rPr/>
      </w:r>
    </w:p>
    <w:p>
      <w:pPr>
        <w:pStyle w:val="Heading2"/>
        <w:keepNext w:val="true"/>
        <w:spacing w:before="280" w:after="120"/>
        <w:rPr/>
      </w:pPr>
      <w:bookmarkStart w:id="16" w:name="__RefHeading___Toc166845_2904896170"/>
      <w:bookmarkEnd w:id="16"/>
      <w:r>
        <w:rPr>
          <w:rFonts w:eastAsia="Times New Roman" w:cs="Times New Roman"/>
          <w:b/>
          <w:bCs/>
          <w:color w:val="3A3A3C"/>
          <w:sz w:val="27"/>
          <w:szCs w:val="27"/>
        </w:rPr>
        <w:t>Requirements by family</w:t>
      </w:r>
    </w:p>
    <w:tbl>
      <w:tblPr>
        <w:tblW w:w="9746" w:type="dxa"/>
        <w:jc w:val="left"/>
        <w:tblInd w:w="0" w:type="dxa"/>
        <w:tblLayout w:type="fixed"/>
        <w:tblCellMar>
          <w:top w:w="60" w:type="dxa"/>
          <w:left w:w="100" w:type="dxa"/>
          <w:bottom w:w="60" w:type="dxa"/>
          <w:right w:w="100" w:type="dxa"/>
        </w:tblCellMar>
      </w:tblPr>
      <w:tblGrid>
        <w:gridCol w:w="2400"/>
        <w:gridCol w:w="2399"/>
        <w:gridCol w:w="2401"/>
        <w:gridCol w:w="2545"/>
      </w:tblGrid>
      <w:tr>
        <w:trPr>
          <w:tblHeader w:val="true"/>
          <w:cantSplit w:val="true"/>
        </w:trPr>
        <w:tc>
          <w:tcPr>
            <w:tcW w:w="24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Family</w:t>
            </w:r>
          </w:p>
        </w:tc>
        <w:tc>
          <w:tcPr>
            <w:tcW w:w="23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Requirements</w:t>
            </w:r>
          </w:p>
        </w:tc>
        <w:tc>
          <w:tcPr>
            <w:tcW w:w="24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Met</w:t>
            </w:r>
          </w:p>
        </w:tc>
        <w:tc>
          <w:tcPr>
            <w:tcW w:w="25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Other</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AFP</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5</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AI</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20</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20</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AIP</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16</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16</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ALT</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AST</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ATT</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6</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6</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AUD</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5</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BMK</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9</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9</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BPMN</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CFG</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14</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14</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CHK</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COMM</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COMP</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COMPAT</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DATA</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2</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DCR</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10</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DEU</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DFP</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DGC</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13</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13</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DOC</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11</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11</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FOC</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13</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13</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GOV</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10</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GTE</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HLP</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KB</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LNK</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MAINT</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9</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MRE</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14</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14</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NAM</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NAV</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20</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20</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OBS</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ONB</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OPS</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9</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PCM</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PDM</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11</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11</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PERF</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12</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9</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PFO</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PKG</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PNL</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PORT</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PTB</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PTC</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QLT</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15</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15</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RBAC</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10</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REL</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REP</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REX</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SCALE</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SCO</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SEC</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20</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18</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SFM</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SRCH</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STA</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7</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TBL</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TEN</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16</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16</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TPL</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9</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9</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UX</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19</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18</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VCF</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VCP</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VDS</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21</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20</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VDT</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3</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VER</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9</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9</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VIN</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2</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1</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VIZ</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VPR</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9</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9</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VRT</w:t>
            </w:r>
          </w:p>
        </w:tc>
        <w:tc>
          <w:tcPr>
            <w:tcW w:w="2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10</w:t>
            </w:r>
          </w:p>
        </w:tc>
        <w:tc>
          <w:tcPr>
            <w:tcW w:w="25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0</w:t>
            </w:r>
          </w:p>
        </w:tc>
      </w:tr>
      <w:tr>
        <w:trPr>
          <w:cantSplit w:val="true"/>
        </w:trPr>
        <w:tc>
          <w:tcPr>
            <w:tcW w:w="2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WBS</w:t>
            </w:r>
          </w:p>
        </w:tc>
        <w:tc>
          <w:tcPr>
            <w:tcW w:w="2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6</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6</w:t>
            </w:r>
          </w:p>
        </w:tc>
        <w:tc>
          <w:tcPr>
            <w:tcW w:w="25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500" w:top="1080" w:footer="50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Footer"/>
      <w:tabs>
        <w:tab w:val="clear" w:pos="720"/>
        <w:tab w:val="right" w:pos="9746" w:leader="none"/>
      </w:tabs>
      <w:rPr/>
    </w:pPr>
    <w:r>
      <w:rPr>
        <w:rFonts w:eastAsia="Times New Roman" w:cs="Times New Roman"/>
        <w:color w:val="808184"/>
        <w:sz w:val="17"/>
        <w:szCs w:val="17"/>
      </w:rPr>
      <w:t>POWERACT Consulting · CortexSkills — Conformance Report</w:t>
    </w:r>
    <w:r>
      <w:rPr>
        <w:rFonts w:eastAsia="Times New Roman" w:cs="Times New Roman"/>
      </w:rPr>
      <w:tab/>
    </w:r>
    <w:r>
      <w:rPr>
        <w:rFonts w:eastAsia="Times New Roman" w:cs="Times New Roman"/>
        <w:color w:val="808184"/>
        <w:sz w:val="17"/>
        <w:szCs w:val="17"/>
      </w:rPr>
      <w:t xml:space="preserve">Page </w:t>
    </w:r>
    <w:r>
      <w:rPr/>
      <w:fldChar w:fldCharType="begin"/>
    </w:r>
    <w:r>
      <w:rPr/>
      <w:instrText xml:space="preserve"> PAGE </w:instrText>
    </w:r>
    <w:r>
      <w:rPr/>
      <w:fldChar w:fldCharType="separate"/>
    </w:r>
    <w:r>
      <w:rPr/>
      <w:t>14</w:t>
    </w:r>
    <w:r>
      <w:rPr/>
      <w:fldChar w:fldCharType="end"/>
    </w:r>
    <w:r>
      <w:rPr>
        <w:rFonts w:eastAsia="Times New Roman" w:cs="Times New Roman"/>
        <w:color w:val="808184"/>
        <w:sz w:val="17"/>
        <w:szCs w:val="17"/>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pPr>
    <w:r>
      <w:rPr>
        <w:rFonts w:eastAsia="Times New Roman" w:cs="Times New Roman"/>
        <w:color w:val="808184"/>
        <w:sz w:val="17"/>
        <w:szCs w:val="17"/>
      </w:rPr>
      <w:t>CortexSkills 1.10.0 · Conformance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58595B"/>
        <w:sz w:val="24"/>
        <w:szCs w:val="24"/>
        <w:lang w:val="en-GB"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Times New Roman" w:hAnsi="Times New Roman" w:eastAsia="Times New Roman" w:cs="Times New Roman"/>
      <w:color w:val="58595B"/>
      <w:kern w:val="0"/>
      <w:sz w:val="24"/>
      <w:szCs w:val="24"/>
      <w:lang w:val="en-GB"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olor w:val="E07B00"/>
      <w:sz w:val="34"/>
      <w:szCs w:val="34"/>
    </w:rPr>
  </w:style>
  <w:style w:type="paragraph" w:styleId="Heading2">
    <w:name w:val="Heading 2"/>
    <w:basedOn w:val="Normal"/>
    <w:next w:val="Normal"/>
    <w:qFormat/>
    <w:pPr>
      <w:spacing w:before="280" w:after="120"/>
      <w:outlineLvl w:val="1"/>
    </w:pPr>
    <w:rPr>
      <w:rFonts w:ascii="Times New Roman" w:hAnsi="Times New Roman" w:eastAsia="Times New Roman" w:cs="Times New Roman"/>
      <w:b/>
      <w:bCs/>
      <w:color w:val="3A3A3C"/>
      <w:sz w:val="27"/>
      <w:szCs w:val="27"/>
    </w:rPr>
  </w:style>
  <w:style w:type="paragraph" w:styleId="Heading3">
    <w:name w:val="Heading 3"/>
    <w:basedOn w:val="Normal"/>
    <w:next w:val="Normal"/>
    <w:qFormat/>
    <w:pPr>
      <w:spacing w:before="220" w:after="80"/>
      <w:outlineLvl w:val="2"/>
    </w:pPr>
    <w:rPr>
      <w:rFonts w:ascii="Times New Roman" w:hAnsi="Times New Roman" w:eastAsia="Times New Roman" w:cs="Times New Roman"/>
      <w:b/>
      <w:bCs/>
      <w:color w:val="E07B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PAFooter">
    <w:name w:val="PA Footer"/>
    <w:basedOn w:val="Normal"/>
    <w:qFormat/>
    <w:pPr>
      <w:spacing w:before="0" w:after="0"/>
    </w:pPr>
    <w:rPr>
      <w:rFonts w:ascii="Times New Roman" w:hAnsi="Times New Roman" w:eastAsia="Times New Roman" w:cs="Times New Roman"/>
      <w:color w:val="808184"/>
      <w:sz w:val="17"/>
      <w:szCs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2026-10-07T00:00:07Z</dcterms:created>
  <dc:creator>POWERACT Consulting</dc:creator>
  <dc:description>CortexSkills — Conformance Report</dc:description>
  <dc:language>en-US</dc:language>
  <cp:lastModifiedBy/>
  <dcterms:modified xsi:type="dcterms:W3CDTF">2026-10-07T00:01:26Z</dcterms:modified>
  <cp:revision>2</cp:revision>
  <dc:subject/>
  <dc:title>CortexSkills — Conformance Report</dc:title>
</cp:coreProperties>
</file>