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Times New Roman" w:cs="Times New Roman" w:eastAsia="Times New Roman" w:hAnsi="Times New Roman"/>
          <w:b/>
          <w:bCs/>
          <w:color w:val="E07B00"/>
          <w:spacing w:val="20"/>
          <w:sz w:val="22"/>
          <w:szCs w:val="22"/>
        </w:rPr>
        <w:t xml:space="preserve">POWERACT CONSULTING</w:t>
      </w:r>
    </w:p>
    <w:p>
      <w:pPr>
        <w:spacing w:after="0" w:before="400"/>
        <w:jc w:val="center"/>
      </w:pPr>
      <w:r>
        <w:rPr>
          <w:rFonts w:ascii="Times New Roman" w:cs="Times New Roman" w:eastAsia="Times New Roman" w:hAnsi="Times New Roman"/>
          <w:b/>
          <w:bCs/>
          <w:color w:val="3A3A3C"/>
          <w:sz w:val="72"/>
          <w:szCs w:val="72"/>
        </w:rPr>
        <w:t xml:space="preserve">NCP Solver</w:t>
      </w:r>
    </w:p>
    <w:p>
      <w:pPr>
        <w:spacing w:after="500" w:before="100"/>
        <w:jc w:val="center"/>
      </w:pPr>
      <w:r>
        <w:rPr>
          <w:rFonts w:ascii="Times New Roman" w:cs="Times New Roman" w:eastAsia="Times New Roman" w:hAnsi="Times New Roman"/>
          <w:b/>
          <w:bCs/>
          <w:color w:val="F8931D"/>
          <w:sz w:val="36"/>
          <w:szCs w:val="36"/>
        </w:rPr>
        <w:t xml:space="preserve">DynamicMS Suite</w:t>
      </w:r>
    </w:p>
    <w:p>
      <w:pPr>
        <w:spacing w:after="100" w:before="200"/>
        <w:jc w:val="center"/>
      </w:pPr>
      <w:r>
        <w:rPr>
          <w:rFonts w:ascii="Times New Roman" w:cs="Times New Roman" w:eastAsia="Times New Roman" w:hAnsi="Times New Roman"/>
          <w:b/>
          <w:bCs/>
          <w:color w:val="3A3A3C"/>
          <w:spacing w:val="10"/>
          <w:sz w:val="30"/>
          <w:szCs w:val="30"/>
        </w:rPr>
        <w:t xml:space="preserve">SOFTWARE REQUIREMENTS SPECIFICATION</w:t>
      </w:r>
    </w:p>
    <w:p>
      <w:pPr>
        <w:spacing w:after="900" w:before="0"/>
        <w:jc w:val="center"/>
      </w:pPr>
      <w:r>
        <w:rPr>
          <w:rFonts w:ascii="Times New Roman" w:cs="Times New Roman" w:eastAsia="Times New Roman" w:hAnsi="Times New Roman"/>
          <w:i/>
          <w:iCs/>
          <w:color w:val="58595B"/>
          <w:sz w:val="24"/>
          <w:szCs w:val="24"/>
        </w:rPr>
        <w:t xml:space="preserve">Functional &amp; Non-Functional Requirements, and Interfaces</w:t>
      </w:r>
    </w:p>
    <w:p>
      <w:pPr>
        <w:spacing w:before="200"/>
        <w:jc w:val="center"/>
      </w:pPr>
      <w:r>
        <w:rPr>
          <w:rFonts w:ascii="Times New Roman" w:cs="Times New Roman" w:eastAsia="Times New Roman" w:hAnsi="Times New Roman"/>
          <w:color w:val="58595B"/>
          <w:sz w:val="22"/>
          <w:szCs w:val="22"/>
        </w:rPr>
        <w:t xml:space="preserve">Version 1.0</w:t>
      </w:r>
    </w:p>
    <w:p>
      <w:pPr>
        <w:spacing w:before="80"/>
        <w:jc w:val="center"/>
      </w:pPr>
      <w:r>
        <w:rPr>
          <w:rFonts w:ascii="Times New Roman" w:cs="Times New Roman" w:eastAsia="Times New Roman" w:hAnsi="Times New Roman"/>
          <w:color w:val="58595B"/>
          <w:sz w:val="22"/>
          <w:szCs w:val="22"/>
        </w:rPr>
        <w:t xml:space="preserve">September 2026</w:t>
      </w:r>
    </w:p>
    <w:p>
      <w:pPr>
        <w:spacing w:before="80"/>
        <w:jc w:val="center"/>
      </w:pPr>
      <w:r>
        <w:rPr>
          <w:rFonts w:ascii="Times New Roman" w:cs="Times New Roman" w:eastAsia="Times New Roman" w:hAnsi="Times New Roman"/>
          <w:b/>
          <w:bCs/>
          <w:color w:val="E07B00"/>
          <w:sz w:val="22"/>
          <w:szCs w:val="22"/>
        </w:rPr>
        <w:t xml:space="preserve">Confidential</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1. Introduction</w:t>
      </w:r>
    </w:p>
    <w:p>
      <w:pPr>
        <w:pStyle w:val="Heading2"/>
        <w:spacing w:after="140" w:before="300"/>
      </w:pPr>
      <w:r>
        <w:rPr>
          <w:rFonts w:ascii="Times New Roman" w:cs="Times New Roman" w:eastAsia="Times New Roman" w:hAnsi="Times New Roman"/>
          <w:b/>
          <w:bCs/>
          <w:color w:val="3A3A3C"/>
          <w:sz w:val="27"/>
          <w:szCs w:val="27"/>
        </w:rPr>
        <w:t xml:space="preserve">1.1 Purpose</w:t>
      </w:r>
    </w:p>
    <w:p>
      <w:pPr>
        <w:spacing w:after="160" w:line="276"/>
        <w:jc w:val="both"/>
      </w:pPr>
      <w:r>
        <w:rPr>
          <w:rFonts w:ascii="Times New Roman" w:cs="Times New Roman" w:eastAsia="Times New Roman" w:hAnsi="Times New Roman"/>
          <w:color w:val="58595B"/>
          <w:sz w:val="24"/>
          <w:szCs w:val="24"/>
        </w:rPr>
        <w:t xml:space="preserve">This Software Requirements Specification (SRS) captures the complete set of functional and non-functional requirements, and the external interfaces, of NCP Solver — DynamicMS Suite. It is derived from, and traceable to, the NCP Solver project scope, definition &amp; design (PDD), information model, and knowledge-base source specifications, and from the delivered implementation itself. It is intended for product owners, developers, quality assurance, and auditors.</w:t>
      </w:r>
    </w:p>
    <w:p>
      <w:pPr>
        <w:pStyle w:val="Heading2"/>
        <w:spacing w:after="140" w:before="300"/>
      </w:pPr>
      <w:r>
        <w:rPr>
          <w:rFonts w:ascii="Times New Roman" w:cs="Times New Roman" w:eastAsia="Times New Roman" w:hAnsi="Times New Roman"/>
          <w:b/>
          <w:bCs/>
          <w:color w:val="3A3A3C"/>
          <w:sz w:val="27"/>
          <w:szCs w:val="27"/>
        </w:rPr>
        <w:t xml:space="preserve">1.2 Scope</w:t>
      </w:r>
    </w:p>
    <w:p>
      <w:pPr>
        <w:spacing w:after="160" w:line="276"/>
        <w:jc w:val="both"/>
      </w:pPr>
      <w:r>
        <w:rPr>
          <w:rFonts w:ascii="Times New Roman" w:cs="Times New Roman" w:eastAsia="Times New Roman" w:hAnsi="Times New Roman"/>
          <w:color w:val="58595B"/>
          <w:sz w:val="24"/>
          <w:szCs w:val="24"/>
        </w:rPr>
        <w:t xml:space="preserve">NCP Solver is a full-stack, multi-tenant, multi-language web application that manages non-conformities and problems (recorded as "NCP Sheets") through a structured seven-stage resolution process (E1-E7), augmented by rule-based AI agents, and surrounded by governance, risk, and compliance (GRC) modules: Business Rules, Controls (COSO framework), and Risks &amp; Opportunities, plus an independently versioned AI Use Cases Library. The application supports both independent-company and group-of-companies tenancy models, role-based access control across nine standard roles, and English/French/Arabic localization including full right-to-left layout.</w:t>
      </w:r>
    </w:p>
    <w:p>
      <w:pPr>
        <w:pStyle w:val="Heading2"/>
        <w:spacing w:after="140" w:before="300"/>
      </w:pPr>
      <w:r>
        <w:rPr>
          <w:rFonts w:ascii="Times New Roman" w:cs="Times New Roman" w:eastAsia="Times New Roman" w:hAnsi="Times New Roman"/>
          <w:b/>
          <w:bCs/>
          <w:color w:val="3A3A3C"/>
          <w:sz w:val="27"/>
          <w:szCs w:val="27"/>
        </w:rPr>
        <w:t xml:space="preserve">1.3 Definitions, Acronyms, and Abbreviations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E1-E7 (referred to as "NCP Fiche" in the original source specification).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E1-E7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Understanding, Immediate Actions, Root Cause Analysis, Corrective Action Plan, Execution &amp; Evaluation, Capitalization.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Realisation - the user responsible for executing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Evaluation - the user responsible for verifying an action's effectiveness; must differ from the RR.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semantic search over the Capitalization Library grounding AI suggestions in the tenant's own historical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1.4 References</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Fast-Track Project Scope (source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AI Project Definition &amp; Design (PDD) v1.0.</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Information Model (core classes / entity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Knowledge Base for RAG v1.0 (KB-000 through KB-021).</w:t>
      </w:r>
    </w:p>
    <w:p>
      <w:pPr>
        <w:pStyle w:val="ListParagraph"/>
        <w:numPr>
          <w:ilvl w:val="0"/>
          <w:numId w:val="2"/>
        </w:numPr>
        <w:spacing w:after="80"/>
      </w:pPr>
      <w:r>
        <w:rPr>
          <w:rFonts w:ascii="Times New Roman" w:cs="Times New Roman" w:eastAsia="Times New Roman" w:hAnsi="Times New Roman"/>
          <w:color w:val="58595B"/>
          <w:sz w:val="24"/>
          <w:szCs w:val="24"/>
        </w:rPr>
        <w:t xml:space="preserve">NCP-Solver: Global CIO Forum Use Case presentation, Fast-Track edition.</w:t>
      </w:r>
    </w:p>
    <w:p>
      <w:pPr>
        <w:pStyle w:val="ListParagraph"/>
        <w:numPr>
          <w:ilvl w:val="0"/>
          <w:numId w:val="2"/>
        </w:numPr>
        <w:spacing w:after="80"/>
      </w:pPr>
      <w:r>
        <w:rPr>
          <w:rFonts w:ascii="Times New Roman" w:cs="Times New Roman" w:eastAsia="Times New Roman" w:hAnsi="Times New Roman"/>
          <w:color w:val="58595B"/>
          <w:sz w:val="24"/>
          <w:szCs w:val="24"/>
        </w:rPr>
        <w:t xml:space="preserve">POWERACT Consulting - Brand &amp; Graphical Chart Guide v1.0.</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1.5 Document Overview</w:t>
      </w:r>
    </w:p>
    <w:p>
      <w:pPr>
        <w:spacing w:after="160" w:line="276"/>
        <w:jc w:val="both"/>
      </w:pPr>
      <w:r>
        <w:rPr>
          <w:rFonts w:ascii="Times New Roman" w:cs="Times New Roman" w:eastAsia="Times New Roman" w:hAnsi="Times New Roman"/>
          <w:color w:val="58595B"/>
          <w:sz w:val="24"/>
          <w:szCs w:val="24"/>
        </w:rPr>
        <w:t xml:space="preserve">Section 2 describes the product at a high level. Section 3 enumerates functional requirements by module, each individually identified (FR-xxx) for traceability. Section 4 defines external interfaces (user, software, and communications). Section 5 defines non-functional requirements (NFR-xxx). Section 6 summarizes the data model. Appendices provide the permission matrix, KPI formulas, alert catalog, and a full glossary.</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2. Overall Description</w:t>
      </w:r>
    </w:p>
    <w:p>
      <w:pPr>
        <w:pStyle w:val="Heading2"/>
        <w:spacing w:after="140" w:before="300"/>
      </w:pPr>
      <w:r>
        <w:rPr>
          <w:rFonts w:ascii="Times New Roman" w:cs="Times New Roman" w:eastAsia="Times New Roman" w:hAnsi="Times New Roman"/>
          <w:b/>
          <w:bCs/>
          <w:color w:val="3A3A3C"/>
          <w:sz w:val="27"/>
          <w:szCs w:val="27"/>
        </w:rPr>
        <w:t xml:space="preserve">2.1 Product Perspective</w:t>
      </w:r>
    </w:p>
    <w:p>
      <w:pPr>
        <w:spacing w:after="160" w:line="276"/>
        <w:jc w:val="both"/>
      </w:pPr>
      <w:r>
        <w:rPr>
          <w:rFonts w:ascii="Times New Roman" w:cs="Times New Roman" w:eastAsia="Times New Roman" w:hAnsi="Times New Roman"/>
          <w:color w:val="58595B"/>
          <w:sz w:val="24"/>
          <w:szCs w:val="24"/>
        </w:rPr>
        <w:t xml:space="preserve">NCP Solver is a new, self-contained system composed of a React single-page-application frontend and a Node.js/Express REST API backend, persisting to a relational database. It is designed around six composable modules (Action Register, Capitalization Library/RAG, Alert &amp; Notification Engine, User Management &amp; RBAC, KPI Dashboard &amp; Reporting, Audit Trail Service) intended for reuse by sibling enterprise applications (Risk Management, Audit Management, Project Management) via the same API contract.</w:t>
      </w:r>
    </w:p>
    <w:p>
      <w:pPr>
        <w:pStyle w:val="Heading2"/>
        <w:spacing w:after="140" w:before="300"/>
      </w:pPr>
      <w:r>
        <w:rPr>
          <w:rFonts w:ascii="Times New Roman" w:cs="Times New Roman" w:eastAsia="Times New Roman" w:hAnsi="Times New Roman"/>
          <w:b/>
          <w:bCs/>
          <w:color w:val="3A3A3C"/>
          <w:sz w:val="27"/>
          <w:szCs w:val="27"/>
        </w:rPr>
        <w:t xml:space="preserve">2.2 Product Functions (Summary)</w:t>
      </w:r>
    </w:p>
    <w:p>
      <w:pPr>
        <w:pStyle w:val="ListParagraph"/>
        <w:numPr>
          <w:ilvl w:val="0"/>
          <w:numId w:val="2"/>
        </w:numPr>
        <w:spacing w:after="80"/>
      </w:pPr>
      <w:r>
        <w:rPr>
          <w:rFonts w:ascii="Times New Roman" w:cs="Times New Roman" w:eastAsia="Times New Roman" w:hAnsi="Times New Roman"/>
          <w:color w:val="58595B"/>
          <w:sz w:val="24"/>
          <w:szCs w:val="24"/>
        </w:rPr>
        <w:t xml:space="preserve">Register, understand, contain, analyze, correct, execute/evaluate, and capitalize non-conformities via the E1-E7 NCP Sheet workflow.</w:t>
      </w:r>
    </w:p>
    <w:p>
      <w:pPr>
        <w:pStyle w:val="ListParagraph"/>
        <w:numPr>
          <w:ilvl w:val="0"/>
          <w:numId w:val="2"/>
        </w:numPr>
        <w:spacing w:after="80"/>
      </w:pPr>
      <w:r>
        <w:rPr>
          <w:rFonts w:ascii="Times New Roman" w:cs="Times New Roman" w:eastAsia="Times New Roman" w:hAnsi="Times New Roman"/>
          <w:color w:val="58595B"/>
          <w:sz w:val="24"/>
          <w:szCs w:val="24"/>
        </w:rPr>
        <w:t xml:space="preserve">Manage an Action Register shared by immediate and corrective actions, with RR/RE-segregated effectiveness evaluation and evidence.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eight stage-specific AI agents that suggest — never autonomously decide — classifications, containment actions, root causes, corrective actions, and REX narratives.</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semantically searchable Capitalization Library (RAG) of resolved problems, tenant-isolated.</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an independently versioned AI Use Cases Library with full labeled-section content history and revert.</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Business Rules, COSO-classified Controls, and a Risk/Opportunity register with a likelihood x impact heat map.</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full role-based access control across 9 standard roles and a live permission matrix editor.</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Group/Organization/Project hierarchy and an Organizational Breakdown Structure (OBS).</w:t>
      </w:r>
    </w:p>
    <w:p>
      <w:pPr>
        <w:pStyle w:val="ListParagraph"/>
        <w:numPr>
          <w:ilvl w:val="0"/>
          <w:numId w:val="2"/>
        </w:numPr>
        <w:spacing w:after="80"/>
      </w:pPr>
      <w:r>
        <w:rPr>
          <w:rFonts w:ascii="Times New Roman" w:cs="Times New Roman" w:eastAsia="Times New Roman" w:hAnsi="Times New Roman"/>
          <w:color w:val="58595B"/>
          <w:sz w:val="24"/>
          <w:szCs w:val="24"/>
        </w:rPr>
        <w:t xml:space="preserve">Compute 10 KPIs and 4 standard reports, and raise 10 categories of alerts.</w:t>
      </w:r>
    </w:p>
    <w:p>
      <w:pPr>
        <w:pStyle w:val="ListParagraph"/>
        <w:numPr>
          <w:ilvl w:val="0"/>
          <w:numId w:val="2"/>
        </w:numPr>
        <w:spacing w:after="80"/>
      </w:pPr>
      <w:r>
        <w:rPr>
          <w:rFonts w:ascii="Times New Roman" w:cs="Times New Roman" w:eastAsia="Times New Roman" w:hAnsi="Times New Roman"/>
          <w:color w:val="58595B"/>
          <w:sz w:val="24"/>
          <w:szCs w:val="24"/>
        </w:rPr>
        <w:t xml:space="preserve">Operate multi-tenant with complete data isolation, and multi-language with full Arabic RTL support.</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2.3 User Classes and Characteristics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3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Who They Are</w:t>
            </w:r>
          </w:p>
        </w:tc>
        <w:tc>
          <w:tcPr>
            <w:tcW w:type="dxa" w:w="5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Key Permissions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Administrator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IT/system administrator</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CRUD on all records; user &amp; RBAC management; tenant configuration; license &amp; governance settings.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Quality Manager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Owns the quality management system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Validates and closes Sheets; configures KPI thresholds; owns Controls and Business Rules; compliance reporting.</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Coordinates the NCP process for their scope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Creates/edits/validates Sheets; approves action plans; manages REX; owns Business Rules and Risks/Opportunities in scope.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 Member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Cross-functional problem-solving team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Views/edits assigned Sheets; completes E2/E4/E5 stages; adds root causes and actions.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Executes an assigned action</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Updates own action status; enters completion date; uploads execution evidence.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Verifies action effectiveness</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pending evaluations; records effectiveness verdict; uploads evaluation evidence. Must differ from the action's RR.</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Department Head</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Manages an affected department</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all Sheets in own department; department dashboard/reports; receives department-level alerts and risk visibility.</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Any employee authorized to report a problem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 new Sheets (E1 only); views own submitted Sheets; no edit rights after submission.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 Auditor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Internal or external audit/compliance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access to Sheets, reports, Business Rules, Controls, Risks/Opportunities, and the full audit trail.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2.4 Operating Environment</w:t>
      </w:r>
    </w:p>
    <w:p>
      <w:pPr>
        <w:spacing w:after="160" w:line="276"/>
        <w:jc w:val="both"/>
      </w:pPr>
      <w:r>
        <w:rPr>
          <w:rFonts w:ascii="Times New Roman" w:cs="Times New Roman" w:eastAsia="Times New Roman" w:hAnsi="Times New Roman"/>
          <w:color w:val="58595B"/>
          <w:sz w:val="24"/>
          <w:szCs w:val="24"/>
        </w:rPr>
        <w:t xml:space="preserve">Server: any Node.js 20+ runtime (Node 22 recommended), no external database server or third-party API key required (SQLite by default; the relational and RAG layers are each swappable for a distributed equivalent). Client: any evergreen desktop or tablet web browser. Deployment: SaaS (shared multi-tenant infrastructure) or OnPrem (customer-hosted), selectable per Organization.</w:t>
      </w:r>
    </w:p>
    <w:p>
      <w:pPr>
        <w:pStyle w:val="Heading2"/>
        <w:spacing w:after="140" w:before="300"/>
      </w:pPr>
      <w:r>
        <w:rPr>
          <w:rFonts w:ascii="Times New Roman" w:cs="Times New Roman" w:eastAsia="Times New Roman" w:hAnsi="Times New Roman"/>
          <w:b/>
          <w:bCs/>
          <w:color w:val="3A3A3C"/>
          <w:sz w:val="27"/>
          <w:szCs w:val="27"/>
        </w:rPr>
        <w:t xml:space="preserve">2.5 Design and Implementation Constraints</w:t>
      </w:r>
    </w:p>
    <w:p>
      <w:pPr>
        <w:pStyle w:val="ListParagraph"/>
        <w:numPr>
          <w:ilvl w:val="0"/>
          <w:numId w:val="2"/>
        </w:numPr>
        <w:spacing w:after="80"/>
      </w:pPr>
      <w:r>
        <w:rPr>
          <w:rFonts w:ascii="Times New Roman" w:cs="Times New Roman" w:eastAsia="Times New Roman" w:hAnsi="Times New Roman"/>
          <w:color w:val="58595B"/>
          <w:sz w:val="24"/>
          <w:szCs w:val="24"/>
        </w:rPr>
        <w:t xml:space="preserve">All AI agent behavior must be explainable and logged (agent name, input, output, confidence score); no black-box autonomous decisions.</w:t>
      </w:r>
    </w:p>
    <w:p>
      <w:pPr>
        <w:pStyle w:val="ListParagraph"/>
        <w:numPr>
          <w:ilvl w:val="0"/>
          <w:numId w:val="2"/>
        </w:numPr>
        <w:spacing w:after="80"/>
      </w:pPr>
      <w:r>
        <w:rPr>
          <w:rFonts w:ascii="Times New Roman" w:cs="Times New Roman" w:eastAsia="Times New Roman" w:hAnsi="Times New Roman"/>
          <w:color w:val="58595B"/>
          <w:sz w:val="24"/>
          <w:szCs w:val="24"/>
        </w:rPr>
        <w:t xml:space="preserve">Every data access must be scoped by tenant (organization_id); no query may return another tenant's data.</w:t>
      </w:r>
    </w:p>
    <w:p>
      <w:pPr>
        <w:pStyle w:val="ListParagraph"/>
        <w:numPr>
          <w:ilvl w:val="0"/>
          <w:numId w:val="2"/>
        </w:numPr>
        <w:spacing w:after="80"/>
      </w:pPr>
      <w:r>
        <w:rPr>
          <w:rFonts w:ascii="Times New Roman" w:cs="Times New Roman" w:eastAsia="Times New Roman" w:hAnsi="Times New Roman"/>
          <w:color w:val="58595B"/>
          <w:sz w:val="24"/>
          <w:szCs w:val="24"/>
        </w:rPr>
        <w:t xml:space="preserve">The UI must conform to the POWERACT Consulting visual identity across every module and every supported language.</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RR and RE on any single action evaluation must always be different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2.6 Assumptions and Dependencies</w:t>
      </w:r>
    </w:p>
    <w:p>
      <w:pPr>
        <w:pStyle w:val="ListParagraph"/>
        <w:numPr>
          <w:ilvl w:val="0"/>
          <w:numId w:val="2"/>
        </w:numPr>
        <w:spacing w:after="80"/>
      </w:pPr>
      <w:r>
        <w:rPr>
          <w:rFonts w:ascii="Times New Roman" w:cs="Times New Roman" w:eastAsia="Times New Roman" w:hAnsi="Times New Roman"/>
          <w:color w:val="58595B"/>
          <w:sz w:val="24"/>
          <w:szCs w:val="24"/>
        </w:rPr>
        <w:t xml:space="preserve">Users have modern web browsers with JavaScript enabled.</w:t>
      </w:r>
    </w:p>
    <w:p>
      <w:pPr>
        <w:pStyle w:val="ListParagraph"/>
        <w:numPr>
          <w:ilvl w:val="0"/>
          <w:numId w:val="2"/>
        </w:numPr>
        <w:spacing w:after="80"/>
      </w:pPr>
      <w:r>
        <w:rPr>
          <w:rFonts w:ascii="Times New Roman" w:cs="Times New Roman" w:eastAsia="Times New Roman" w:hAnsi="Times New Roman"/>
          <w:color w:val="58595B"/>
          <w:sz w:val="24"/>
          <w:szCs w:val="24"/>
        </w:rPr>
        <w:t xml:space="preserve">Organizations are responsible for their own user provisioning within the tenant they administer.</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rule-based AI agent implementations are a functional stand-in for a future LLM/vector-database-backed implementation, behind a stable interface.</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3. System Features (Functional Requirements)</w:t>
      </w:r>
    </w:p>
    <w:p>
      <w:pPr>
        <w:spacing w:after="160" w:line="276"/>
        <w:jc w:val="both"/>
      </w:pPr>
      <w:r>
        <w:rPr>
          <w:rFonts w:ascii="Times New Roman" w:cs="Times New Roman" w:eastAsia="Times New Roman" w:hAnsi="Times New Roman"/>
          <w:color w:val="58595B"/>
          <w:sz w:val="24"/>
          <w:szCs w:val="24"/>
        </w:rPr>
        <w:t xml:space="preserve">Each requirement is uniquely identified and stated in "the system shall" form for verifiability. Requirements are grouped by module in implementation order.</w:t>
      </w:r>
    </w:p>
    <w:p>
      <w:pPr>
        <w:pStyle w:val="Heading2"/>
        <w:spacing w:after="140" w:before="300"/>
      </w:pPr>
      <w:r>
        <w:rPr>
          <w:rFonts w:ascii="Times New Roman" w:cs="Times New Roman" w:eastAsia="Times New Roman" w:hAnsi="Times New Roman"/>
          <w:b/>
          <w:bCs/>
          <w:color w:val="3A3A3C"/>
          <w:sz w:val="27"/>
          <w:szCs w:val="27"/>
        </w:rPr>
        <w:t xml:space="preserve">3.1 Dashboard</w:t>
      </w:r>
    </w:p>
    <w:p>
      <w:pPr>
        <w:spacing w:after="200" w:before="60"/>
      </w:pPr>
      <w:r>
        <w:rPr>
          <w:rFonts w:ascii="Times New Roman" w:cs="Times New Roman" w:eastAsia="Times New Roman" w:hAnsi="Times New Roman"/>
          <w:i/>
          <w:iCs/>
          <w:color w:val="58595B"/>
          <w:sz w:val="19"/>
          <w:szCs w:val="19"/>
        </w:rPr>
        <w:t xml:space="preserve">A role-aware landing page summarizing the authenticated user's open work, recent NCP Sheets, and unread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on login, counts of NCP Sheets by status (Open, In Progress, Closed, Cancelled) scoped to the user's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count of the authenticated user's own open assigned actions and the count of organization-wide overdue actions.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most recently created NCP Sheets, each showing sheet number, title, stage, criticality, and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authenticated user's unread alerts with type, message, and timestamp.</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bar chart of non-conformity counts grouped by department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one-click action to create a new NCP Sheet, visible only to users holding the fiche.create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 Hierarchy Management (Group / Organization / Project)</w:t>
      </w:r>
    </w:p>
    <w:p>
      <w:pPr>
        <w:spacing w:after="200" w:before="60"/>
      </w:pPr>
      <w:r>
        <w:rPr>
          <w:rFonts w:ascii="Times New Roman" w:cs="Times New Roman" w:eastAsia="Times New Roman" w:hAnsi="Times New Roman"/>
          <w:i/>
          <w:iCs/>
          <w:color w:val="58595B"/>
          <w:sz w:val="19"/>
          <w:szCs w:val="19"/>
        </w:rPr>
        <w:t xml:space="preserve">Supports an optional Group (holding company) above the Organization (tenant) level, and optional Projects below it, per the Group-of-companies and independent-company deployment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optionally belong to a Group; an Organization not assigned to a Group shall operate as fully independent.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an Organization belongs to a Group, the system shall display all sibling Organizations in that Group to authorized users.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create an additional sibling Organization within the same Group.</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full CRUD on Projects (optional sub-entities of an Organization), including name, description, status, and start/end dates.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optionally associated with a Project.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core Organization attributes (name, sector, country).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3.3 Organizational Breakdown Structure (OBS)</w:t>
      </w:r>
    </w:p>
    <w:p>
      <w:pPr>
        <w:spacing w:after="200" w:before="60"/>
      </w:pPr>
      <w:r>
        <w:rPr>
          <w:rFonts w:ascii="Times New Roman" w:cs="Times New Roman" w:eastAsia="Times New Roman" w:hAnsi="Times New Roman"/>
          <w:i/>
          <w:iCs/>
          <w:color w:val="58595B"/>
          <w:sz w:val="19"/>
          <w:szCs w:val="19"/>
        </w:rPr>
        <w:t xml:space="preserve">A hierarchical site/department/service/team tree used to classify where a non-conformity occurred.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OBS nodes, each typed as Site, Department, Service, or Team.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OBS node to have a parent OBS node, forming an arbitrary-depth tree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OBS as an indented tree reflecting parent/child relationships.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associated with exactly one OBS node (its department/origin).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prevent deleting an OBS node from breaking referential integrity by cascading or reassigning dependent records per the data model.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3.4 Identity &amp; Role-Based Access Control (RBAC)</w:t>
      </w:r>
    </w:p>
    <w:p>
      <w:pPr>
        <w:spacing w:after="200" w:before="60"/>
      </w:pPr>
      <w:r>
        <w:rPr>
          <w:rFonts w:ascii="Times New Roman" w:cs="Times New Roman" w:eastAsia="Times New Roman" w:hAnsi="Times New Roman"/>
          <w:i/>
          <w:iCs/>
          <w:color w:val="58595B"/>
          <w:sz w:val="19"/>
          <w:szCs w:val="19"/>
        </w:rPr>
        <w:t xml:space="preserve">User directory, the 9 standard roles from the NCP Solver Knowledge Base (KB-011), and a full permission matrix editor.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users, including first/last name, email, username, language preference, and active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hash all user passwords (bcrypt) and never expose password hashes via any API response.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assigning one or more of the 9 standard roles to a user: Administrator, Quality Manager, CI Pilot, NCP Team Member, Action Owner (RR), Evaluator (RE), Department Head, Reporter, Read-Only/Auditor.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custom roles per Organization, in addition to the 9 system role templates.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Permission Matrix screen displaying every permission code against every role, with checkboxes editable by users holding role.managePermissions.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every API endpoint against the authenticated user's resolved permission set (union across all assigned roles); a request lacking the required permission shall be rejected with HTTP 403.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an Evaluator (RE) recording an action's effectiveness verdict is never the same user as that action's Responsible/Owner (RR).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minimal user directory (id, name, email) accessible to any authenticated user for assigning owners/evaluators/team members, independent of the full user.view permission.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issue a signed JSON Web Token (JWT) on successful login, valid for 12 hours, required as a Bearer token on every subsequent API call.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3.5 Governance Settings</w:t>
      </w:r>
    </w:p>
    <w:p>
      <w:pPr>
        <w:spacing w:after="200" w:before="60"/>
      </w:pPr>
      <w:r>
        <w:rPr>
          <w:rFonts w:ascii="Times New Roman" w:cs="Times New Roman" w:eastAsia="Times New Roman" w:hAnsi="Times New Roman"/>
          <w:i/>
          <w:iCs/>
          <w:color w:val="58595B"/>
          <w:sz w:val="19"/>
          <w:szCs w:val="19"/>
        </w:rPr>
        <w:t xml:space="preserve">Tenant-level configuration of process defaults, KPI thresholds, and alert behavior.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default Root Cause Analysis method (5-Why or Ishikawa) for the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whether a completed REX (E7) entry is required before an NCP Sheet can be closed.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numeric threshold for each of the 10 KPIs.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enable or disable each of the 10 alert types (A-J) independently.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governance settings per Organization and apply tenant-specific defaults automatically on first access.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3.6 License &amp; Plan Management</w:t>
      </w:r>
    </w:p>
    <w:p>
      <w:pPr>
        <w:spacing w:after="200" w:before="60"/>
      </w:pPr>
      <w:r>
        <w:rPr>
          <w:rFonts w:ascii="Times New Roman" w:cs="Times New Roman" w:eastAsia="Times New Roman" w:hAnsi="Times New Roman"/>
          <w:i/>
          <w:iCs/>
          <w:color w:val="58595B"/>
          <w:sz w:val="19"/>
          <w:szCs w:val="19"/>
        </w:rPr>
        <w:t xml:space="preserve">SaaS/OnPrem deployment tracking and seat/plan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Organization, a plan tier (Starter, Professional, Enterprise) and a deployment model (SaaS or OnPrem).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total seats, seats used (computed from active user count), billing cycle, renewal date, and license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the plan tier, deployment model, seat allocation, and billing cycle.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recompute seats-used automatically whenever the active user count changes.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3.7 NCP Sheet Lifecycle (E1 through E7)</w:t>
      </w:r>
    </w:p>
    <w:p>
      <w:pPr>
        <w:spacing w:after="200" w:before="60"/>
      </w:pPr>
      <w:r>
        <w:rPr>
          <w:rFonts w:ascii="Times New Roman" w:cs="Times New Roman" w:eastAsia="Times New Roman" w:hAnsi="Times New Roman"/>
          <w:i/>
          <w:iCs/>
          <w:color w:val="58595B"/>
          <w:sz w:val="19"/>
          <w:szCs w:val="19"/>
        </w:rPr>
        <w:t xml:space="preserve">The central workflow: a structured, staged record of a non-conformity or problem from detection through capitalization, matching KB-003 through KB-009.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any user holding fiche.create to register a new NCP Sheet capturing title, description, detection date, criticality (High/Medium/Low), priority (P1-P3), frequency (first-time/recurring), and applicable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Sheet Number in the format NC-{year}-{4-digit sequence} on creation.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set a newly created Sheet's stage to E1 and status to Open.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Classification Agent on Sheet creation, logging a suggested criticality, suggested priority, and a list of similar past Sheets with a confidence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Classification Agent to be re-run on demand from the Sheet's E1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A immediately when a new Sheet is created with criticality High or priority 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FR-E2-01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structured 5W2H (What/Where/When/Who/Why/How/How-Much) form for the Problem Understanding stage (E2), plus a free-text Objectives field.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FR-E2-02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exactly one Problem Understanding record per Sheet, editable by users holding fiche.edit.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Immediate Actions to be created against a Sheet, each with description, tasks, required means, responsible owner (RR), and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Immediate Action's owner to mark it Done and record the actual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Evaluator (RE), who must differ from the action's RR, to record an effectiveness verdict (Effective / Not Effective) with comments and efficiency criteria for each Immediate Action.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evidence attachments (execution proof / evaluation proof) to be recorded against any action.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Containment Advisor Agent on request, returning suggested immediate actions drawn from similar closed Sheets.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B when an Immediate Action's planned completion date has passed and its status is not Done, and Alert G one day before that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Root Causes to be recorded against a Sheet, each with a description, a 6M cause category (Man/Machine/Method/Material/Measurement/Milieu), and an RCA method (5-Why or Ishikawa).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Root Cause to be optionally linked to a Standard.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Root Cause Mining Agent on request, returning suggested root causes and 6M categories drawn from similar closed Sheets.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D when 48 hours have elapsed since detection and no Root Cause has yet been recorded for the Sheet.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Corrective Actions to be defined per Root Cause, each with description, tasks, required means, responsible owner (RR), and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E5 (Corrective Action Plan) view shall present action definition only; execution status and effectiveness controls shall not be exposed on this tab.</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Action Recommendation Agent on request, returning proven corrective actions for the given root cause(s) drawn from the Capitalization Library.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E6 (Execution &amp; Evaluation) view shall present the same Corrective Actions defined in E5 with execution controls: mark Done, attach evidence, and record an RR/RE-separated effectiveness verdict.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C when a Corrective Action is marked Done or its evaluation deadline is 2 days away, and Alert H two days before its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I two days before a scheduled evaluation's planned review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REX (Retour d'EXpérience) form capturing Lessons Learned, Root Cause Summary, Solution Summary, a Standardization decision (yes/no + details), a Generalization decision (yes/no + plan), and searchable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REX Generation Agent on request, auto-drafting the Lessons Learned narrative and standardization/generalization recommendations from the Sheet's full E1-E6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E when all Corrective Actions on a Sheet have an Effective verdict, prompting the team to complete E7.</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closing a Sheet (transition to status Closed) unless a REX entry exists, when the Organization's Governance Settings require it (default: required).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Upon closure, the system shall set the Sheet's status to Closed, stage to E7, and closure date to the current date, and shall make the Sheet's content available to the Capitalization Library RAG index.</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explicit, sequential stage-advance action (E1-&gt;E2-&gt;...-&gt;E7) gated by fiche.validate, and shall track the Sheet's current stage independently of its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J when a Priority-1 Sheet has had no update for 3 or more consecutive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assignment of one or more NCP Team Members to a Sheet, distinct from its original detector.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3.8 Action Register</w:t>
      </w:r>
    </w:p>
    <w:p>
      <w:pPr>
        <w:spacing w:after="200" w:before="60"/>
      </w:pPr>
      <w:r>
        <w:rPr>
          <w:rFonts w:ascii="Times New Roman" w:cs="Times New Roman" w:eastAsia="Times New Roman" w:hAnsi="Times New Roman"/>
          <w:i/>
          <w:iCs/>
          <w:color w:val="58595B"/>
          <w:sz w:val="19"/>
          <w:szCs w:val="19"/>
        </w:rPr>
        <w:t xml:space="preserve">A composable, reusable module underlying both Immediate (E3) and Corrective (E5/E6)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Action Number in the format A-{year}-{4-digit sequence} on creation.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an Action's status through To Do -&gt; In Progress -&gt; Done -&gt; Cancelled.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personal "My Actions" view listing actions owned by, or pending evaluation by, the authenticated user.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an action's self-service status update to its assigned owner (or a user holding action.edit).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3.9 Capitalization Library &amp; Retrieval-Augmented Generation (RAG)</w:t>
      </w:r>
    </w:p>
    <w:p>
      <w:pPr>
        <w:spacing w:after="200" w:before="60"/>
      </w:pPr>
      <w:r>
        <w:rPr>
          <w:rFonts w:ascii="Times New Roman" w:cs="Times New Roman" w:eastAsia="Times New Roman" w:hAnsi="Times New Roman"/>
          <w:i/>
          <w:iCs/>
          <w:color w:val="58595B"/>
          <w:sz w:val="19"/>
          <w:szCs w:val="19"/>
        </w:rPr>
        <w:t xml:space="preserve">The organizational memory of resolved problems, semantically searchable.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index every closed Sheet's title, description, root causes, corrective actions, and REX content into a per-tenant search index upon closure.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semantic search over the Capitalization Library, ranked by similarity score, restricted to the requesting user's own tenant.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each closed Sheet in the library, its lessons learned, standardization flag, and generalization flag.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3.10 AI Agents</w:t>
      </w:r>
    </w:p>
    <w:p>
      <w:pPr>
        <w:spacing w:after="200" w:before="60"/>
      </w:pPr>
      <w:r>
        <w:rPr>
          <w:rFonts w:ascii="Times New Roman" w:cs="Times New Roman" w:eastAsia="Times New Roman" w:hAnsi="Times New Roman"/>
          <w:i/>
          <w:iCs/>
          <w:color w:val="58595B"/>
          <w:sz w:val="19"/>
          <w:szCs w:val="19"/>
        </w:rPr>
        <w:t xml:space="preserve">Eight stage-specific assistants (KB-010) providing suggestions, never autonomous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agent invocation (agent name, prompt/context, response, confidence score, timestamp, related Sheet) to an immutable AI Agent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allow an AI agent to autonomously change a Sheet's data; every suggestion shall require explicit human action to apply.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AI agent's retrieval to the requesting user's own tenant (no cross-tenant data in suggestions).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the Monitoring &amp; Alert Agent as an always-on process computing Alerts A-J from current data, invocable on demand or on a schedule.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3.11 AI Use Cases Library (with Version Management)</w:t>
      </w:r>
    </w:p>
    <w:p>
      <w:pPr>
        <w:spacing w:after="200" w:before="60"/>
      </w:pPr>
      <w:r>
        <w:rPr>
          <w:rFonts w:ascii="Times New Roman" w:cs="Times New Roman" w:eastAsia="Times New Roman" w:hAnsi="Times New Roman"/>
          <w:i/>
          <w:iCs/>
          <w:color w:val="58595B"/>
          <w:sz w:val="19"/>
          <w:szCs w:val="19"/>
        </w:rPr>
        <w:t xml:space="preserve">An independent catalog of AI use cases, unrelated to the Capitalization Library, with full version history.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AI Use Cases, capturing title, description, sector, business function, AI technique, maturity stage (1-5), status (Idea/Pilot/Production/Retired), owner, expected impact, estimated ROI, and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version an AI Use Case's content independently of its metadata; content shall consist of five labeled sections: Inputs, Prompt, Expected Output, Constraints/Guardrails, and Model/Technique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create Version 1 of an AI Use Case automatically upon creation and mark it as the Default and Current version.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save the current draft as a new version, incrementing the version number and marking it Current; the prior version shall remain in history unmodified.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full Version History for an AI Use Case, showing version number, author, timestamp, change note, and Default/Current status badges.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view the full labeled content of any historical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revert to any historical version; reverting shall duplicate that version's content into a brand-new version marked Current, never rewrite or delete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who created each version and an optional free-text change note.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3.12 Business Rules</w:t>
      </w:r>
    </w:p>
    <w:p>
      <w:pPr>
        <w:spacing w:after="200" w:before="60"/>
      </w:pPr>
      <w:r>
        <w:rPr>
          <w:rFonts w:ascii="Times New Roman" w:cs="Times New Roman" w:eastAsia="Times New Roman" w:hAnsi="Times New Roman"/>
          <w:i/>
          <w:iCs/>
          <w:color w:val="58595B"/>
          <w:sz w:val="19"/>
          <w:szCs w:val="19"/>
        </w:rPr>
        <w:t xml:space="preserve">A governed catalog of the process rules that constrain NCP Solver's own behavior,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Business Rules, each with a code, title, rule type (Validation/Workflow/Approval/Naming/Threshold/Escalation), the module it applies to, a Condition (IF) statement, an Action (THEN) statement, severity (Blocking/Warning/Info), and an owner.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marked active or inactive without deleting 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create/edit/delete of Business Rules to users holding the corresponding businessRule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3.13 Controls (COSO Framework)</w:t>
      </w:r>
    </w:p>
    <w:p>
      <w:pPr>
        <w:spacing w:after="200" w:before="60"/>
      </w:pPr>
      <w:r>
        <w:rPr>
          <w:rFonts w:ascii="Times New Roman" w:cs="Times New Roman" w:eastAsia="Times New Roman" w:hAnsi="Times New Roman"/>
          <w:i/>
          <w:iCs/>
          <w:color w:val="58595B"/>
          <w:sz w:val="19"/>
          <w:szCs w:val="19"/>
        </w:rPr>
        <w:t xml:space="preserve">Internal controls mapped to the five COSO Internal Control - Integrated Framework components,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Controls, each classified under one of the five COSO components: Control Environment, Risk Assessment, Control Activities, Information &amp; Communication, or Monitoring Activities.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Control, a control type (Preventive/Detective/Corrective), a testing frequency (Continuous through Annual), an owner, an effectiveness rating (Effective/Partially Effective/Ineffective/Not Tested), last-tested and next-test-due dates, and evidence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Controls list by COSO component.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linked to one or more Risks/Opportunities as a mitigating control.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3.14 Risks &amp; Opportunities</w:t>
      </w:r>
    </w:p>
    <w:p>
      <w:pPr>
        <w:spacing w:after="200" w:before="60"/>
      </w:pPr>
      <w:r>
        <w:rPr>
          <w:rFonts w:ascii="Times New Roman" w:cs="Times New Roman" w:eastAsia="Times New Roman" w:hAnsi="Times New Roman"/>
          <w:i/>
          <w:iCs/>
          <w:color w:val="58595B"/>
          <w:sz w:val="19"/>
          <w:szCs w:val="19"/>
        </w:rPr>
        <w:t xml:space="preserve">A likelihood x impact risk register covering both risks and opportunities related to operating NCP Solver,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Risk/Opportunity items, each with a code, title, description, type (Risk/Opportunity), category (Strategic/Operational/Compliance/Financial/Reputational/Technology), likelihood (1-5), impact (1-5), response strategy, mitigation/action plan, owner, and status (Identified/Assessing/Mitigating/Monitoring/Closed).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compute an Inherent Score (likelihood x impact) and, where residual likelihood/impact are set, a Residual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linked to zero or more mitigating Controls.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5x5 likelihood x impact heat-map matrix, color-banded from lowest risk (dark green) to highest risk (red), plotting every Risk item in its corresponding cell.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register by item type (Risk / Opportunity).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3.15 Alerts &amp; Notifications</w:t>
      </w:r>
    </w:p>
    <w:p>
      <w:pPr>
        <w:spacing w:after="200" w:before="60"/>
      </w:pPr>
      <w:r>
        <w:rPr>
          <w:rFonts w:ascii="Times New Roman" w:cs="Times New Roman" w:eastAsia="Times New Roman" w:hAnsi="Times New Roman"/>
          <w:i/>
          <w:iCs/>
          <w:color w:val="58595B"/>
          <w:sz w:val="19"/>
          <w:szCs w:val="19"/>
        </w:rPr>
        <w:t xml:space="preserve">The ten standard alerts (A-J) from the Knowledge Base, computed by the Monitoring &amp; Alert Agent.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all ten standard alerts (A: new high-priority problem, B: immediate action overdue, C: corrective action pending evaluation, D: RCA not started, E: capitalization stage reminder, F: KPI threshold breach, G: immediate action due tomorrow, H: corrective action due in 2 days, I: evaluation due in 2 days, J: priority-1 sheet inactive 3+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on-demand "Run Monitoring Agent" action, restricted to users holding alert.manage, that (re-)evaluates all alert conditions.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avoid duplicate alerts of the same type against the same triggering entity within the same day.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mark an individual alert as read.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a live unread-alert badge in the navigation sidebar, refreshed periodically.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3.16 Reports &amp; KPIs</w:t>
      </w:r>
    </w:p>
    <w:p>
      <w:pPr>
        <w:spacing w:after="200" w:before="60"/>
      </w:pPr>
      <w:r>
        <w:rPr>
          <w:rFonts w:ascii="Times New Roman" w:cs="Times New Roman" w:eastAsia="Times New Roman" w:hAnsi="Times New Roman"/>
          <w:i/>
          <w:iCs/>
          <w:color w:val="58595B"/>
          <w:sz w:val="19"/>
          <w:szCs w:val="19"/>
        </w:rPr>
        <w:t xml:space="preserve">The four standard reports and ten core KPIs from the Knowledge 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Operational NCP Dashboard report listing every open/in-progress Sheet with stage, ageing in days, and immediate/corrective action completion percentages.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Action Plan Monitoring report listing every action with owner, planned date, status, and an overdue flag.</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Strategic Problem-Solving Scorecard showing KPIs 2, 5, 7, 8, and 10, a priority distribution chart, and a non-conformity-by-department chart.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Capitalization &amp; Lessons Learned Log report listing every closed Sheet's lessons learned, standardization, and generalization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all 10 KPIs (see Appendix B) in real time from current data, scoped to the requesting user's tenant.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3.17 Multi-Language &amp; Localization</w:t>
      </w:r>
    </w:p>
    <w:p>
      <w:pPr>
        <w:spacing w:after="200" w:before="60"/>
      </w:pPr>
      <w:r>
        <w:rPr>
          <w:rFonts w:ascii="Times New Roman" w:cs="Times New Roman" w:eastAsia="Times New Roman" w:hAnsi="Times New Roman"/>
          <w:i/>
          <w:iCs/>
          <w:color w:val="58595B"/>
          <w:sz w:val="19"/>
          <w:szCs w:val="19"/>
        </w:rPr>
        <w:t xml:space="preserve">English, French, and Arabic, with full right-to-left (RTL) layout for Arabic.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complete UI translation in English, French, and Arabic for all navigation, labels, form fields, statuses, and messages.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change their display language at any time from the top navigation bar, without reloading lost work.</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a user's language preference and apply it automatically on subsequent logins.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entire application right-to-left, including navigation, forms, and tables, when Arabic is selected.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configure a tenant-level default language.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3.18 Multi-Tenancy</w:t>
      </w:r>
    </w:p>
    <w:p>
      <w:pPr>
        <w:spacing w:after="200" w:before="60"/>
      </w:pPr>
      <w:r>
        <w:rPr>
          <w:rFonts w:ascii="Times New Roman" w:cs="Times New Roman" w:eastAsia="Times New Roman" w:hAnsi="Times New Roman"/>
          <w:i/>
          <w:iCs/>
          <w:color w:val="58595B"/>
          <w:sz w:val="19"/>
          <w:szCs w:val="19"/>
        </w:rPr>
        <w:t xml:space="preserve">Complete data isolation between Organizations sharing the same application instance.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 query by the authenticated user's organization_id; no API response shall ever include another Organization's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isolate RBAC configuration, Capitalization Library content, and RAG retrieval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multiple independent Organizations, and Organizations grouped under a single Group entity, to coexist on one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3.19 Audit Trail</w:t>
      </w:r>
    </w:p>
    <w:p>
      <w:pPr>
        <w:spacing w:after="200" w:before="60"/>
      </w:pPr>
      <w:r>
        <w:rPr>
          <w:rFonts w:ascii="Times New Roman" w:cs="Times New Roman" w:eastAsia="Times New Roman" w:hAnsi="Times New Roman"/>
          <w:i/>
          <w:iCs/>
          <w:color w:val="58595B"/>
          <w:sz w:val="19"/>
          <w:szCs w:val="19"/>
        </w:rPr>
        <w:t xml:space="preserve">An immutable record of every state-changing action, for compliance and traceability.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CREATE, UPDATE, and DELETE operation on a major entity, capturing actor, timestamp, entity type/id, and before/after values.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audit trail viewable, read-only, to users holding audit.view (e.g., the Auditor role).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audit log writes never block or fail the primary operation they accompany.</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4. External Interface Requirements</w:t>
      </w:r>
    </w:p>
    <w:p>
      <w:pPr>
        <w:pStyle w:val="Heading2"/>
        <w:spacing w:after="140" w:before="300"/>
      </w:pPr>
      <w:r>
        <w:rPr>
          <w:rFonts w:ascii="Times New Roman" w:cs="Times New Roman" w:eastAsia="Times New Roman" w:hAnsi="Times New Roman"/>
          <w:b/>
          <w:bCs/>
          <w:color w:val="3A3A3C"/>
          <w:sz w:val="27"/>
          <w:szCs w:val="27"/>
        </w:rPr>
        <w:t xml:space="preserve">4.1 User Interfaces</w:t>
      </w:r>
    </w:p>
    <w:p>
      <w:pPr>
        <w:spacing w:after="160" w:line="276"/>
        <w:jc w:val="both"/>
      </w:pPr>
      <w:r>
        <w:rPr>
          <w:rFonts w:ascii="Times New Roman" w:cs="Times New Roman" w:eastAsia="Times New Roman" w:hAnsi="Times New Roman"/>
          <w:color w:val="58595B"/>
          <w:sz w:val="24"/>
          <w:szCs w:val="24"/>
        </w:rPr>
        <w:t xml:space="preserve">The application presents the following screens, each accessible only when the authenticated user holds the corresponding view permission; navigation itself is filtered by permission (role-based menu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Screen</w:t>
            </w:r>
          </w:p>
        </w:tc>
        <w:tc>
          <w:tcPr>
            <w:tcW w:type="dxa" w:w="71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Purpose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Login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Authenticate with email/password; language selector; demo-account picker.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Role-aware summary: KPI tiles, recent Sheets, unread alerts, department chart.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Filterable/searchable list of all Sheets in scope.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NCP Sheet</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 registration form.</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 Detail</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7 tabs, one per stage E1-E7, each with stage-appropriate AI assistance.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My Actions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owned by, or pending evaluation by, the current user.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 semantic search over closed Sheets.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the standards knowledge base.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 Library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Card grid of AI use cases with maturity/status badges.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Detail</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editor, current-version labeled-section editor, version history with revert.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process business rules.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 (COSO)</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controls, filterable by COSO component.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Likelihood x impact heat-map matrix + CRUD register.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 standard reports in a tabbed view.</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 inbox with manual "Run Monitoring Agent" trigger.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 / Organization / Project management.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(OBS)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Site/department/service/team tree management.</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 &amp; Scope</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 directory and role assignment.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 Matrix</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role x permission grid editor.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 Settings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 &amp; Plan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4.2 Software Interfaces (REST API)</w:t>
      </w:r>
    </w:p>
    <w:p>
      <w:pPr>
        <w:spacing w:after="160" w:line="276"/>
        <w:jc w:val="both"/>
      </w:pPr>
      <w:r>
        <w:rPr>
          <w:rFonts w:ascii="Times New Roman" w:cs="Times New Roman" w:eastAsia="Times New Roman" w:hAnsi="Times New Roman"/>
          <w:color w:val="58595B"/>
          <w:sz w:val="24"/>
          <w:szCs w:val="24"/>
        </w:rPr>
        <w:t xml:space="preserve">All interfaces are exposed as a JSON REST API under /api, secured by a JWT bearer token (except /api/auth/login), and enforced per-endpoint by the RBAC permission catalog. The API is grouped by module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Module</w:t>
            </w:r>
          </w:p>
        </w:tc>
        <w:tc>
          <w:tcPr>
            <w:tcW w:type="dxa" w:w="77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Endpoints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/api/auth/login, GET /api/auth/me, PUT /api/auth/me/language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/api/hierarchy/tree, PUT /api/hierarchy/organization, POST /api/hierarchy/organizations, GET|POST|PUT|DELETE /api/hierarchy/projects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/api/obs, PUT|DELETE /api/obs/:id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/api/users, GET|PUT|DELETE /api/users/:id, PUT /api/users/:id/roles, GET /api/users/directory</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Roles &amp; Permissions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/api/roles, PUT|DELETE /api/roles/:id, GET /api/roles/permissions/catalog, GET /api/roles/permissions/matrix, PUT /api/roles/:id/permissions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/api/license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/api/governance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/api/standards, GET|PUT|DELETE /api/standards/:id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/api/fiches, GET|PUT|DELETE /api/fiches/:id, POST /api/fiches/:id/transition, POST /api/fiches/:id/close, PUT /api/fiches/:id/understanding, PUT /api/fiches/:id/team, GET|POST|PUT|DELETE /api/fiches/:id/root-causes[/:rcId], PUT /api/fiches/:id/rex, POST /api/fiches/:id/rex/generate-draft</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/api/actions, PUT /api/actions/:id, PUT /api/actions/:id/progress, PUT /api/actions/:id/evaluation, GET|POST /api/actions/:id/evidence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/api/ai-agents/:ficheId/classification, /containment-advisor, /root-cause-mining, /action-recommendation, GET /api/ai-agents/:ficheId/logs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/api/capitalization, GET /api/capitalization/search</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/api/alerts, POST /api/alerts/run, PUT /api/alerts/:id/read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/api/ai-use-cases, GET|PUT|DELETE /api/ai-use-cases/:id, GET|POST /api/ai-use-cases/:id/versions, GET /api/ai-use-cases/:id/versions/:versionId, POST /api/ai-use-cases/:id/versions/:versionId/revert</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/api/business-rules, GET|PUT|DELETE /api/business-rules/:id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/api/controls, GET|PUT|DELETE /api/controls/:id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/api/risks, GET|PUT|DELETE /api/risks/:id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/api/reports/kpis, /operational, /action-plan, /scorecard, /capitalization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/api/dashboard</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4.3 Hardware Interfaces</w:t>
      </w:r>
    </w:p>
    <w:p>
      <w:pPr>
        <w:spacing w:after="160" w:line="276"/>
        <w:jc w:val="both"/>
      </w:pPr>
      <w:r>
        <w:rPr>
          <w:rFonts w:ascii="Times New Roman" w:cs="Times New Roman" w:eastAsia="Times New Roman" w:hAnsi="Times New Roman"/>
          <w:color w:val="58595B"/>
          <w:sz w:val="24"/>
          <w:szCs w:val="24"/>
        </w:rPr>
        <w:t xml:space="preserve">None. NCP Solver is a standard web application with no direct hardware interface requirement; it runs on commodity server and client hardware.</w:t>
      </w:r>
    </w:p>
    <w:p>
      <w:pPr>
        <w:pStyle w:val="Heading2"/>
        <w:spacing w:after="140" w:before="300"/>
      </w:pPr>
      <w:r>
        <w:rPr>
          <w:rFonts w:ascii="Times New Roman" w:cs="Times New Roman" w:eastAsia="Times New Roman" w:hAnsi="Times New Roman"/>
          <w:b/>
          <w:bCs/>
          <w:color w:val="3A3A3C"/>
          <w:sz w:val="27"/>
          <w:szCs w:val="27"/>
        </w:rPr>
        <w:t xml:space="preserve">4.4 Communications Interfaces</w:t>
      </w:r>
    </w:p>
    <w:p>
      <w:pPr>
        <w:pStyle w:val="ListParagraph"/>
        <w:numPr>
          <w:ilvl w:val="0"/>
          <w:numId w:val="2"/>
        </w:numPr>
        <w:spacing w:after="80"/>
      </w:pPr>
      <w:r>
        <w:rPr>
          <w:rFonts w:ascii="Times New Roman" w:cs="Times New Roman" w:eastAsia="Times New Roman" w:hAnsi="Times New Roman"/>
          <w:color w:val="58595B"/>
          <w:sz w:val="24"/>
          <w:szCs w:val="24"/>
        </w:rPr>
        <w:t xml:space="preserve">HTTP/HTTPS using JSON request/response bodies for all client-server communication.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Authentication via a signed JWT Bearer token in the Authorization header, issued at login and valid for 12 hours.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web client is served separately from the API and communicates with it exclusively over the REST interface (no server-side page rendering).</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5. Non-Functional Requirements</w:t>
      </w:r>
    </w:p>
    <w:p>
      <w:pPr>
        <w:pStyle w:val="Heading2"/>
        <w:spacing w:after="140" w:before="300"/>
      </w:pPr>
      <w:r>
        <w:rPr>
          <w:rFonts w:ascii="Times New Roman" w:cs="Times New Roman" w:eastAsia="Times New Roman" w:hAnsi="Times New Roman"/>
          <w:b/>
          <w:bCs/>
          <w:color w:val="3A3A3C"/>
          <w:sz w:val="27"/>
          <w:szCs w:val="27"/>
        </w:rPr>
        <w:t xml:space="preserve">5.1 Performance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 and list views shall render within 2 seconds under nominal load (per-tenant data volumes as seeded: dozens of Sheets, hundreds of actions).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 suggestions (classification, containment, root-cause mining, action recommendation) shall return within 5 seconds.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 search shall return ranked results within 1 second for a tenant's full closed-Sheet corpus.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5.2 Security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API endpoints except login shall require a valid JWT bearer token.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Passwords shall be stored only as bcrypt hashes; plaintext passwords shall never be logged or persisted.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authorization decision shall be enforced server-side; client-side permission checks are a UX convenience only, never the security boundary.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SQL query shall be constructed by string-concatenating untrusted input; all data access shall use parameterized statements.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RR/RE segregation of duties (FR-ID-07) shall be enforced server-side, not merely hidden in the UI.</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5.3 Availability &amp; Reliability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degrade gracefully if an AI agent call fails: the underlying CRUD operation shall still succeed, with the AI suggestion simply unavailable.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target 99.9% uptime in a production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5.4 Scalability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architecture shall support horizontal scaling of the web tier independently of the API tier.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at least 100 concurrent users per tenant without functional degradation.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relational schema and RAG index shall each be swappable for a distributed equivalent (e.g., managed PostgreSQL, a vector database) without changing the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5.5 Usability &amp; Accessibility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follow the POWERACT Consulting visual identity (color palette, typography, iconography) consistently across all modules.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be responsive and usable on desktop and tablet viewport widths.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interactive controls shall be keyboard-navigable and carry accessible labels (WCAG 2.1 AA target).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5.6 Maintainability &amp; Portability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Action Register, Alert &amp; Notification Engine, User Management &amp; RBAC layer, KPI/Reporting engine, and Audit Trail Service shall be implemented as composable modules reusable by other applications (Risk Management, Audit Management, Project Management) via the same API contract.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backend shall run on any standard Node.js 20+ runtime without requiring a dedicated database server, container orchestration, or external API keys.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agent implementations shall be isolated behind a stable internal interface so a rule-based implementation can be replaced by an LLM/vector-DB-backed one without changing calling code.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5.7 Auditability &amp; Compliance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AI-generated suggestion shall be logged with a confidence score and be attributable to a specific agent and Sheet, per the AIAgentLog entity.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Controls module shall support demonstrating COSO Internal Control - Integrated Framework coverage across all five components.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retain the full version history of every AI Use Case indefinitely (no hard deletion of prior versions on edit or revert).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5.8 Data Retention &amp; Privacy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not transmit tenant data to any third-party service by default; AI agent processing shall run entirely within the deployment's own infrastructure.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both SaaS (shared infrastructure, tenant-isolated data) and OnPrem (customer-hosted) deployment models per Organization.</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6. Data Model Overview</w:t>
      </w:r>
    </w:p>
    <w:p>
      <w:pPr>
        <w:spacing w:after="160" w:line="276"/>
        <w:jc w:val="both"/>
      </w:pPr>
      <w:r>
        <w:rPr>
          <w:rFonts w:ascii="Times New Roman" w:cs="Times New Roman" w:eastAsia="Times New Roman" w:hAnsi="Times New Roman"/>
          <w:color w:val="58595B"/>
          <w:sz w:val="24"/>
          <w:szCs w:val="24"/>
        </w:rPr>
        <w:t xml:space="preserve">The relational schema comprises the following core entities (full attribute-level detail is maintained in the Information Model specification and the implementation's schema.sql). All entities carry an organization_id (tenant) foreign key except Group and the global Permission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Entity</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Description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holding entity above Organization; groups sibling Organizations (e.g., a group of companies).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tenant boundary. Holds sector, country, and all tenant-isolated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Project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sub-entity of an Organization; a Sheet may reference one.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ObsNode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node in the Organizational Breakdown Structure tree (site/department/service/team).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person; holds RBAC roles; tenant-scoped.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named set of permissions, tenant-scoped; 9 system templates + custom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global catalog entry (module.action) granted to roles.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 per Organization.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GovernanceSettings</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 per Organization.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normative document (ISO standard, internal procedure).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NCPFiche (NCP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aggregate: a non-conformity/problem record spanning E1-E7.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NCPTeamAssignment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users assigned to a Sheet's 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ProblemUnderstanding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structured analysis, one per Sheet.</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RootCause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6M-categorized cause identified in E4.</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Abstract base for Immediate and Corrective actions; owner, dates, status.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ActionEvaluation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verdict for an Action; enforces RR != 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ActionEvidence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File attachment evidencing execution or evaluation of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REXEntry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E7 capitalization content: lessons learned, standardization/generalization.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NotificationAlert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 instance of one of the 10 alert types (A-J).</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AIAgentLog</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AI agent invocation with confidence score.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AuditLog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CREATE/UPDATE/DELETE on a major entity.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for an AI use case (stable across versions).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AIUseCaseVersion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versioned, labeled content snapshot of an AI use case; append-only.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BusinessRule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governed IF/THEN process rule with severity and owner.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COSO-classified internal control with type, frequency, effectiveness.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RiskOpportunity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risk or opportunity item with likelihood/impact scoring.</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controls mitigating a given risk/opportunity.</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A — Permission Catalog Summary</w:t>
      </w:r>
    </w:p>
    <w:p>
      <w:pPr>
        <w:spacing w:after="160" w:line="276"/>
        <w:jc w:val="both"/>
      </w:pPr>
      <w:r>
        <w:rPr>
          <w:rFonts w:ascii="Times New Roman" w:cs="Times New Roman" w:eastAsia="Times New Roman" w:hAnsi="Times New Roman"/>
          <w:color w:val="58595B"/>
          <w:sz w:val="24"/>
          <w:szCs w:val="24"/>
        </w:rPr>
        <w:t xml:space="preserve">The full permission matrix (role x permission) is administered live in the application's Permission Matrix screen and comprises approximately 60 permission codes across 20 modules (dashboard, fiche, action, rootcause, rex, standard, capitalization, user, role, hierarchy, obs, license, governance, aiUseCase, businessRule, control, riskOpportunity, report, alert, audit), each with up to five actions (view, create, edit, delete, and module-specific actions such as validate, close, assignTeam, updateOwn, evaluate, manageRoles, managePermissions, manage, export). Section 2.3 summarizes the resulting access per standard role; the live matrix is the system of record.</w:t>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B — KPI Formulas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46"/>
        <w:gridCol w:w="1400"/>
      </w:tblGrid>
      <w:tr>
        <w:trPr>
          <w:tblHeader/>
        </w:trPr>
        <w:tc>
          <w:tcPr>
            <w:tcW w:type="dxa" w:w="12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KPI</w:t>
            </w:r>
          </w:p>
        </w:tc>
        <w:tc>
          <w:tcPr>
            <w:tcW w:type="dxa" w:w="2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Formula</w:t>
            </w:r>
          </w:p>
        </w:tc>
        <w:tc>
          <w:tcPr>
            <w:tcW w:type="dxa" w:w="1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Immediate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Done / AI Total)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KPI2</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Immediate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Effective / AI Done)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KPI3</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On-Time Completion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on time / Total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KPI4</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Corrective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Done / AC Total)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KPI5</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Corrective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Effective / AC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KPI6</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Evaluations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(Evals Done / Evals Due)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KPI7</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Standardization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w/ std. update / Closed)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70%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KPI8</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Generalization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generalized / Closed)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40%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KPI9</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Non-Conformity Count per Department</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Count of Sheets per department per period</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Trending down</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KPI10</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 Closure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(Closed / Total Opened)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C — Alert Catalog (A-J)</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446"/>
        <w:gridCol w:w="1800"/>
      </w:tblGrid>
      <w:tr>
        <w:trPr>
          <w:tblHeader/>
        </w:trPr>
        <w:tc>
          <w:tcPr>
            <w:tcW w:type="dxa" w:w="9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Alert</w:t>
            </w:r>
          </w:p>
        </w:tc>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4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Trigger</w:t>
            </w:r>
          </w:p>
        </w:tc>
        <w:tc>
          <w:tcPr>
            <w:tcW w:type="dxa" w:w="1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High-Priority Problem</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Sheet with criticality High or priority 1</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 + 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Overdue</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passed, status not Done</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Pending Evaluation</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Marked Done, or evaluation due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 Not Started</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48h after detection, no root cause recorded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Stage Reminder</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corrective actions Effective</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 Breach</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Monthly KPI below configured threshold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Direction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Due Tomorrow</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 tomorrow</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Due in 2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in 2 days</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Evaluation Due in 2 Days</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review date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Priority-1 Sheet Inactive 3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update for 3+ days on a P1 Sheet</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D —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E1-E7 (referred to as "NCP Fiche" in the original source specification).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E1-E7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Understanding, Immediate Actions, Root Cause Analysis, Corrective Action Plan, Execution &amp; Evaluation, Capitalization.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Realisation - the user responsible for executing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Evaluation - the user responsible for verifying an action's effectiveness; must differ from the RR.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semantic search over the Capitalization Library grounding AI suggestions in the tenant's own historical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3E4" w:sz="4" w:space="4"/>
      </w:pBdr>
      <w:tabs>
        <w:tab w:val="right" w:pos="9026"/>
      </w:tabs>
    </w:pPr>
    <w:r>
      <w:rPr>
        <w:rFonts w:ascii="Times New Roman" w:cs="Times New Roman" w:eastAsia="Times New Roman" w:hAnsi="Times New Roman"/>
        <w:color w:val="808184"/>
        <w:sz w:val="16"/>
        <w:szCs w:val="16"/>
      </w:rPr>
      <w:t xml:space="preserve">Powered by POWERACT Consulting · Confidential</w:t>
    </w:r>
    <w:r>
      <w:rPr>
        <w:rFonts w:ascii="Times New Roman" w:cs="Times New Roman" w:eastAsia="Times New Roman" w:hAnsi="Times New Roman"/>
        <w:color w:val="808184"/>
        <w:sz w:val="16"/>
        <w:szCs w:val="16"/>
      </w:rPr>
      <w:t xml:space="preserve">	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b/>
        <w:bCs/>
        <w:color w:val="E07B00"/>
        <w:sz w:val="18"/>
        <w:szCs w:val="18"/>
      </w:rPr>
      <w:t xml:space="preserve">NCP Solver — DynamicMS Suite</w:t>
    </w:r>
    <w:r>
      <w:rPr>
        <w:rFonts w:ascii="Times New Roman" w:cs="Times New Roman" w:eastAsia="Times New Roman" w:hAnsi="Times New Roman"/>
        <w:color w:val="808184"/>
        <w:sz w:val="18"/>
        <w:szCs w:val="18"/>
      </w:rPr>
      <w:t xml:space="preserve">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 Solver — DynamicMS Suite: Software Requirements Specification</dc:title>
  <dc:creator>POWERACT Consulting</dc:creator>
  <dc:description>Functional and non-functional requirements, and interfaces, for NCP Solver.</dc:description>
  <cp:lastModifiedBy>Un-named</cp:lastModifiedBy>
  <cp:revision>1</cp:revision>
  <dcterms:created xsi:type="dcterms:W3CDTF">2026-09-09T06:08:03.585Z</dcterms:created>
  <dcterms:modified xsi:type="dcterms:W3CDTF">2026-09-09T06:08:03.586Z</dcterms:modified>
</cp:coreProperties>
</file>

<file path=docProps/custom.xml><?xml version="1.0" encoding="utf-8"?>
<Properties xmlns="http://schemas.openxmlformats.org/officeDocument/2006/custom-properties" xmlns:vt="http://schemas.openxmlformats.org/officeDocument/2006/docPropsVTypes"/>
</file>