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pPr>
      <w:r>
        <w:rPr/>
      </w:r>
    </w:p>
    <w:p>
      <w:pPr>
        <w:pStyle w:val="Normal"/>
        <w:spacing w:before="0" w:after="40"/>
        <w:jc w:val="center"/>
        <w:rPr/>
      </w:pPr>
      <w:r>
        <w:rPr>
          <w:rFonts w:eastAsia="Times New Roman" w:cs="Times New Roman"/>
          <w:b/>
          <w:bCs/>
          <w:color w:val="3A3A3C"/>
          <w:spacing w:val="60"/>
          <w:sz w:val="40"/>
          <w:szCs w:val="40"/>
        </w:rPr>
        <w:t>POWERACT</w:t>
      </w:r>
    </w:p>
    <w:p>
      <w:pPr>
        <w:pStyle w:val="Normal"/>
        <w:spacing w:before="0" w:after="1600"/>
        <w:jc w:val="center"/>
        <w:rPr/>
      </w:pPr>
      <w:r>
        <w:rPr>
          <w:rFonts w:eastAsia="Times New Roman" w:cs="Times New Roman"/>
          <w:color w:val="E07B00"/>
          <w:sz w:val="18"/>
          <w:szCs w:val="18"/>
        </w:rPr>
        <w:t>C O N S U L T I N G</w:t>
      </w:r>
    </w:p>
    <w:p>
      <w:pPr>
        <w:pStyle w:val="Normal"/>
        <w:spacing w:before="0" w:after="240"/>
        <w:jc w:val="center"/>
        <w:rPr/>
      </w:pPr>
      <w:r>
        <w:rPr>
          <w:rFonts w:eastAsia="Times New Roman" w:cs="Times New Roman"/>
          <w:b/>
          <w:bCs/>
          <w:color w:val="E07B00"/>
          <w:spacing w:val="40"/>
          <w:sz w:val="20"/>
          <w:szCs w:val="20"/>
        </w:rPr>
        <w:t>DYNAMICMS · COMMERCIAL CATALOG</w:t>
      </w:r>
    </w:p>
    <w:p>
      <w:pPr>
        <w:pStyle w:val="Normal"/>
        <w:spacing w:before="0" w:after="0"/>
        <w:jc w:val="center"/>
        <w:rPr/>
      </w:pPr>
      <w:r>
        <w:rPr>
          <w:rFonts w:eastAsia="Times New Roman" w:cs="Times New Roman"/>
          <w:b/>
          <w:bCs/>
          <w:color w:val="3A3A3C"/>
          <w:sz w:val="52"/>
          <w:szCs w:val="52"/>
        </w:rPr>
        <w:t>DynamicMS Packs, Integrations</w:t>
      </w:r>
    </w:p>
    <w:p>
      <w:pPr>
        <w:pStyle w:val="Normal"/>
        <w:spacing w:before="0" w:after="240"/>
        <w:jc w:val="center"/>
        <w:rPr/>
      </w:pPr>
      <w:r>
        <w:rPr>
          <w:rFonts w:eastAsia="Times New Roman" w:cs="Times New Roman"/>
          <w:b/>
          <w:bCs/>
          <w:color w:val="3A3A3C"/>
          <w:sz w:val="52"/>
          <w:szCs w:val="52"/>
        </w:rPr>
        <w:t>&amp; Add-Ons Catalog</w:t>
      </w:r>
    </w:p>
    <w:p>
      <w:pPr>
        <w:pStyle w:val="Normal"/>
        <w:spacing w:before="0" w:after="120"/>
        <w:jc w:val="center"/>
        <w:rPr/>
      </w:pPr>
      <w:r>
        <w:rPr>
          <w:rFonts w:eastAsia="Times New Roman" w:cs="Times New Roman"/>
          <w:color w:val="E07B00"/>
          <w:sz w:val="30"/>
          <w:szCs w:val="30"/>
        </w:rPr>
        <w:t>Commercial Architecture</w:t>
      </w:r>
    </w:p>
    <w:p>
      <w:pPr>
        <w:pStyle w:val="Normal"/>
        <w:spacing w:before="0" w:after="200"/>
        <w:jc w:val="center"/>
        <w:rPr/>
      </w:pPr>
      <w:r>
        <w:rPr>
          <w:rFonts w:eastAsia="Times New Roman" w:cs="Times New Roman"/>
          <w:i/>
          <w:iCs/>
          <w:color w:val="58595B"/>
          <w:sz w:val="22"/>
          <w:szCs w:val="22"/>
        </w:rPr>
        <w:t>Version 1.1</w:t>
      </w:r>
    </w:p>
    <w:p>
      <w:pPr>
        <w:pStyle w:val="Normal"/>
        <w:pBdr>
          <w:bottom w:val="single" w:sz="12" w:space="1" w:color="F8931D"/>
        </w:pBdr>
        <w:spacing w:before="0" w:after="800"/>
        <w:ind w:left="3600" w:right="3600"/>
        <w:jc w:val="center"/>
        <w:rPr/>
      </w:pPr>
      <w:r>
        <w:rPr/>
      </w:r>
    </w:p>
    <w:tbl>
      <w:tblPr>
        <w:tblW w:w="9744" w:type="dxa"/>
        <w:jc w:val="left"/>
        <w:tblInd w:w="0" w:type="dxa"/>
        <w:tblLayout w:type="fixed"/>
        <w:tblCellMar>
          <w:top w:w="200" w:type="dxa"/>
          <w:left w:w="100" w:type="dxa"/>
          <w:bottom w:w="200" w:type="dxa"/>
          <w:right w:w="100" w:type="dxa"/>
        </w:tblCellMar>
      </w:tblPr>
      <w:tblGrid>
        <w:gridCol w:w="2436"/>
        <w:gridCol w:w="2436"/>
        <w:gridCol w:w="2436"/>
        <w:gridCol w:w="2435"/>
      </w:tblGrid>
      <w:tr>
        <w:trPr/>
        <w:tc>
          <w:tcPr>
            <w:tcW w:w="2436" w:type="dxa"/>
            <w:tcBorders>
              <w:top w:val="single" w:sz="12" w:space="0" w:color="F8931D"/>
              <w:left w:val="single" w:sz="4" w:space="0" w:color="E3E3E4"/>
              <w:bottom w:val="single" w:sz="4" w:space="0" w:color="E3E3E4"/>
              <w:right w:val="single" w:sz="4" w:space="0" w:color="E3E3E4"/>
            </w:tcBorders>
            <w:shd w:color="auto" w:fill="FFFFFF" w:val="clear"/>
          </w:tcPr>
          <w:p>
            <w:pPr>
              <w:pStyle w:val="Normal"/>
              <w:jc w:val="center"/>
              <w:rPr/>
            </w:pPr>
            <w:r>
              <w:rPr>
                <w:rFonts w:eastAsia="Times New Roman" w:cs="Times New Roman"/>
                <w:b/>
                <w:bCs/>
                <w:color w:val="E07B00"/>
                <w:sz w:val="44"/>
                <w:szCs w:val="44"/>
              </w:rPr>
              <w:t>12</w:t>
            </w:r>
          </w:p>
          <w:p>
            <w:pPr>
              <w:pStyle w:val="Normal"/>
              <w:jc w:val="center"/>
              <w:rPr/>
            </w:pPr>
            <w:r>
              <w:rPr>
                <w:rFonts w:eastAsia="Times New Roman" w:cs="Times New Roman"/>
                <w:color w:val="58595B"/>
                <w:sz w:val="18"/>
                <w:szCs w:val="18"/>
              </w:rPr>
              <w:t>Packs</w:t>
            </w:r>
          </w:p>
        </w:tc>
        <w:tc>
          <w:tcPr>
            <w:tcW w:w="2436" w:type="dxa"/>
            <w:tcBorders>
              <w:top w:val="single" w:sz="12" w:space="0" w:color="F8931D"/>
              <w:left w:val="single" w:sz="4" w:space="0" w:color="E3E3E4"/>
              <w:bottom w:val="single" w:sz="4" w:space="0" w:color="E3E3E4"/>
              <w:right w:val="single" w:sz="4" w:space="0" w:color="E3E3E4"/>
            </w:tcBorders>
            <w:shd w:color="auto" w:fill="FFFFFF" w:val="clear"/>
          </w:tcPr>
          <w:p>
            <w:pPr>
              <w:pStyle w:val="Normal"/>
              <w:jc w:val="center"/>
              <w:rPr/>
            </w:pPr>
            <w:r>
              <w:rPr>
                <w:rFonts w:eastAsia="Times New Roman" w:cs="Times New Roman"/>
                <w:b/>
                <w:bCs/>
                <w:color w:val="E07B00"/>
                <w:sz w:val="44"/>
                <w:szCs w:val="44"/>
              </w:rPr>
              <w:t>12</w:t>
            </w:r>
          </w:p>
          <w:p>
            <w:pPr>
              <w:pStyle w:val="Normal"/>
              <w:jc w:val="center"/>
              <w:rPr/>
            </w:pPr>
            <w:r>
              <w:rPr>
                <w:rFonts w:eastAsia="Times New Roman" w:cs="Times New Roman"/>
                <w:color w:val="58595B"/>
                <w:sz w:val="18"/>
                <w:szCs w:val="18"/>
              </w:rPr>
              <w:t>Integrations</w:t>
            </w:r>
          </w:p>
        </w:tc>
        <w:tc>
          <w:tcPr>
            <w:tcW w:w="2436" w:type="dxa"/>
            <w:tcBorders>
              <w:top w:val="single" w:sz="12" w:space="0" w:color="F8931D"/>
              <w:left w:val="single" w:sz="4" w:space="0" w:color="E3E3E4"/>
              <w:bottom w:val="single" w:sz="4" w:space="0" w:color="E3E3E4"/>
              <w:right w:val="single" w:sz="4" w:space="0" w:color="E3E3E4"/>
            </w:tcBorders>
            <w:shd w:color="auto" w:fill="FFFFFF" w:val="clear"/>
          </w:tcPr>
          <w:p>
            <w:pPr>
              <w:pStyle w:val="Normal"/>
              <w:jc w:val="center"/>
              <w:rPr/>
            </w:pPr>
            <w:r>
              <w:rPr>
                <w:rFonts w:eastAsia="Times New Roman" w:cs="Times New Roman"/>
                <w:b/>
                <w:bCs/>
                <w:color w:val="E07B00"/>
                <w:sz w:val="44"/>
                <w:szCs w:val="44"/>
              </w:rPr>
              <w:t>12</w:t>
            </w:r>
          </w:p>
          <w:p>
            <w:pPr>
              <w:pStyle w:val="Normal"/>
              <w:jc w:val="center"/>
              <w:rPr/>
            </w:pPr>
            <w:r>
              <w:rPr>
                <w:rFonts w:eastAsia="Times New Roman" w:cs="Times New Roman"/>
                <w:color w:val="58595B"/>
                <w:sz w:val="18"/>
                <w:szCs w:val="18"/>
              </w:rPr>
              <w:t>Add-Ons</w:t>
            </w:r>
          </w:p>
        </w:tc>
        <w:tc>
          <w:tcPr>
            <w:tcW w:w="2435" w:type="dxa"/>
            <w:tcBorders>
              <w:top w:val="single" w:sz="12" w:space="0" w:color="F8931D"/>
              <w:left w:val="single" w:sz="4" w:space="0" w:color="E3E3E4"/>
              <w:bottom w:val="single" w:sz="4" w:space="0" w:color="E3E3E4"/>
              <w:right w:val="single" w:sz="4" w:space="0" w:color="E3E3E4"/>
            </w:tcBorders>
            <w:shd w:color="auto" w:fill="FFFFFF" w:val="clear"/>
          </w:tcPr>
          <w:p>
            <w:pPr>
              <w:pStyle w:val="Normal"/>
              <w:jc w:val="center"/>
              <w:rPr/>
            </w:pPr>
            <w:r>
              <w:rPr>
                <w:rFonts w:eastAsia="Times New Roman" w:cs="Times New Roman"/>
                <w:b/>
                <w:bCs/>
                <w:color w:val="E07B00"/>
                <w:sz w:val="44"/>
                <w:szCs w:val="44"/>
              </w:rPr>
              <w:t>7</w:t>
            </w:r>
          </w:p>
          <w:p>
            <w:pPr>
              <w:pStyle w:val="Normal"/>
              <w:jc w:val="center"/>
              <w:rPr/>
            </w:pPr>
            <w:r>
              <w:rPr>
                <w:rFonts w:eastAsia="Times New Roman" w:cs="Times New Roman"/>
                <w:color w:val="58595B"/>
                <w:sz w:val="18"/>
                <w:szCs w:val="18"/>
              </w:rPr>
              <w:t>Deployment Modes</w:t>
            </w:r>
          </w:p>
        </w:tc>
      </w:tr>
    </w:tbl>
    <w:p>
      <w:pPr>
        <w:pStyle w:val="Normal"/>
        <w:spacing w:before="0" w:after="3000"/>
        <w:rPr/>
      </w:pPr>
      <w:r>
        <w:rPr/>
      </w:r>
    </w:p>
    <w:p>
      <w:pPr>
        <w:pStyle w:val="Normal"/>
        <w:spacing w:before="0" w:after="60"/>
        <w:jc w:val="center"/>
        <w:rPr/>
      </w:pPr>
      <w:r>
        <w:rPr>
          <w:rFonts w:eastAsia="Times New Roman" w:cs="Times New Roman"/>
          <w:b/>
          <w:bCs/>
          <w:color w:val="3A3A3C"/>
          <w:sz w:val="20"/>
          <w:szCs w:val="20"/>
        </w:rPr>
        <w:t>Prepared by POWERACT Consulting</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540" w:top="1080" w:footer="540" w:bottom="1080"/>
          <w:pgNumType w:fmt="decimal"/>
          <w:formProt w:val="false"/>
          <w:textDirection w:val="lrTb"/>
          <w:docGrid w:type="default" w:linePitch="360" w:charSpace="0"/>
        </w:sectPr>
        <w:pStyle w:val="Normal"/>
        <w:jc w:val="center"/>
        <w:rPr/>
      </w:pPr>
      <w:r>
        <w:rPr>
          <w:rFonts w:eastAsia="Times New Roman" w:cs="Times New Roman"/>
          <w:color w:val="808184"/>
          <w:sz w:val="18"/>
          <w:szCs w:val="18"/>
        </w:rPr>
        <w:t>October 2026  ·  Confidential</w:t>
      </w:r>
    </w:p>
    <w:p>
      <w:pPr>
        <w:pStyle w:val="Normal"/>
        <w:spacing w:before="0" w:after="60"/>
        <w:rPr/>
      </w:pPr>
      <w:r>
        <w:rPr>
          <w:rFonts w:eastAsia="Times New Roman" w:cs="Times New Roman"/>
          <w:b/>
          <w:bCs/>
          <w:color w:val="E07B00"/>
          <w:spacing w:val="40"/>
          <w:sz w:val="20"/>
          <w:szCs w:val="20"/>
        </w:rPr>
        <w:t>CONTENTS</w:t>
      </w:r>
    </w:p>
    <w:p>
      <w:pPr>
        <w:pStyle w:val="Normal"/>
        <w:pBdr>
          <w:bottom w:val="single" w:sz="8" w:space="4" w:color="F8931D"/>
        </w:pBdr>
        <w:spacing w:before="0" w:after="300"/>
        <w:rPr/>
      </w:pPr>
      <w:r>
        <w:rPr>
          <w:rFonts w:eastAsia="Times New Roman" w:cs="Times New Roman"/>
          <w:b/>
          <w:bCs/>
          <w:color w:val="3A3A3C"/>
          <w:sz w:val="34"/>
          <w:szCs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5833_4193276671">
            <w:r>
              <w:rPr>
                <w:webHidden/>
                <w:rStyle w:val="IndexLink"/>
              </w:rPr>
              <w:t>Part 1 — Executive Summary</w:t>
              <w:tab/>
              <w:t>3</w:t>
            </w:r>
          </w:hyperlink>
        </w:p>
        <w:p>
          <w:pPr>
            <w:pStyle w:val="TOC2"/>
            <w:tabs>
              <w:tab w:val="clear" w:pos="9746"/>
              <w:tab w:val="right" w:pos="9745" w:leader="dot"/>
            </w:tabs>
            <w:rPr/>
          </w:pPr>
          <w:hyperlink w:anchor="__RefHeading___Toc5835_4193276671">
            <w:r>
              <w:rPr>
                <w:webHidden/>
                <w:rStyle w:val="IndexLink"/>
              </w:rPr>
              <w:t>1.1 Document Purpose</w:t>
              <w:tab/>
              <w:t>3</w:t>
            </w:r>
          </w:hyperlink>
        </w:p>
        <w:p>
          <w:pPr>
            <w:pStyle w:val="TOC2"/>
            <w:tabs>
              <w:tab w:val="clear" w:pos="9746"/>
              <w:tab w:val="right" w:pos="9745" w:leader="dot"/>
            </w:tabs>
            <w:rPr/>
          </w:pPr>
          <w:hyperlink w:anchor="__RefHeading___Toc5837_4193276671">
            <w:r>
              <w:rPr>
                <w:webHidden/>
                <w:rStyle w:val="IndexLink"/>
              </w:rPr>
              <w:t>1.2 Commercial Model Overview</w:t>
              <w:tab/>
              <w:t>3</w:t>
            </w:r>
          </w:hyperlink>
        </w:p>
        <w:p>
          <w:pPr>
            <w:pStyle w:val="TOC2"/>
            <w:tabs>
              <w:tab w:val="clear" w:pos="9746"/>
              <w:tab w:val="right" w:pos="9745" w:leader="dot"/>
            </w:tabs>
            <w:rPr/>
          </w:pPr>
          <w:hyperlink w:anchor="__RefHeading___Toc5839_4193276671">
            <w:r>
              <w:rPr>
                <w:webHidden/>
                <w:rStyle w:val="IndexLink"/>
              </w:rPr>
              <w:t>1.3 Pricing Philosophy</w:t>
              <w:tab/>
              <w:t>4</w:t>
            </w:r>
          </w:hyperlink>
        </w:p>
        <w:p>
          <w:pPr>
            <w:pStyle w:val="TOC2"/>
            <w:tabs>
              <w:tab w:val="clear" w:pos="9746"/>
              <w:tab w:val="right" w:pos="9745" w:leader="dot"/>
            </w:tabs>
            <w:rPr/>
          </w:pPr>
          <w:hyperlink w:anchor="__RefHeading___Toc5841_4193276671">
            <w:r>
              <w:rPr>
                <w:webHidden/>
                <w:rStyle w:val="IndexLink"/>
              </w:rPr>
              <w:t>1.4 Deployment Modes Overview</w:t>
              <w:tab/>
              <w:t>4</w:t>
            </w:r>
          </w:hyperlink>
        </w:p>
        <w:p>
          <w:pPr>
            <w:pStyle w:val="TOC2"/>
            <w:tabs>
              <w:tab w:val="clear" w:pos="9746"/>
              <w:tab w:val="right" w:pos="9745" w:leader="dot"/>
            </w:tabs>
            <w:rPr/>
          </w:pPr>
          <w:hyperlink w:anchor="__RefHeading___Toc5843_4193276671">
            <w:r>
              <w:rPr>
                <w:webHidden/>
                <w:rStyle w:val="IndexLink"/>
              </w:rPr>
              <w:t>1.5 Revision History</w:t>
              <w:tab/>
              <w:t>4</w:t>
            </w:r>
          </w:hyperlink>
        </w:p>
        <w:p>
          <w:pPr>
            <w:pStyle w:val="TOC1"/>
            <w:tabs>
              <w:tab w:val="clear" w:pos="9746"/>
              <w:tab w:val="right" w:pos="9745" w:leader="dot"/>
            </w:tabs>
            <w:rPr/>
          </w:pPr>
          <w:hyperlink w:anchor="__RefHeading___Toc5845_4193276671">
            <w:r>
              <w:rPr>
                <w:webHidden/>
                <w:rStyle w:val="IndexLink"/>
              </w:rPr>
              <w:t>Part 2 — Packs Catalog (12 Optimized Packs)</w:t>
              <w:tab/>
              <w:t>5</w:t>
            </w:r>
          </w:hyperlink>
        </w:p>
        <w:p>
          <w:pPr>
            <w:pStyle w:val="TOC2"/>
            <w:tabs>
              <w:tab w:val="clear" w:pos="9746"/>
              <w:tab w:val="right" w:pos="9745" w:leader="dot"/>
            </w:tabs>
            <w:rPr/>
          </w:pPr>
          <w:hyperlink w:anchor="__RefHeading___Toc5847_4193276671">
            <w:r>
              <w:rPr>
                <w:webHidden/>
                <w:rStyle w:val="IndexLink"/>
              </w:rPr>
              <w:t>2.1 Pack Overview Table</w:t>
              <w:tab/>
              <w:t>5</w:t>
            </w:r>
          </w:hyperlink>
        </w:p>
        <w:p>
          <w:pPr>
            <w:pStyle w:val="TOC2"/>
            <w:tabs>
              <w:tab w:val="clear" w:pos="9746"/>
              <w:tab w:val="right" w:pos="9745" w:leader="dot"/>
            </w:tabs>
            <w:rPr/>
          </w:pPr>
          <w:hyperlink w:anchor="__RefHeading___Toc5849_4193276671">
            <w:r>
              <w:rPr>
                <w:webHidden/>
                <w:rStyle w:val="IndexLink"/>
              </w:rPr>
              <w:t>2.2 Base Packs</w:t>
              <w:tab/>
              <w:t>6</w:t>
            </w:r>
          </w:hyperlink>
        </w:p>
        <w:p>
          <w:pPr>
            <w:pStyle w:val="TOC3"/>
            <w:tabs>
              <w:tab w:val="clear" w:pos="9746"/>
              <w:tab w:val="right" w:pos="9745" w:leader="dot"/>
            </w:tabs>
            <w:rPr/>
          </w:pPr>
          <w:hyperlink w:anchor="__RefHeading___Toc5851_4193276671">
            <w:r>
              <w:rPr>
                <w:webHidden/>
                <w:rStyle w:val="IndexLink"/>
              </w:rPr>
              <w:t>Pack DMS-SME — SME Essentials</w:t>
              <w:tab/>
              <w:t>6</w:t>
            </w:r>
          </w:hyperlink>
        </w:p>
        <w:p>
          <w:pPr>
            <w:pStyle w:val="TOC3"/>
            <w:tabs>
              <w:tab w:val="clear" w:pos="9746"/>
              <w:tab w:val="right" w:pos="9745" w:leader="dot"/>
            </w:tabs>
            <w:rPr/>
          </w:pPr>
          <w:hyperlink w:anchor="__RefHeading___Toc5853_4193276671">
            <w:r>
              <w:rPr>
                <w:webHidden/>
                <w:rStyle w:val="IndexLink"/>
              </w:rPr>
              <w:t>Pack DMS-PRO — Professional Multi-Standard IMS</w:t>
              <w:tab/>
              <w:t>6</w:t>
            </w:r>
          </w:hyperlink>
        </w:p>
        <w:p>
          <w:pPr>
            <w:pStyle w:val="TOC3"/>
            <w:tabs>
              <w:tab w:val="clear" w:pos="9746"/>
              <w:tab w:val="right" w:pos="9745" w:leader="dot"/>
            </w:tabs>
            <w:rPr/>
          </w:pPr>
          <w:hyperlink w:anchor="__RefHeading___Toc5855_4193276671">
            <w:r>
              <w:rPr>
                <w:webHidden/>
                <w:rStyle w:val="IndexLink"/>
              </w:rPr>
              <w:t>Pack DMS-ENT — Enterprise Regulated IMS</w:t>
              <w:tab/>
              <w:t>7</w:t>
            </w:r>
          </w:hyperlink>
        </w:p>
        <w:p>
          <w:pPr>
            <w:pStyle w:val="TOC2"/>
            <w:tabs>
              <w:tab w:val="clear" w:pos="9746"/>
              <w:tab w:val="right" w:pos="9745" w:leader="dot"/>
            </w:tabs>
            <w:rPr/>
          </w:pPr>
          <w:hyperlink w:anchor="__RefHeading___Toc5857_4193276671">
            <w:r>
              <w:rPr>
                <w:webHidden/>
                <w:rStyle w:val="IndexLink"/>
              </w:rPr>
              <w:t>2.3 Industry Packs</w:t>
              <w:tab/>
              <w:t>7</w:t>
            </w:r>
          </w:hyperlink>
        </w:p>
        <w:p>
          <w:pPr>
            <w:pStyle w:val="TOC3"/>
            <w:tabs>
              <w:tab w:val="clear" w:pos="9746"/>
              <w:tab w:val="right" w:pos="9745" w:leader="dot"/>
            </w:tabs>
            <w:rPr/>
          </w:pPr>
          <w:hyperlink w:anchor="__RefHeading___Toc5859_4193276671">
            <w:r>
              <w:rPr>
                <w:webHidden/>
                <w:rStyle w:val="IndexLink"/>
              </w:rPr>
              <w:t>Pack DMS-AUTO — Automotive, Industrial &amp; Manufacturing Pack</w:t>
              <w:tab/>
              <w:t>7</w:t>
            </w:r>
          </w:hyperlink>
        </w:p>
        <w:p>
          <w:pPr>
            <w:pStyle w:val="TOC3"/>
            <w:tabs>
              <w:tab w:val="clear" w:pos="9746"/>
              <w:tab w:val="right" w:pos="9745" w:leader="dot"/>
            </w:tabs>
            <w:rPr/>
          </w:pPr>
          <w:hyperlink w:anchor="__RefHeading___Toc5861_4193276671">
            <w:r>
              <w:rPr>
                <w:webHidden/>
                <w:rStyle w:val="IndexLink"/>
              </w:rPr>
              <w:t>Pack DMS-LSCI — Life Sciences &amp; Healthcare Pack</w:t>
              <w:tab/>
              <w:t>8</w:t>
            </w:r>
          </w:hyperlink>
        </w:p>
        <w:p>
          <w:pPr>
            <w:pStyle w:val="TOC3"/>
            <w:tabs>
              <w:tab w:val="clear" w:pos="9746"/>
              <w:tab w:val="right" w:pos="9745" w:leader="dot"/>
            </w:tabs>
            <w:rPr/>
          </w:pPr>
          <w:hyperlink w:anchor="__RefHeading___Toc5863_4193276671">
            <w:r>
              <w:rPr>
                <w:webHidden/>
                <w:rStyle w:val="IndexLink"/>
              </w:rPr>
              <w:t>Pack DMS-FOOD — Food Safety &amp; Consumer Goods Pack</w:t>
              <w:tab/>
              <w:t>8</w:t>
            </w:r>
          </w:hyperlink>
        </w:p>
        <w:p>
          <w:pPr>
            <w:pStyle w:val="TOC3"/>
            <w:tabs>
              <w:tab w:val="clear" w:pos="9746"/>
              <w:tab w:val="right" w:pos="9745" w:leader="dot"/>
            </w:tabs>
            <w:rPr/>
          </w:pPr>
          <w:hyperlink w:anchor="__RefHeading___Toc5865_4193276671">
            <w:r>
              <w:rPr>
                <w:webHidden/>
                <w:rStyle w:val="IndexLink"/>
              </w:rPr>
              <w:t>Pack DMS-PROC — Process, Energy &amp; Infrastructure Pack</w:t>
              <w:tab/>
              <w:t>9</w:t>
            </w:r>
          </w:hyperlink>
        </w:p>
        <w:p>
          <w:pPr>
            <w:pStyle w:val="TOC3"/>
            <w:tabs>
              <w:tab w:val="clear" w:pos="9746"/>
              <w:tab w:val="right" w:pos="9745" w:leader="dot"/>
            </w:tabs>
            <w:rPr/>
          </w:pPr>
          <w:hyperlink w:anchor="__RefHeading___Toc5867_4193276671">
            <w:r>
              <w:rPr>
                <w:webHidden/>
                <w:rStyle w:val="IndexLink"/>
              </w:rPr>
              <w:t>Pack DMS-AERO — Aerospace &amp; Defense Pack</w:t>
              <w:tab/>
              <w:t>9</w:t>
            </w:r>
          </w:hyperlink>
        </w:p>
        <w:p>
          <w:pPr>
            <w:pStyle w:val="TOC3"/>
            <w:tabs>
              <w:tab w:val="clear" w:pos="9746"/>
              <w:tab w:val="right" w:pos="9745" w:leader="dot"/>
            </w:tabs>
            <w:rPr/>
          </w:pPr>
          <w:hyperlink w:anchor="__RefHeading___Toc5869_4193276671">
            <w:r>
              <w:rPr>
                <w:webHidden/>
                <w:rStyle w:val="IndexLink"/>
              </w:rPr>
              <w:t>Pack DMS-MARI — Maritime &amp; Shipbuilding Pack</w:t>
              <w:tab/>
              <w:t>10</w:t>
            </w:r>
          </w:hyperlink>
        </w:p>
        <w:p>
          <w:pPr>
            <w:pStyle w:val="TOC2"/>
            <w:tabs>
              <w:tab w:val="clear" w:pos="9746"/>
              <w:tab w:val="right" w:pos="9745" w:leader="dot"/>
            </w:tabs>
            <w:rPr/>
          </w:pPr>
          <w:hyperlink w:anchor="__RefHeading___Toc5871_4193276671">
            <w:r>
              <w:rPr>
                <w:webHidden/>
                <w:rStyle w:val="IndexLink"/>
              </w:rPr>
              <w:t>2.4 Capability Packs</w:t>
              <w:tab/>
              <w:t>10</w:t>
            </w:r>
          </w:hyperlink>
        </w:p>
        <w:p>
          <w:pPr>
            <w:pStyle w:val="TOC3"/>
            <w:tabs>
              <w:tab w:val="clear" w:pos="9746"/>
              <w:tab w:val="right" w:pos="9745" w:leader="dot"/>
            </w:tabs>
            <w:rPr/>
          </w:pPr>
          <w:hyperlink w:anchor="__RefHeading___Toc5873_4193276671">
            <w:r>
              <w:rPr>
                <w:webHidden/>
                <w:rStyle w:val="IndexLink"/>
              </w:rPr>
              <w:t>Pack DMS-CERT — Certification &amp; Audit Accelerator</w:t>
              <w:tab/>
              <w:t>10</w:t>
            </w:r>
          </w:hyperlink>
        </w:p>
        <w:p>
          <w:pPr>
            <w:pStyle w:val="TOC3"/>
            <w:tabs>
              <w:tab w:val="clear" w:pos="9746"/>
              <w:tab w:val="right" w:pos="9745" w:leader="dot"/>
            </w:tabs>
            <w:rPr/>
          </w:pPr>
          <w:hyperlink w:anchor="__RefHeading___Toc5875_4193276671">
            <w:r>
              <w:rPr>
                <w:webHidden/>
                <w:rStyle w:val="IndexLink"/>
              </w:rPr>
              <w:t>Pack DMS-AI — AI Intelligence &amp; Assurance</w:t>
              <w:tab/>
              <w:t>11</w:t>
            </w:r>
          </w:hyperlink>
        </w:p>
        <w:p>
          <w:pPr>
            <w:pStyle w:val="TOC3"/>
            <w:tabs>
              <w:tab w:val="clear" w:pos="9746"/>
              <w:tab w:val="right" w:pos="9745" w:leader="dot"/>
            </w:tabs>
            <w:rPr/>
          </w:pPr>
          <w:hyperlink w:anchor="__RefHeading___Toc5877_4193276671">
            <w:r>
              <w:rPr>
                <w:webHidden/>
                <w:rStyle w:val="IndexLink"/>
              </w:rPr>
              <w:t>Pack DMS-ESG — ESG &amp; Sustainability Pack</w:t>
              <w:tab/>
              <w:t>11</w:t>
            </w:r>
          </w:hyperlink>
        </w:p>
        <w:p>
          <w:pPr>
            <w:pStyle w:val="TOC2"/>
            <w:tabs>
              <w:tab w:val="clear" w:pos="9746"/>
              <w:tab w:val="right" w:pos="9745" w:leader="dot"/>
            </w:tabs>
            <w:rPr/>
          </w:pPr>
          <w:hyperlink w:anchor="__RefHeading___Toc5879_4193276671">
            <w:r>
              <w:rPr>
                <w:webHidden/>
                <w:rStyle w:val="IndexLink"/>
              </w:rPr>
              <w:t>2.5 Segment-to-Pack Mapping Matrix</w:t>
              <w:tab/>
              <w:t>11</w:t>
            </w:r>
          </w:hyperlink>
        </w:p>
        <w:p>
          <w:pPr>
            <w:pStyle w:val="TOC1"/>
            <w:tabs>
              <w:tab w:val="clear" w:pos="9746"/>
              <w:tab w:val="right" w:pos="9745" w:leader="dot"/>
            </w:tabs>
            <w:rPr/>
          </w:pPr>
          <w:hyperlink w:anchor="__RefHeading___Toc5881_4193276671">
            <w:r>
              <w:rPr>
                <w:webHidden/>
                <w:rStyle w:val="IndexLink"/>
              </w:rPr>
              <w:t>Part 3 — Integrations Catalog (12 Integrations)</w:t>
              <w:tab/>
              <w:t>13</w:t>
            </w:r>
          </w:hyperlink>
        </w:p>
        <w:p>
          <w:pPr>
            <w:pStyle w:val="TOC2"/>
            <w:tabs>
              <w:tab w:val="clear" w:pos="9746"/>
              <w:tab w:val="right" w:pos="9745" w:leader="dot"/>
            </w:tabs>
            <w:rPr/>
          </w:pPr>
          <w:hyperlink w:anchor="__RefHeading___Toc5883_4193276671">
            <w:r>
              <w:rPr>
                <w:webHidden/>
                <w:rStyle w:val="IndexLink"/>
              </w:rPr>
              <w:t>3.1 Integration Overview Table</w:t>
              <w:tab/>
              <w:t>13</w:t>
            </w:r>
          </w:hyperlink>
        </w:p>
        <w:p>
          <w:pPr>
            <w:pStyle w:val="TOC2"/>
            <w:tabs>
              <w:tab w:val="clear" w:pos="9746"/>
              <w:tab w:val="right" w:pos="9745" w:leader="dot"/>
            </w:tabs>
            <w:rPr/>
          </w:pPr>
          <w:hyperlink w:anchor="__RefHeading___Toc5885_4193276671">
            <w:r>
              <w:rPr>
                <w:webHidden/>
                <w:rStyle w:val="IndexLink"/>
              </w:rPr>
              <w:t>3.2 Detailed Integration Specifications</w:t>
              <w:tab/>
              <w:t>13</w:t>
            </w:r>
          </w:hyperlink>
        </w:p>
        <w:p>
          <w:pPr>
            <w:pStyle w:val="TOC3"/>
            <w:tabs>
              <w:tab w:val="clear" w:pos="9746"/>
              <w:tab w:val="right" w:pos="9745" w:leader="dot"/>
            </w:tabs>
            <w:rPr/>
          </w:pPr>
          <w:hyperlink w:anchor="__RefHeading___Toc5887_4193276671">
            <w:r>
              <w:rPr>
                <w:webHidden/>
                <w:rStyle w:val="IndexLink"/>
              </w:rPr>
              <w:t>INT-01 — Odoo ERP Integration</w:t>
              <w:tab/>
              <w:t>13</w:t>
            </w:r>
          </w:hyperlink>
        </w:p>
        <w:p>
          <w:pPr>
            <w:pStyle w:val="TOC3"/>
            <w:tabs>
              <w:tab w:val="clear" w:pos="9746"/>
              <w:tab w:val="right" w:pos="9745" w:leader="dot"/>
            </w:tabs>
            <w:rPr/>
          </w:pPr>
          <w:hyperlink w:anchor="__RefHeading___Toc5889_4193276671">
            <w:r>
              <w:rPr>
                <w:webHidden/>
                <w:rStyle w:val="IndexLink"/>
              </w:rPr>
              <w:t>INT-02 — SAP ERP / S/4HANA Integration</w:t>
              <w:tab/>
              <w:t>13</w:t>
            </w:r>
          </w:hyperlink>
        </w:p>
        <w:p>
          <w:pPr>
            <w:pStyle w:val="TOC3"/>
            <w:tabs>
              <w:tab w:val="clear" w:pos="9746"/>
              <w:tab w:val="right" w:pos="9745" w:leader="dot"/>
            </w:tabs>
            <w:rPr/>
          </w:pPr>
          <w:hyperlink w:anchor="__RefHeading___Toc5891_4193276671">
            <w:r>
              <w:rPr>
                <w:webHidden/>
                <w:rStyle w:val="IndexLink"/>
              </w:rPr>
              <w:t>INT-03 — ZenHR HRMS Integration (Middle East)</w:t>
              <w:tab/>
              <w:t>14</w:t>
            </w:r>
          </w:hyperlink>
        </w:p>
        <w:p>
          <w:pPr>
            <w:pStyle w:val="TOC3"/>
            <w:tabs>
              <w:tab w:val="clear" w:pos="9746"/>
              <w:tab w:val="right" w:pos="9745" w:leader="dot"/>
            </w:tabs>
            <w:rPr/>
          </w:pPr>
          <w:hyperlink w:anchor="__RefHeading___Toc5893_4193276671">
            <w:r>
              <w:rPr>
                <w:webHidden/>
                <w:rStyle w:val="IndexLink"/>
              </w:rPr>
              <w:t>INT-04 — Personio HR Integration (Europe)</w:t>
              <w:tab/>
              <w:t>14</w:t>
            </w:r>
          </w:hyperlink>
        </w:p>
        <w:p>
          <w:pPr>
            <w:pStyle w:val="TOC3"/>
            <w:tabs>
              <w:tab w:val="clear" w:pos="9746"/>
              <w:tab w:val="right" w:pos="9745" w:leader="dot"/>
            </w:tabs>
            <w:rPr/>
          </w:pPr>
          <w:hyperlink w:anchor="__RefHeading___Toc5895_4193276671">
            <w:r>
              <w:rPr>
                <w:webHidden/>
                <w:rStyle w:val="IndexLink"/>
              </w:rPr>
              <w:t>INT-05 — HubSpot CRM Integration</w:t>
              <w:tab/>
              <w:t>14</w:t>
            </w:r>
          </w:hyperlink>
        </w:p>
        <w:p>
          <w:pPr>
            <w:pStyle w:val="TOC3"/>
            <w:tabs>
              <w:tab w:val="clear" w:pos="9746"/>
              <w:tab w:val="right" w:pos="9745" w:leader="dot"/>
            </w:tabs>
            <w:rPr/>
          </w:pPr>
          <w:hyperlink w:anchor="__RefHeading___Toc5897_4193276671">
            <w:r>
              <w:rPr>
                <w:webHidden/>
                <w:rStyle w:val="IndexLink"/>
              </w:rPr>
              <w:t>INT-06 — Siemens Opcenter MES Integration</w:t>
              <w:tab/>
              <w:t>14</w:t>
            </w:r>
          </w:hyperlink>
        </w:p>
        <w:p>
          <w:pPr>
            <w:pStyle w:val="TOC3"/>
            <w:tabs>
              <w:tab w:val="clear" w:pos="9746"/>
              <w:tab w:val="right" w:pos="9745" w:leader="dot"/>
            </w:tabs>
            <w:rPr/>
          </w:pPr>
          <w:hyperlink w:anchor="__RefHeading___Toc5899_4193276671">
            <w:r>
              <w:rPr>
                <w:webHidden/>
                <w:rStyle w:val="IndexLink"/>
              </w:rPr>
              <w:t>INT-07 — Thermo Fisher SampleManager LIMS Integration</w:t>
              <w:tab/>
              <w:t>15</w:t>
            </w:r>
          </w:hyperlink>
        </w:p>
        <w:p>
          <w:pPr>
            <w:pStyle w:val="TOC3"/>
            <w:tabs>
              <w:tab w:val="clear" w:pos="9746"/>
              <w:tab w:val="right" w:pos="9745" w:leader="dot"/>
            </w:tabs>
            <w:rPr/>
          </w:pPr>
          <w:hyperlink w:anchor="__RefHeading___Toc5901_4193276671">
            <w:r>
              <w:rPr>
                <w:webHidden/>
                <w:rStyle w:val="IndexLink"/>
              </w:rPr>
              <w:t>INT-08 — ManWinWin CMMS Integration</w:t>
              <w:tab/>
              <w:t>15</w:t>
            </w:r>
          </w:hyperlink>
        </w:p>
        <w:p>
          <w:pPr>
            <w:pStyle w:val="TOC3"/>
            <w:tabs>
              <w:tab w:val="clear" w:pos="9746"/>
              <w:tab w:val="right" w:pos="9745" w:leader="dot"/>
            </w:tabs>
            <w:rPr/>
          </w:pPr>
          <w:hyperlink w:anchor="__RefHeading___Toc5903_4193276671">
            <w:r>
              <w:rPr>
                <w:webHidden/>
                <w:rStyle w:val="IndexLink"/>
              </w:rPr>
              <w:t>INT-09 — EcoOnline EHS Software Integration</w:t>
              <w:tab/>
              <w:t>15</w:t>
            </w:r>
          </w:hyperlink>
        </w:p>
        <w:p>
          <w:pPr>
            <w:pStyle w:val="TOC3"/>
            <w:tabs>
              <w:tab w:val="clear" w:pos="9746"/>
              <w:tab w:val="right" w:pos="9745" w:leader="dot"/>
            </w:tabs>
            <w:rPr/>
          </w:pPr>
          <w:hyperlink w:anchor="__RefHeading___Toc5905_4193276671">
            <w:r>
              <w:rPr>
                <w:webHidden/>
                <w:rStyle w:val="IndexLink"/>
              </w:rPr>
              <w:t>INT-10 — AVEVA System Platform / SCADA Integration</w:t>
              <w:tab/>
              <w:t>15</w:t>
            </w:r>
          </w:hyperlink>
        </w:p>
        <w:p>
          <w:pPr>
            <w:pStyle w:val="TOC3"/>
            <w:tabs>
              <w:tab w:val="clear" w:pos="9746"/>
              <w:tab w:val="right" w:pos="9745" w:leader="dot"/>
            </w:tabs>
            <w:rPr/>
          </w:pPr>
          <w:hyperlink w:anchor="__RefHeading___Toc5907_4193276671">
            <w:r>
              <w:rPr>
                <w:webHidden/>
                <w:rStyle w:val="IndexLink"/>
              </w:rPr>
              <w:t>INT-11 — Cercli Payroll Integration (Middle East)</w:t>
              <w:tab/>
              <w:t>16</w:t>
            </w:r>
          </w:hyperlink>
        </w:p>
        <w:p>
          <w:pPr>
            <w:pStyle w:val="TOC3"/>
            <w:tabs>
              <w:tab w:val="clear" w:pos="9746"/>
              <w:tab w:val="right" w:pos="9745" w:leader="dot"/>
            </w:tabs>
            <w:rPr/>
          </w:pPr>
          <w:hyperlink w:anchor="__RefHeading___Toc5909_4193276671">
            <w:r>
              <w:rPr>
                <w:webHidden/>
                <w:rStyle w:val="IndexLink"/>
              </w:rPr>
              <w:t>INT-12 — PaySpace Payroll Integration (Africa)</w:t>
              <w:tab/>
              <w:t>16</w:t>
            </w:r>
          </w:hyperlink>
        </w:p>
        <w:p>
          <w:pPr>
            <w:pStyle w:val="TOC2"/>
            <w:tabs>
              <w:tab w:val="clear" w:pos="9746"/>
              <w:tab w:val="right" w:pos="9745" w:leader="dot"/>
            </w:tabs>
            <w:rPr/>
          </w:pPr>
          <w:hyperlink w:anchor="__RefHeading___Toc5911_4193276671">
            <w:r>
              <w:rPr>
                <w:webHidden/>
                <w:rStyle w:val="IndexLink"/>
              </w:rPr>
              <w:t>3.3 Integration-to-Pack Mapping</w:t>
              <w:tab/>
              <w:t>16</w:t>
            </w:r>
          </w:hyperlink>
        </w:p>
        <w:p>
          <w:pPr>
            <w:pStyle w:val="TOC1"/>
            <w:tabs>
              <w:tab w:val="clear" w:pos="9746"/>
              <w:tab w:val="right" w:pos="9745" w:leader="dot"/>
            </w:tabs>
            <w:rPr/>
          </w:pPr>
          <w:hyperlink w:anchor="__RefHeading___Toc5913_4193276671">
            <w:r>
              <w:rPr>
                <w:webHidden/>
                <w:rStyle w:val="IndexLink"/>
              </w:rPr>
              <w:t>Part 4 — Add-Ons Catalog (12 Add-Ons)</w:t>
              <w:tab/>
              <w:t>17</w:t>
            </w:r>
          </w:hyperlink>
        </w:p>
        <w:p>
          <w:pPr>
            <w:pStyle w:val="TOC2"/>
            <w:tabs>
              <w:tab w:val="clear" w:pos="9746"/>
              <w:tab w:val="right" w:pos="9745" w:leader="dot"/>
            </w:tabs>
            <w:rPr/>
          </w:pPr>
          <w:hyperlink w:anchor="__RefHeading___Toc5915_4193276671">
            <w:r>
              <w:rPr>
                <w:webHidden/>
                <w:rStyle w:val="IndexLink"/>
              </w:rPr>
              <w:t>4.1 Add-On Overview Table</w:t>
              <w:tab/>
              <w:t>17</w:t>
            </w:r>
          </w:hyperlink>
        </w:p>
        <w:p>
          <w:pPr>
            <w:pStyle w:val="TOC2"/>
            <w:tabs>
              <w:tab w:val="clear" w:pos="9746"/>
              <w:tab w:val="right" w:pos="9745" w:leader="dot"/>
            </w:tabs>
            <w:rPr/>
          </w:pPr>
          <w:hyperlink w:anchor="__RefHeading___Toc5917_4193276671">
            <w:r>
              <w:rPr>
                <w:webHidden/>
                <w:rStyle w:val="IndexLink"/>
              </w:rPr>
              <w:t>4.2 Detailed Add-On Specifications</w:t>
              <w:tab/>
              <w:t>17</w:t>
            </w:r>
          </w:hyperlink>
        </w:p>
        <w:p>
          <w:pPr>
            <w:pStyle w:val="TOC3"/>
            <w:tabs>
              <w:tab w:val="clear" w:pos="9746"/>
              <w:tab w:val="right" w:pos="9745" w:leader="dot"/>
            </w:tabs>
            <w:rPr/>
          </w:pPr>
          <w:hyperlink w:anchor="__RefHeading___Toc5919_4193276671">
            <w:r>
              <w:rPr>
                <w:webHidden/>
                <w:rStyle w:val="IndexLink"/>
              </w:rPr>
              <w:t>ADD-01 — Mobile Field Operations</w:t>
              <w:tab/>
              <w:t>17</w:t>
            </w:r>
          </w:hyperlink>
        </w:p>
        <w:p>
          <w:pPr>
            <w:pStyle w:val="TOC3"/>
            <w:tabs>
              <w:tab w:val="clear" w:pos="9746"/>
              <w:tab w:val="right" w:pos="9745" w:leader="dot"/>
            </w:tabs>
            <w:rPr/>
          </w:pPr>
          <w:hyperlink w:anchor="__RefHeading___Toc5921_4193276671">
            <w:r>
              <w:rPr>
                <w:webHidden/>
                <w:rStyle w:val="IndexLink"/>
              </w:rPr>
              <w:t>ADD-02 — Voice-to-Text Reporting</w:t>
              <w:tab/>
              <w:t>18</w:t>
            </w:r>
          </w:hyperlink>
        </w:p>
        <w:p>
          <w:pPr>
            <w:pStyle w:val="TOC3"/>
            <w:tabs>
              <w:tab w:val="clear" w:pos="9746"/>
              <w:tab w:val="right" w:pos="9745" w:leader="dot"/>
            </w:tabs>
            <w:rPr/>
          </w:pPr>
          <w:hyperlink w:anchor="__RefHeading___Toc5923_4193276671">
            <w:r>
              <w:rPr>
                <w:webHidden/>
                <w:rStyle w:val="IndexLink"/>
              </w:rPr>
              <w:t>ADD-03 — Augmented Reality Audits</w:t>
              <w:tab/>
              <w:t>18</w:t>
            </w:r>
          </w:hyperlink>
        </w:p>
        <w:p>
          <w:pPr>
            <w:pStyle w:val="TOC3"/>
            <w:tabs>
              <w:tab w:val="clear" w:pos="9746"/>
              <w:tab w:val="right" w:pos="9745" w:leader="dot"/>
            </w:tabs>
            <w:rPr/>
          </w:pPr>
          <w:hyperlink w:anchor="__RefHeading___Toc5925_4193276671">
            <w:r>
              <w:rPr>
                <w:webHidden/>
                <w:rStyle w:val="IndexLink"/>
              </w:rPr>
              <w:t>ADD-04 — Digital Signatures (eIDAS)</w:t>
              <w:tab/>
              <w:t>18</w:t>
            </w:r>
          </w:hyperlink>
        </w:p>
        <w:p>
          <w:pPr>
            <w:pStyle w:val="TOC3"/>
            <w:tabs>
              <w:tab w:val="clear" w:pos="9746"/>
              <w:tab w:val="right" w:pos="9745" w:leader="dot"/>
            </w:tabs>
            <w:rPr/>
          </w:pPr>
          <w:hyperlink w:anchor="__RefHeading___Toc5927_4193276671">
            <w:r>
              <w:rPr>
                <w:webHidden/>
                <w:rStyle w:val="IndexLink"/>
              </w:rPr>
              <w:t>ADD-05 — Blockchain Audit Trail</w:t>
              <w:tab/>
              <w:t>18</w:t>
            </w:r>
          </w:hyperlink>
        </w:p>
        <w:p>
          <w:pPr>
            <w:pStyle w:val="TOC3"/>
            <w:tabs>
              <w:tab w:val="clear" w:pos="9746"/>
              <w:tab w:val="right" w:pos="9745" w:leader="dot"/>
            </w:tabs>
            <w:rPr/>
          </w:pPr>
          <w:hyperlink w:anchor="__RefHeading___Toc5929_4193276671">
            <w:r>
              <w:rPr>
                <w:webHidden/>
                <w:rStyle w:val="IndexLink"/>
              </w:rPr>
              <w:t>ADD-06 — Supplier Collaboration Portal</w:t>
              <w:tab/>
              <w:t>19</w:t>
            </w:r>
          </w:hyperlink>
        </w:p>
        <w:p>
          <w:pPr>
            <w:pStyle w:val="TOC3"/>
            <w:tabs>
              <w:tab w:val="clear" w:pos="9746"/>
              <w:tab w:val="right" w:pos="9745" w:leader="dot"/>
            </w:tabs>
            <w:rPr/>
          </w:pPr>
          <w:hyperlink w:anchor="__RefHeading___Toc5931_4193276671">
            <w:r>
              <w:rPr>
                <w:webHidden/>
                <w:rStyle w:val="IndexLink"/>
              </w:rPr>
              <w:t>ADD-07 — Customer Feedback Portal</w:t>
              <w:tab/>
              <w:t>19</w:t>
            </w:r>
          </w:hyperlink>
        </w:p>
        <w:p>
          <w:pPr>
            <w:pStyle w:val="TOC3"/>
            <w:tabs>
              <w:tab w:val="clear" w:pos="9746"/>
              <w:tab w:val="right" w:pos="9745" w:leader="dot"/>
            </w:tabs>
            <w:rPr/>
          </w:pPr>
          <w:hyperlink w:anchor="__RefHeading___Toc5933_4193276671">
            <w:r>
              <w:rPr>
                <w:webHidden/>
                <w:rStyle w:val="IndexLink"/>
              </w:rPr>
              <w:t>ADD-08 — Low-Code Process Builder</w:t>
              <w:tab/>
              <w:t>19</w:t>
            </w:r>
          </w:hyperlink>
        </w:p>
        <w:p>
          <w:pPr>
            <w:pStyle w:val="TOC3"/>
            <w:tabs>
              <w:tab w:val="clear" w:pos="9746"/>
              <w:tab w:val="right" w:pos="9745" w:leader="dot"/>
            </w:tabs>
            <w:rPr/>
          </w:pPr>
          <w:hyperlink w:anchor="__RefHeading___Toc5935_4193276671">
            <w:r>
              <w:rPr>
                <w:webHidden/>
                <w:rStyle w:val="IndexLink"/>
              </w:rPr>
              <w:t>ADD-09 — Marketplace Access</w:t>
              <w:tab/>
              <w:t>19</w:t>
            </w:r>
          </w:hyperlink>
        </w:p>
        <w:p>
          <w:pPr>
            <w:pStyle w:val="TOC3"/>
            <w:tabs>
              <w:tab w:val="clear" w:pos="9746"/>
              <w:tab w:val="right" w:pos="9745" w:leader="dot"/>
            </w:tabs>
            <w:rPr/>
          </w:pPr>
          <w:hyperlink w:anchor="__RefHeading___Toc5937_4193276671">
            <w:r>
              <w:rPr>
                <w:webHidden/>
                <w:rStyle w:val="IndexLink"/>
              </w:rPr>
              <w:t>ADD-10 — Digital Twin Simulation</w:t>
              <w:tab/>
              <w:t>20</w:t>
            </w:r>
          </w:hyperlink>
        </w:p>
        <w:p>
          <w:pPr>
            <w:pStyle w:val="TOC3"/>
            <w:tabs>
              <w:tab w:val="clear" w:pos="9746"/>
              <w:tab w:val="right" w:pos="9745" w:leader="dot"/>
            </w:tabs>
            <w:rPr/>
          </w:pPr>
          <w:hyperlink w:anchor="__RefHeading___Toc5939_4193276671">
            <w:r>
              <w:rPr>
                <w:webHidden/>
                <w:rStyle w:val="IndexLink"/>
              </w:rPr>
              <w:t>ADD-11 — Voice of Customer Analytics</w:t>
              <w:tab/>
              <w:t>20</w:t>
            </w:r>
          </w:hyperlink>
        </w:p>
        <w:p>
          <w:pPr>
            <w:pStyle w:val="TOC3"/>
            <w:tabs>
              <w:tab w:val="clear" w:pos="9746"/>
              <w:tab w:val="right" w:pos="9745" w:leader="dot"/>
            </w:tabs>
            <w:rPr/>
          </w:pPr>
          <w:hyperlink w:anchor="__RefHeading___Toc5941_4193276671">
            <w:r>
              <w:rPr>
                <w:webHidden/>
                <w:rStyle w:val="IndexLink"/>
              </w:rPr>
              <w:t>ADD-12 — IoT Sensor Integration</w:t>
              <w:tab/>
              <w:t>20</w:t>
            </w:r>
          </w:hyperlink>
        </w:p>
        <w:p>
          <w:pPr>
            <w:pStyle w:val="TOC1"/>
            <w:tabs>
              <w:tab w:val="clear" w:pos="9746"/>
              <w:tab w:val="right" w:pos="9745" w:leader="dot"/>
            </w:tabs>
            <w:rPr/>
          </w:pPr>
          <w:hyperlink w:anchor="__RefHeading___Toc5943_4193276671">
            <w:r>
              <w:rPr>
                <w:webHidden/>
                <w:rStyle w:val="IndexLink"/>
              </w:rPr>
              <w:t>Part 5 — Deployment Modes &amp; Pricing Matrix</w:t>
              <w:tab/>
              <w:t>21</w:t>
            </w:r>
          </w:hyperlink>
        </w:p>
        <w:p>
          <w:pPr>
            <w:pStyle w:val="TOC2"/>
            <w:tabs>
              <w:tab w:val="clear" w:pos="9746"/>
              <w:tab w:val="right" w:pos="9745" w:leader="dot"/>
            </w:tabs>
            <w:rPr/>
          </w:pPr>
          <w:hyperlink w:anchor="__RefHeading___Toc5945_4193276671">
            <w:r>
              <w:rPr>
                <w:webHidden/>
                <w:rStyle w:val="IndexLink"/>
              </w:rPr>
              <w:t>5.1 The Seven Deployment Modes</w:t>
              <w:tab/>
              <w:t>21</w:t>
            </w:r>
          </w:hyperlink>
        </w:p>
        <w:p>
          <w:pPr>
            <w:pStyle w:val="TOC2"/>
            <w:tabs>
              <w:tab w:val="clear" w:pos="9746"/>
              <w:tab w:val="right" w:pos="9745" w:leader="dot"/>
            </w:tabs>
            <w:rPr/>
          </w:pPr>
          <w:hyperlink w:anchor="__RefHeading___Toc5947_4193276671">
            <w:r>
              <w:rPr>
                <w:webHidden/>
                <w:rStyle w:val="IndexLink"/>
              </w:rPr>
              <w:t>5.2 Pricing Multipliers per Mode</w:t>
              <w:tab/>
              <w:t>21</w:t>
            </w:r>
          </w:hyperlink>
        </w:p>
        <w:p>
          <w:pPr>
            <w:pStyle w:val="TOC2"/>
            <w:tabs>
              <w:tab w:val="clear" w:pos="9746"/>
              <w:tab w:val="right" w:pos="9745" w:leader="dot"/>
            </w:tabs>
            <w:rPr/>
          </w:pPr>
          <w:hyperlink w:anchor="__RefHeading___Toc5949_4193276671">
            <w:r>
              <w:rPr>
                <w:webHidden/>
                <w:rStyle w:val="IndexLink"/>
              </w:rPr>
              <w:t>5.3 Full Pricing Matrix per Pack per Mode (USD/month)</w:t>
              <w:tab/>
              <w:t>21</w:t>
            </w:r>
          </w:hyperlink>
        </w:p>
        <w:p>
          <w:pPr>
            <w:pStyle w:val="TOC1"/>
            <w:tabs>
              <w:tab w:val="clear" w:pos="9746"/>
              <w:tab w:val="right" w:pos="9745" w:leader="dot"/>
            </w:tabs>
            <w:rPr/>
          </w:pPr>
          <w:hyperlink w:anchor="__RefHeading___Toc5951_4193276671">
            <w:r>
              <w:rPr>
                <w:webHidden/>
                <w:rStyle w:val="IndexLink"/>
              </w:rPr>
              <w:t>Part 6 — Bundling Recommendations</w:t>
              <w:tab/>
              <w:t>23</w:t>
            </w:r>
          </w:hyperlink>
        </w:p>
        <w:p>
          <w:pPr>
            <w:pStyle w:val="TOC2"/>
            <w:tabs>
              <w:tab w:val="clear" w:pos="9746"/>
              <w:tab w:val="right" w:pos="9745" w:leader="dot"/>
            </w:tabs>
            <w:rPr/>
          </w:pPr>
          <w:hyperlink w:anchor="__RefHeading___Toc5953_4193276671">
            <w:r>
              <w:rPr>
                <w:webHidden/>
                <w:rStyle w:val="IndexLink"/>
              </w:rPr>
              <w:t>6.1 Recommended Bundles per Segment</w:t>
              <w:tab/>
              <w:t>23</w:t>
            </w:r>
          </w:hyperlink>
        </w:p>
        <w:p>
          <w:pPr>
            <w:pStyle w:val="TOC2"/>
            <w:tabs>
              <w:tab w:val="clear" w:pos="9746"/>
              <w:tab w:val="right" w:pos="9745" w:leader="dot"/>
            </w:tabs>
            <w:rPr/>
          </w:pPr>
          <w:hyperlink w:anchor="__RefHeading___Toc5955_4193276671">
            <w:r>
              <w:rPr>
                <w:webHidden/>
                <w:rStyle w:val="IndexLink"/>
              </w:rPr>
              <w:t>6.2 Bundle Discounts</w:t>
              <w:tab/>
              <w:t>23</w:t>
            </w:r>
          </w:hyperlink>
        </w:p>
        <w:p>
          <w:pPr>
            <w:pStyle w:val="TOC2"/>
            <w:tabs>
              <w:tab w:val="clear" w:pos="9746"/>
              <w:tab w:val="right" w:pos="9745" w:leader="dot"/>
            </w:tabs>
            <w:rPr/>
          </w:pPr>
          <w:hyperlink w:anchor="__RefHeading___Toc5957_4193276671">
            <w:r>
              <w:rPr>
                <w:webHidden/>
                <w:rStyle w:val="IndexLink"/>
              </w:rPr>
              <w:t>6.3 Enterprise Agreement Structures</w:t>
              <w:tab/>
              <w:t>23</w:t>
            </w:r>
          </w:hyperlink>
        </w:p>
        <w:p>
          <w:pPr>
            <w:pStyle w:val="TOC1"/>
            <w:tabs>
              <w:tab w:val="clear" w:pos="9746"/>
              <w:tab w:val="right" w:pos="9745" w:leader="dot"/>
            </w:tabs>
            <w:rPr/>
          </w:pPr>
          <w:hyperlink w:anchor="__RefHeading___Toc5959_4193276671">
            <w:r>
              <w:rPr>
                <w:webHidden/>
                <w:rStyle w:val="IndexLink"/>
              </w:rPr>
              <w:t>Part 7 — Customer Profile &amp; Value Fit</w:t>
              <w:tab/>
              <w:t>24</w:t>
            </w:r>
          </w:hyperlink>
        </w:p>
        <w:p>
          <w:pPr>
            <w:pStyle w:val="TOC2"/>
            <w:tabs>
              <w:tab w:val="clear" w:pos="9746"/>
              <w:tab w:val="right" w:pos="9745" w:leader="dot"/>
            </w:tabs>
            <w:rPr/>
          </w:pPr>
          <w:hyperlink w:anchor="__RefHeading___Toc5961_4193276671">
            <w:r>
              <w:rPr>
                <w:webHidden/>
                <w:rStyle w:val="IndexLink"/>
              </w:rPr>
              <w:t>7.1 Customer Behavior, Pain Points &amp; Hopes per Segment Cluster</w:t>
              <w:tab/>
              <w:t>24</w:t>
            </w:r>
          </w:hyperlink>
        </w:p>
        <w:p>
          <w:pPr>
            <w:pStyle w:val="TOC3"/>
            <w:tabs>
              <w:tab w:val="clear" w:pos="9746"/>
              <w:tab w:val="right" w:pos="9745" w:leader="dot"/>
            </w:tabs>
            <w:rPr/>
          </w:pPr>
          <w:hyperlink w:anchor="__RefHeading___Toc5963_4193276671">
            <w:r>
              <w:rPr>
                <w:webHidden/>
                <w:rStyle w:val="IndexLink"/>
              </w:rPr>
              <w:t>SME Cluster (V-30)</w:t>
              <w:tab/>
              <w:t>24</w:t>
            </w:r>
          </w:hyperlink>
        </w:p>
        <w:p>
          <w:pPr>
            <w:pStyle w:val="TOC3"/>
            <w:tabs>
              <w:tab w:val="clear" w:pos="9746"/>
              <w:tab w:val="right" w:pos="9745" w:leader="dot"/>
            </w:tabs>
            <w:rPr/>
          </w:pPr>
          <w:hyperlink w:anchor="__RefHeading___Toc5965_4193276671">
            <w:r>
              <w:rPr>
                <w:webHidden/>
                <w:rStyle w:val="IndexLink"/>
              </w:rPr>
              <w:t>Professional Cluster (MFG, ELE, AEC, CON, RET, DST, LOG, RFA, TEL, SSE, PED, PUED)</w:t>
              <w:tab/>
              <w:t>24</w:t>
            </w:r>
          </w:hyperlink>
        </w:p>
        <w:p>
          <w:pPr>
            <w:pStyle w:val="TOC3"/>
            <w:tabs>
              <w:tab w:val="clear" w:pos="9746"/>
              <w:tab w:val="right" w:pos="9745" w:leader="dot"/>
            </w:tabs>
            <w:rPr/>
          </w:pPr>
          <w:hyperlink w:anchor="__RefHeading___Toc5967_4193276671">
            <w:r>
              <w:rPr>
                <w:webHidden/>
                <w:rStyle w:val="IndexLink"/>
              </w:rPr>
              <w:t>Enterprise Regulated Cluster (AER, HLS, PHM, PHA, ENG, PCH, SHB, SEM, HCA)</w:t>
              <w:tab/>
              <w:t>24</w:t>
            </w:r>
          </w:hyperlink>
        </w:p>
        <w:p>
          <w:pPr>
            <w:pStyle w:val="TOC3"/>
            <w:tabs>
              <w:tab w:val="clear" w:pos="9746"/>
              <w:tab w:val="right" w:pos="9745" w:leader="dot"/>
            </w:tabs>
            <w:rPr/>
          </w:pPr>
          <w:hyperlink w:anchor="__RefHeading___Toc5969_4193276671">
            <w:r>
              <w:rPr>
                <w:webHidden/>
                <w:rStyle w:val="IndexLink"/>
              </w:rPr>
              <w:t>Automotive Cluster (AUT, IND, SEM, FAB, MFG)</w:t>
              <w:tab/>
              <w:t>24</w:t>
            </w:r>
          </w:hyperlink>
        </w:p>
        <w:p>
          <w:pPr>
            <w:pStyle w:val="TOC3"/>
            <w:tabs>
              <w:tab w:val="clear" w:pos="9746"/>
              <w:tab w:val="right" w:pos="9745" w:leader="dot"/>
            </w:tabs>
            <w:rPr/>
          </w:pPr>
          <w:hyperlink w:anchor="__RefHeading___Toc5971_4193276671">
            <w:r>
              <w:rPr>
                <w:webHidden/>
                <w:rStyle w:val="IndexLink"/>
              </w:rPr>
              <w:t>Life Sciences Cluster (HLS, PHM, PHA, HCA)</w:t>
              <w:tab/>
              <w:t>24</w:t>
            </w:r>
          </w:hyperlink>
        </w:p>
        <w:p>
          <w:pPr>
            <w:pStyle w:val="TOC3"/>
            <w:tabs>
              <w:tab w:val="clear" w:pos="9746"/>
              <w:tab w:val="right" w:pos="9745" w:leader="dot"/>
            </w:tabs>
            <w:rPr/>
          </w:pPr>
          <w:hyperlink w:anchor="__RefHeading___Toc5973_4193276671">
            <w:r>
              <w:rPr>
                <w:webHidden/>
                <w:rStyle w:val="IndexLink"/>
              </w:rPr>
              <w:t>Food &amp; CPG Cluster (FNB, CPG, PCI, PPG)</w:t>
              <w:tab/>
              <w:t>25</w:t>
            </w:r>
          </w:hyperlink>
        </w:p>
        <w:p>
          <w:pPr>
            <w:pStyle w:val="TOC3"/>
            <w:tabs>
              <w:tab w:val="clear" w:pos="9746"/>
              <w:tab w:val="right" w:pos="9745" w:leader="dot"/>
            </w:tabs>
            <w:rPr/>
          </w:pPr>
          <w:hyperlink w:anchor="__RefHeading___Toc5975_4193276671">
            <w:r>
              <w:rPr>
                <w:webHidden/>
                <w:rStyle w:val="IndexLink"/>
              </w:rPr>
              <w:t>Process &amp; Energy Cluster (ENG, PCH, INF)</w:t>
              <w:tab/>
              <w:t>25</w:t>
            </w:r>
          </w:hyperlink>
        </w:p>
        <w:p>
          <w:pPr>
            <w:pStyle w:val="TOC3"/>
            <w:tabs>
              <w:tab w:val="clear" w:pos="9746"/>
              <w:tab w:val="right" w:pos="9745" w:leader="dot"/>
            </w:tabs>
            <w:rPr/>
          </w:pPr>
          <w:hyperlink w:anchor="__RefHeading___Toc5977_4193276671">
            <w:r>
              <w:rPr>
                <w:webHidden/>
                <w:rStyle w:val="IndexLink"/>
              </w:rPr>
              <w:t>Aerospace Cluster (AER)</w:t>
              <w:tab/>
              <w:t>25</w:t>
            </w:r>
          </w:hyperlink>
        </w:p>
        <w:p>
          <w:pPr>
            <w:pStyle w:val="TOC3"/>
            <w:tabs>
              <w:tab w:val="clear" w:pos="9746"/>
              <w:tab w:val="right" w:pos="9745" w:leader="dot"/>
            </w:tabs>
            <w:rPr/>
          </w:pPr>
          <w:hyperlink w:anchor="__RefHeading___Toc5979_4193276671">
            <w:r>
              <w:rPr>
                <w:webHidden/>
                <w:rStyle w:val="IndexLink"/>
              </w:rPr>
              <w:t>Maritime Cluster (SHB)</w:t>
              <w:tab/>
              <w:t>25</w:t>
            </w:r>
          </w:hyperlink>
        </w:p>
        <w:p>
          <w:pPr>
            <w:pStyle w:val="TOC2"/>
            <w:tabs>
              <w:tab w:val="clear" w:pos="9746"/>
              <w:tab w:val="right" w:pos="9745" w:leader="dot"/>
            </w:tabs>
            <w:rPr/>
          </w:pPr>
          <w:hyperlink w:anchor="__RefHeading___Toc5981_4193276671">
            <w:r>
              <w:rPr>
                <w:webHidden/>
                <w:rStyle w:val="IndexLink"/>
              </w:rPr>
              <w:t>7.2 Pack Fit Summary</w:t>
              <w:tab/>
              <w:t>25</w:t>
            </w:r>
          </w:hyperlink>
        </w:p>
        <w:p>
          <w:pPr>
            <w:pStyle w:val="TOC1"/>
            <w:tabs>
              <w:tab w:val="clear" w:pos="9746"/>
              <w:tab w:val="right" w:pos="9745" w:leader="dot"/>
            </w:tabs>
            <w:rPr/>
          </w:pPr>
          <w:hyperlink w:anchor="__RefHeading___Toc5983_4193276671">
            <w:r>
              <w:rPr>
                <w:webHidden/>
                <w:rStyle w:val="IndexLink"/>
              </w:rPr>
              <w:t>Part 8 — Entitlements as Implemented in DynamicMS 2026.10</w:t>
              <w:tab/>
              <w:t>27</w:t>
            </w:r>
          </w:hyperlink>
        </w:p>
        <w:p>
          <w:pPr>
            <w:pStyle w:val="TOC2"/>
            <w:tabs>
              <w:tab w:val="clear" w:pos="9746"/>
              <w:tab w:val="right" w:pos="9745" w:leader="dot"/>
            </w:tabs>
            <w:rPr/>
          </w:pPr>
          <w:hyperlink w:anchor="__RefHeading___Toc5985_4193276671">
            <w:r>
              <w:rPr>
                <w:webHidden/>
                <w:rStyle w:val="IndexLink"/>
              </w:rPr>
              <w:t>8.1 Principles</w:t>
              <w:tab/>
              <w:t>27</w:t>
            </w:r>
          </w:hyperlink>
        </w:p>
        <w:p>
          <w:pPr>
            <w:pStyle w:val="TOC2"/>
            <w:tabs>
              <w:tab w:val="clear" w:pos="9746"/>
              <w:tab w:val="right" w:pos="9745" w:leader="dot"/>
            </w:tabs>
            <w:rPr/>
          </w:pPr>
          <w:hyperlink w:anchor="__RefHeading___Toc5987_4193276671">
            <w:r>
              <w:rPr>
                <w:webHidden/>
                <w:rStyle w:val="IndexLink"/>
              </w:rPr>
              <w:t>8.2 Base Packs: Features and Quotas</w:t>
              <w:tab/>
              <w:t>27</w:t>
            </w:r>
          </w:hyperlink>
        </w:p>
        <w:p>
          <w:pPr>
            <w:pStyle w:val="TOC2"/>
            <w:tabs>
              <w:tab w:val="clear" w:pos="9746"/>
              <w:tab w:val="right" w:pos="9745" w:leader="dot"/>
            </w:tabs>
            <w:rPr/>
          </w:pPr>
          <w:hyperlink w:anchor="__RefHeading___Toc5989_4193276671">
            <w:r>
              <w:rPr>
                <w:webHidden/>
                <w:rStyle w:val="IndexLink"/>
              </w:rPr>
              <w:t>8.3 Industry Packs, Capability Packs and Add-Ons</w:t>
              <w:tab/>
              <w:t>28</w:t>
            </w:r>
          </w:hyperlink>
        </w:p>
        <w:p>
          <w:pPr>
            <w:pStyle w:val="TOC2"/>
            <w:tabs>
              <w:tab w:val="clear" w:pos="9746"/>
              <w:tab w:val="right" w:pos="9745" w:leader="dot"/>
            </w:tabs>
            <w:rPr/>
          </w:pPr>
          <w:hyperlink w:anchor="__RefHeading___Toc5991_4193276671">
            <w:r>
              <w:rPr>
                <w:webHidden/>
                <w:rStyle w:val="IndexLink"/>
              </w:rPr>
              <w:t>8.4 Macro Processes Licensed by Pack</w:t>
              <w:tab/>
              <w:t>29</w:t>
            </w:r>
          </w:hyperlink>
        </w:p>
        <w:p>
          <w:pPr>
            <w:pStyle w:val="TOC2"/>
            <w:tabs>
              <w:tab w:val="clear" w:pos="9746"/>
              <w:tab w:val="right" w:pos="9745" w:leader="dot"/>
            </w:tabs>
            <w:rPr/>
          </w:pPr>
          <w:hyperlink w:anchor="__RefHeading___Toc5993_4193276671">
            <w:r>
              <w:rPr>
                <w:webHidden/>
                <w:rStyle w:val="IndexLink"/>
              </w:rPr>
              <w:t>8.5 Compliance &amp; Security Standards</w:t>
              <w:tab/>
              <w:t>29</w:t>
            </w:r>
          </w:hyperlink>
        </w:p>
        <w:p>
          <w:pPr>
            <w:pStyle w:val="TOC2"/>
            <w:tabs>
              <w:tab w:val="clear" w:pos="9746"/>
              <w:tab w:val="right" w:pos="9745" w:leader="dot"/>
            </w:tabs>
            <w:rPr/>
          </w:pPr>
          <w:hyperlink w:anchor="__RefHeading___Toc5995_4193276671">
            <w:r>
              <w:rPr>
                <w:webHidden/>
                <w:rStyle w:val="IndexLink"/>
              </w:rPr>
              <w:t>8.6 Price Calculation in the Application</w:t>
              <w:tab/>
              <w:t>29</w:t>
            </w:r>
          </w:hyperlink>
        </w:p>
        <w:p>
          <w:pPr>
            <w:pStyle w:val="TOC2"/>
            <w:tabs>
              <w:tab w:val="clear" w:pos="9746"/>
              <w:tab w:val="right" w:pos="9745" w:leader="dot"/>
            </w:tabs>
            <w:rPr/>
          </w:pPr>
          <w:hyperlink w:anchor="__RefHeading___Toc5997_4193276671">
            <w:r>
              <w:rPr>
                <w:webHidden/>
                <w:rStyle w:val="IndexLink"/>
              </w:rPr>
              <w:t>8.7 Integrations in the Application</w:t>
              <w:tab/>
              <w:t>30</w:t>
            </w:r>
          </w:hyperlink>
        </w:p>
        <w:p>
          <w:pPr>
            <w:pStyle w:val="TOC2"/>
            <w:tabs>
              <w:tab w:val="clear" w:pos="9746"/>
              <w:tab w:val="right" w:pos="9745" w:leader="dot"/>
            </w:tabs>
            <w:rPr/>
          </w:pPr>
          <w:hyperlink w:anchor="__RefHeading___Toc5999_4193276671">
            <w:r>
              <w:rPr>
                <w:webHidden/>
                <w:rStyle w:val="IndexLink"/>
              </w:rPr>
              <w:t>8.8 Deployment Modes and Licence Files</w:t>
              <w:tab/>
              <w:t>30</w:t>
            </w:r>
          </w:hyperlink>
        </w:p>
        <w:p>
          <w:pPr>
            <w:pStyle w:val="TOC2"/>
            <w:tabs>
              <w:tab w:val="clear" w:pos="9746"/>
              <w:tab w:val="right" w:pos="9745" w:leader="dot"/>
            </w:tabs>
            <w:rPr/>
          </w:pPr>
          <w:hyperlink w:anchor="__RefHeading___Toc6001_4193276671">
            <w:r>
              <w:rPr>
                <w:webHidden/>
                <w:rStyle w:val="IndexLink"/>
              </w:rPr>
              <w:t>8.9 Points to Confirm</w:t>
              <w:tab/>
              <w:t>30</w:t>
            </w:r>
          </w:hyperlink>
          <w:r>
            <w:rPr>
              <w:rStyle w:val="IndexLink"/>
            </w:rPr>
            <w:fldChar w:fldCharType="end"/>
          </w:r>
        </w:p>
      </w:sdtContent>
    </w:sdt>
    <w:p>
      <w:pPr>
        <w:pStyle w:val="Heading1"/>
        <w:rPr/>
      </w:pPr>
      <w:bookmarkStart w:id="0" w:name="__RefHeading___Toc5833_4193276671"/>
      <w:bookmarkStart w:id="1" w:name="_Toc100000"/>
      <w:bookmarkEnd w:id="0"/>
      <w:r>
        <w:rPr/>
        <w:t>Part 1 — Executive Summary</w:t>
      </w:r>
      <w:bookmarkEnd w:id="1"/>
    </w:p>
    <w:p>
      <w:pPr>
        <w:pStyle w:val="Heading2"/>
        <w:rPr/>
      </w:pPr>
      <w:bookmarkStart w:id="2" w:name="__RefHeading___Toc5835_4193276671"/>
      <w:bookmarkStart w:id="3" w:name="_Toc100001"/>
      <w:bookmarkEnd w:id="2"/>
      <w:r>
        <w:rPr/>
        <w:t>1.1 Document Purpose</w:t>
      </w:r>
      <w:bookmarkEnd w:id="3"/>
    </w:p>
    <w:p>
      <w:pPr>
        <w:pStyle w:val="BodyTextPOWERACT"/>
        <w:rPr/>
      </w:pPr>
      <w:r>
        <w:rPr>
          <w:rFonts w:eastAsia="Times New Roman" w:cs="Times New Roman"/>
          <w:b w:val="false"/>
          <w:bCs w:val="false"/>
        </w:rPr>
        <w:t xml:space="preserve">This catalog defines the complete </w:t>
      </w:r>
      <w:r>
        <w:rPr>
          <w:rFonts w:eastAsia="Times New Roman" w:cs="Times New Roman"/>
          <w:b/>
          <w:bCs/>
          <w:color w:val="3A3A3C"/>
        </w:rPr>
        <w:t>commercial architecture</w:t>
      </w:r>
      <w:r>
        <w:rPr>
          <w:rFonts w:eastAsia="Times New Roman" w:cs="Times New Roman"/>
          <w:b w:val="false"/>
          <w:bCs w:val="false"/>
        </w:rPr>
        <w:t xml:space="preserve"> for DynamicMS — Packs, Integrations, and Add-Ons — with pricing, deployment modes, and customer fit. It is designed to maximize revenue per customer, minimize sales friction, and ensure that every segment (from SMEs to multinationals) has an accessible entry point.</w:t>
      </w:r>
    </w:p>
    <w:p>
      <w:pPr>
        <w:pStyle w:val="Heading2"/>
        <w:rPr/>
      </w:pPr>
      <w:bookmarkStart w:id="4" w:name="__RefHeading___Toc5837_4193276671"/>
      <w:bookmarkStart w:id="5" w:name="_Toc100002"/>
      <w:bookmarkEnd w:id="4"/>
      <w:r>
        <w:rPr/>
        <w:t>1.2 Commercial Model Overview</w:t>
      </w:r>
      <w:bookmarkEnd w:id="5"/>
    </w:p>
    <w:tbl>
      <w:tblPr>
        <w:tblW w:w="9746" w:type="dxa"/>
        <w:jc w:val="left"/>
        <w:tblInd w:w="0" w:type="dxa"/>
        <w:tblLayout w:type="fixed"/>
        <w:tblCellMar>
          <w:top w:w="55" w:type="dxa"/>
          <w:left w:w="100" w:type="dxa"/>
          <w:bottom w:w="55" w:type="dxa"/>
          <w:right w:w="100" w:type="dxa"/>
        </w:tblCellMar>
      </w:tblPr>
      <w:tblGrid>
        <w:gridCol w:w="2057"/>
        <w:gridCol w:w="828"/>
        <w:gridCol w:w="6861"/>
      </w:tblGrid>
      <w:tr>
        <w:trPr>
          <w:tblHeader w:val="true"/>
          <w:cantSplit w:val="true"/>
        </w:trPr>
        <w:tc>
          <w:tcPr>
            <w:tcW w:w="205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Component</w:t>
            </w:r>
          </w:p>
        </w:tc>
        <w:tc>
          <w:tcPr>
            <w:tcW w:w="82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Count</w:t>
            </w:r>
          </w:p>
        </w:tc>
        <w:tc>
          <w:tcPr>
            <w:tcW w:w="686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Purpose</w:t>
            </w:r>
          </w:p>
        </w:tc>
      </w:tr>
      <w:tr>
        <w:trPr>
          <w:cantSplit w:val="true"/>
        </w:trPr>
        <w:tc>
          <w:tcPr>
            <w:tcW w:w="20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Packs</w:t>
            </w:r>
          </w:p>
        </w:tc>
        <w:tc>
          <w:tcPr>
            <w:tcW w:w="8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12</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Bundled capability offerings (base + industry + capability)</w:t>
            </w:r>
          </w:p>
        </w:tc>
      </w:tr>
      <w:tr>
        <w:trPr>
          <w:cantSplit w:val="true"/>
        </w:trPr>
        <w:tc>
          <w:tcPr>
            <w:tcW w:w="20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Integrations</w:t>
            </w:r>
          </w:p>
        </w:tc>
        <w:tc>
          <w:tcPr>
            <w:tcW w:w="8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12</w:t>
            </w:r>
          </w:p>
        </w:tc>
        <w:tc>
          <w:tcPr>
            <w:tcW w:w="68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External application connectors that extend platform value</w:t>
            </w:r>
          </w:p>
        </w:tc>
      </w:tr>
      <w:tr>
        <w:trPr>
          <w:cantSplit w:val="true"/>
        </w:trPr>
        <w:tc>
          <w:tcPr>
            <w:tcW w:w="20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Add-Ons</w:t>
            </w:r>
          </w:p>
        </w:tc>
        <w:tc>
          <w:tcPr>
            <w:tcW w:w="8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12</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Modular feature extensions sold a-la-carte</w:t>
            </w:r>
          </w:p>
        </w:tc>
      </w:tr>
      <w:tr>
        <w:trPr>
          <w:cantSplit w:val="true"/>
        </w:trPr>
        <w:tc>
          <w:tcPr>
            <w:tcW w:w="20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Deployment Modes</w:t>
            </w:r>
          </w:p>
        </w:tc>
        <w:tc>
          <w:tcPr>
            <w:tcW w:w="8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7</w:t>
            </w:r>
          </w:p>
        </w:tc>
        <w:tc>
          <w:tcPr>
            <w:tcW w:w="68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From SaaS to Air-Gapped On-Prem</w:t>
            </w:r>
          </w:p>
        </w:tc>
      </w:tr>
      <w:tr>
        <w:trPr>
          <w:cantSplit w:val="true"/>
        </w:trPr>
        <w:tc>
          <w:tcPr>
            <w:tcW w:w="20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Compliance &amp; Security Standards</w:t>
            </w:r>
          </w:p>
        </w:tc>
        <w:tc>
          <w:tcPr>
            <w:tcW w:w="8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Optional control scaffolds (GDPR, ISO/IEC 27001, SOC 2, ISO 9001, HIPAA) — not certifications</w:t>
            </w:r>
          </w:p>
        </w:tc>
      </w:tr>
    </w:tbl>
    <w:p>
      <w:pPr>
        <w:pStyle w:val="Normal"/>
        <w:spacing w:before="0" w:after="160"/>
        <w:rPr/>
      </w:pPr>
      <w:r>
        <w:rPr/>
      </w:r>
    </w:p>
    <w:p>
      <w:pPr>
        <w:pStyle w:val="Heading2"/>
        <w:rPr/>
      </w:pPr>
      <w:bookmarkStart w:id="6" w:name="__RefHeading___Toc5839_4193276671"/>
      <w:bookmarkStart w:id="7" w:name="_Toc100003"/>
      <w:bookmarkEnd w:id="6"/>
      <w:r>
        <w:rPr/>
        <w:t>1.3 Pricing Philosophy</w:t>
      </w:r>
      <w:bookmarkEnd w:id="7"/>
    </w:p>
    <w:p>
      <w:pPr>
        <w:pStyle w:val="ListBodyPOWERACT"/>
        <w:numPr>
          <w:ilvl w:val="0"/>
          <w:numId w:val="3"/>
        </w:numPr>
        <w:rPr/>
      </w:pPr>
      <w:r>
        <w:rPr>
          <w:rFonts w:eastAsia="Times New Roman" w:cs="Times New Roman"/>
          <w:b/>
          <w:bCs/>
          <w:color w:val="3A3A3C"/>
        </w:rPr>
        <w:t>Minimum SaaS Price:</w:t>
      </w:r>
      <w:r>
        <w:rPr>
          <w:rFonts w:eastAsia="Times New Roman" w:cs="Times New Roman"/>
          <w:b w:val="false"/>
          <w:bCs w:val="false"/>
        </w:rPr>
        <w:t xml:space="preserve"> $40/month (DMS-SME — entry point for micro-SMEs)</w:t>
      </w:r>
    </w:p>
    <w:p>
      <w:pPr>
        <w:pStyle w:val="ListBodyPOWERACT"/>
        <w:numPr>
          <w:ilvl w:val="0"/>
          <w:numId w:val="1"/>
        </w:numPr>
        <w:rPr/>
      </w:pPr>
      <w:r>
        <w:rPr>
          <w:rFonts w:eastAsia="Times New Roman" w:cs="Times New Roman"/>
          <w:b/>
          <w:bCs/>
          <w:color w:val="3A3A3C"/>
        </w:rPr>
        <w:t>Value-Based Pricing:</w:t>
      </w:r>
      <w:r>
        <w:rPr>
          <w:rFonts w:eastAsia="Times New Roman" w:cs="Times New Roman"/>
          <w:b w:val="false"/>
          <w:bCs w:val="false"/>
        </w:rPr>
        <w:t xml:space="preserve"> Price reflects the compliance, safety, and financial risk mitigated</w:t>
      </w:r>
    </w:p>
    <w:p>
      <w:pPr>
        <w:pStyle w:val="ListBodyPOWERACT"/>
        <w:numPr>
          <w:ilvl w:val="0"/>
          <w:numId w:val="1"/>
        </w:numPr>
        <w:rPr/>
      </w:pPr>
      <w:r>
        <w:rPr>
          <w:rFonts w:eastAsia="Times New Roman" w:cs="Times New Roman"/>
          <w:b/>
          <w:bCs/>
          <w:color w:val="3A3A3C"/>
        </w:rPr>
        <w:t>Modular:</w:t>
      </w:r>
      <w:r>
        <w:rPr>
          <w:rFonts w:eastAsia="Times New Roman" w:cs="Times New Roman"/>
          <w:b w:val="false"/>
          <w:bCs w:val="false"/>
        </w:rPr>
        <w:t xml:space="preserve"> Customers buy 1 base pack + 1–2 industry packs + 0–3 capability packs + optional add-ons</w:t>
      </w:r>
    </w:p>
    <w:p>
      <w:pPr>
        <w:pStyle w:val="ListBodyPOWERACT"/>
        <w:numPr>
          <w:ilvl w:val="0"/>
          <w:numId w:val="1"/>
        </w:numPr>
        <w:rPr/>
      </w:pPr>
      <w:r>
        <w:rPr>
          <w:rFonts w:eastAsia="Times New Roman" w:cs="Times New Roman"/>
          <w:b/>
          <w:bCs/>
          <w:color w:val="3A3A3C"/>
        </w:rPr>
        <w:t>Scales with Isolation:</w:t>
      </w:r>
      <w:r>
        <w:rPr>
          <w:rFonts w:eastAsia="Times New Roman" w:cs="Times New Roman"/>
          <w:b w:val="false"/>
          <w:bCs w:val="false"/>
        </w:rPr>
        <w:t xml:space="preserve"> More secure deployment modes (Private Cloud, On-Prem, Air-Gapped) carry higher prices</w:t>
      </w:r>
    </w:p>
    <w:p>
      <w:pPr>
        <w:pStyle w:val="ListBodyPOWERACT"/>
        <w:numPr>
          <w:ilvl w:val="0"/>
          <w:numId w:val="1"/>
        </w:numPr>
        <w:rPr/>
      </w:pPr>
      <w:r>
        <w:rPr>
          <w:rFonts w:eastAsia="Times New Roman" w:cs="Times New Roman"/>
          <w:b/>
          <w:bCs/>
          <w:color w:val="3A3A3C"/>
        </w:rPr>
        <w:t>Annual Discount:</w:t>
      </w:r>
      <w:r>
        <w:rPr>
          <w:rFonts w:eastAsia="Times New Roman" w:cs="Times New Roman"/>
          <w:b w:val="false"/>
          <w:bCs w:val="false"/>
        </w:rPr>
        <w:t xml:space="preserve"> 15% off for annual commitment; 25% off for 3-year commitment</w:t>
      </w:r>
    </w:p>
    <w:p>
      <w:pPr>
        <w:pStyle w:val="Heading2"/>
        <w:rPr/>
      </w:pPr>
      <w:bookmarkStart w:id="8" w:name="__RefHeading___Toc5841_4193276671"/>
      <w:bookmarkStart w:id="9" w:name="_Toc100004"/>
      <w:bookmarkEnd w:id="8"/>
      <w:r>
        <w:rPr/>
        <w:t>1.4 Deployment Modes Overview</w:t>
      </w:r>
      <w:bookmarkEnd w:id="9"/>
    </w:p>
    <w:tbl>
      <w:tblPr>
        <w:tblW w:w="9746" w:type="dxa"/>
        <w:jc w:val="left"/>
        <w:tblInd w:w="0" w:type="dxa"/>
        <w:tblLayout w:type="fixed"/>
        <w:tblCellMar>
          <w:top w:w="55" w:type="dxa"/>
          <w:left w:w="100" w:type="dxa"/>
          <w:bottom w:w="55" w:type="dxa"/>
          <w:right w:w="100" w:type="dxa"/>
        </w:tblCellMar>
      </w:tblPr>
      <w:tblGrid>
        <w:gridCol w:w="2714"/>
        <w:gridCol w:w="734"/>
        <w:gridCol w:w="3398"/>
        <w:gridCol w:w="2899"/>
      </w:tblGrid>
      <w:tr>
        <w:trPr>
          <w:tblHeader w:val="true"/>
          <w:cantSplit w:val="true"/>
        </w:trPr>
        <w:tc>
          <w:tcPr>
            <w:tcW w:w="271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Mode</w:t>
            </w:r>
          </w:p>
        </w:tc>
        <w:tc>
          <w:tcPr>
            <w:tcW w:w="73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Code</w:t>
            </w:r>
          </w:p>
        </w:tc>
        <w:tc>
          <w:tcPr>
            <w:tcW w:w="33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Description</w:t>
            </w:r>
          </w:p>
        </w:tc>
        <w:tc>
          <w:tcPr>
            <w:tcW w:w="28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Typical Customer</w:t>
            </w:r>
          </w:p>
        </w:tc>
      </w:tr>
      <w:tr>
        <w:trPr>
          <w:cantSplit w:val="true"/>
        </w:trPr>
        <w:tc>
          <w:tcPr>
            <w:tcW w:w="27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SaaS (Multi-Tenant Shared)</w:t>
            </w:r>
          </w:p>
        </w:tc>
        <w:tc>
          <w:tcPr>
            <w:tcW w:w="7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DEP-1</w:t>
            </w:r>
          </w:p>
        </w:tc>
        <w:tc>
          <w:tcPr>
            <w:tcW w:w="33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Shared infrastructure, logical isolation</w:t>
            </w:r>
          </w:p>
        </w:tc>
        <w:tc>
          <w:tcPr>
            <w:tcW w:w="2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SMEs, mid-market</w:t>
            </w:r>
          </w:p>
        </w:tc>
      </w:tr>
      <w:tr>
        <w:trPr>
          <w:cantSplit w:val="true"/>
        </w:trPr>
        <w:tc>
          <w:tcPr>
            <w:tcW w:w="27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Public Cloud — Multi-Tenant Subscription</w:t>
            </w:r>
          </w:p>
        </w:tc>
        <w:tc>
          <w:tcPr>
            <w:tcW w:w="7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DEP-2</w:t>
            </w:r>
          </w:p>
        </w:tc>
        <w:tc>
          <w:tcPr>
            <w:tcW w:w="33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Dedicated instance on shared cloud, multi-tenant logic</w:t>
            </w:r>
          </w:p>
        </w:tc>
        <w:tc>
          <w:tcPr>
            <w:tcW w:w="2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Mid-market, multi-site</w:t>
            </w:r>
          </w:p>
        </w:tc>
      </w:tr>
      <w:tr>
        <w:trPr>
          <w:cantSplit w:val="true"/>
        </w:trPr>
        <w:tc>
          <w:tcPr>
            <w:tcW w:w="27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Public Cloud — Single-Tenant Subscription</w:t>
            </w:r>
          </w:p>
        </w:tc>
        <w:tc>
          <w:tcPr>
            <w:tcW w:w="7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DEP-3</w:t>
            </w:r>
          </w:p>
        </w:tc>
        <w:tc>
          <w:tcPr>
            <w:tcW w:w="33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Dedicated infrastructure, single customer</w:t>
            </w:r>
          </w:p>
        </w:tc>
        <w:tc>
          <w:tcPr>
            <w:tcW w:w="2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Enterprise, regulated</w:t>
            </w:r>
          </w:p>
        </w:tc>
      </w:tr>
      <w:tr>
        <w:trPr>
          <w:cantSplit w:val="true"/>
        </w:trPr>
        <w:tc>
          <w:tcPr>
            <w:tcW w:w="27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Customer Private Cloud</w:t>
            </w:r>
          </w:p>
        </w:tc>
        <w:tc>
          <w:tcPr>
            <w:tcW w:w="7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DEP-4</w:t>
            </w:r>
          </w:p>
        </w:tc>
        <w:tc>
          <w:tcPr>
            <w:tcW w:w="33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Customer's AWS/Azure/GCP tenancy</w:t>
            </w:r>
          </w:p>
        </w:tc>
        <w:tc>
          <w:tcPr>
            <w:tcW w:w="2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Large enterprise, regulated</w:t>
            </w:r>
          </w:p>
        </w:tc>
      </w:tr>
      <w:tr>
        <w:trPr>
          <w:cantSplit w:val="true"/>
        </w:trPr>
        <w:tc>
          <w:tcPr>
            <w:tcW w:w="27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Customer On-Prem (Data Center)</w:t>
            </w:r>
          </w:p>
        </w:tc>
        <w:tc>
          <w:tcPr>
            <w:tcW w:w="7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DEP-5</w:t>
            </w:r>
          </w:p>
        </w:tc>
        <w:tc>
          <w:tcPr>
            <w:tcW w:w="33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Customer's own data center</w:t>
            </w:r>
          </w:p>
        </w:tc>
        <w:tc>
          <w:tcPr>
            <w:tcW w:w="2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Regulated industries</w:t>
            </w:r>
          </w:p>
        </w:tc>
      </w:tr>
      <w:tr>
        <w:trPr>
          <w:cantSplit w:val="true"/>
        </w:trPr>
        <w:tc>
          <w:tcPr>
            <w:tcW w:w="27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Hybrid (Cloud + On-Prem)</w:t>
            </w:r>
          </w:p>
        </w:tc>
        <w:tc>
          <w:tcPr>
            <w:tcW w:w="7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DEP-6</w:t>
            </w:r>
          </w:p>
        </w:tc>
        <w:tc>
          <w:tcPr>
            <w:tcW w:w="33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Mix of cloud SaaS + on-prem edge</w:t>
            </w:r>
          </w:p>
        </w:tc>
        <w:tc>
          <w:tcPr>
            <w:tcW w:w="2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Distributed operations</w:t>
            </w:r>
          </w:p>
        </w:tc>
      </w:tr>
      <w:tr>
        <w:trPr>
          <w:cantSplit w:val="true"/>
        </w:trPr>
        <w:tc>
          <w:tcPr>
            <w:tcW w:w="27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Customer On-Prem — Air-Gapped</w:t>
            </w:r>
          </w:p>
        </w:tc>
        <w:tc>
          <w:tcPr>
            <w:tcW w:w="7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DEP-7</w:t>
            </w:r>
          </w:p>
        </w:tc>
        <w:tc>
          <w:tcPr>
            <w:tcW w:w="33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Fully isolated, no internet</w:t>
            </w:r>
          </w:p>
        </w:tc>
        <w:tc>
          <w:tcPr>
            <w:tcW w:w="2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Defense, government, critical infrastructure</w:t>
            </w:r>
          </w:p>
        </w:tc>
      </w:tr>
    </w:tbl>
    <w:p>
      <w:pPr>
        <w:pStyle w:val="Normal"/>
        <w:spacing w:before="0" w:after="160"/>
        <w:rPr/>
      </w:pPr>
      <w:r>
        <w:rPr/>
      </w:r>
    </w:p>
    <w:p>
      <w:pPr>
        <w:pStyle w:val="Heading2"/>
        <w:rPr/>
      </w:pPr>
      <w:bookmarkStart w:id="10" w:name="__RefHeading___Toc5843_4193276671"/>
      <w:bookmarkEnd w:id="10"/>
      <w:r>
        <w:rPr/>
        <w:t>1.5 Revision History</w:t>
      </w:r>
    </w:p>
    <w:tbl>
      <w:tblPr>
        <w:tblW w:w="9746" w:type="dxa"/>
        <w:jc w:val="left"/>
        <w:tblInd w:w="0" w:type="dxa"/>
        <w:tblLayout w:type="fixed"/>
        <w:tblCellMar>
          <w:top w:w="55" w:type="dxa"/>
          <w:left w:w="100" w:type="dxa"/>
          <w:bottom w:w="55" w:type="dxa"/>
          <w:right w:w="100" w:type="dxa"/>
        </w:tblCellMar>
      </w:tblPr>
      <w:tblGrid>
        <w:gridCol w:w="974"/>
        <w:gridCol w:w="1461"/>
        <w:gridCol w:w="7311"/>
      </w:tblGrid>
      <w:tr>
        <w:trPr>
          <w:tblHeader w:val="true"/>
          <w:cantSplit w:val="true"/>
        </w:trPr>
        <w:tc>
          <w:tcPr>
            <w:tcW w:w="97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Version</w:t>
            </w:r>
          </w:p>
        </w:tc>
        <w:tc>
          <w:tcPr>
            <w:tcW w:w="146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Date</w:t>
            </w:r>
          </w:p>
        </w:tc>
        <w:tc>
          <w:tcPr>
            <w:tcW w:w="731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Changes</w:t>
            </w:r>
          </w:p>
        </w:tc>
      </w:tr>
      <w:tr>
        <w:trPr>
          <w:cantSplit w:val="true"/>
        </w:trPr>
        <w:tc>
          <w:tcPr>
            <w:tcW w:w="9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1.0</w:t>
            </w:r>
          </w:p>
        </w:tc>
        <w:tc>
          <w:tcPr>
            <w:tcW w:w="14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September 2026</w:t>
            </w:r>
          </w:p>
        </w:tc>
        <w:tc>
          <w:tcPr>
            <w:tcW w:w="73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Commercial architecture: 12 packs, 12 integrations, 12 add-ons, 7 deployment modes, pricing and bundles.</w:t>
            </w:r>
          </w:p>
        </w:tc>
      </w:tr>
      <w:tr>
        <w:trPr>
          <w:cantSplit w:val="true"/>
        </w:trPr>
        <w:tc>
          <w:tcPr>
            <w:tcW w:w="9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1.1</w:t>
            </w:r>
          </w:p>
        </w:tc>
        <w:tc>
          <w:tcPr>
            <w:tcW w:w="14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October 2026</w:t>
            </w:r>
          </w:p>
        </w:tc>
        <w:tc>
          <w:tcPr>
            <w:tcW w:w="7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Aligned with DynamicMS release 2026.10. Packs, prices, integrations, add-ons, deployment modes and bundles are unchanged. New Part 8 records how the application applies them: features and quotas per pack, macro processes licensed, the five Compliance &amp; Security Standards, the price calculation, the integration console, licence files and points to confirm.</w:t>
            </w:r>
          </w:p>
        </w:tc>
      </w:tr>
    </w:tbl>
    <w:p>
      <w:pPr>
        <w:pStyle w:val="Normal"/>
        <w:spacing w:before="0" w:after="160"/>
        <w:rPr/>
      </w:pPr>
      <w:r>
        <w:rPr/>
      </w:r>
      <w:r>
        <w:br w:type="page"/>
      </w:r>
    </w:p>
    <w:p>
      <w:pPr>
        <w:pStyle w:val="Heading1"/>
        <w:rPr/>
      </w:pPr>
      <w:bookmarkStart w:id="11" w:name="__RefHeading___Toc5845_4193276671"/>
      <w:bookmarkStart w:id="12" w:name="_Toc100005"/>
      <w:bookmarkEnd w:id="11"/>
      <w:r>
        <w:rPr/>
        <w:t>Part 2 — Packs Catalog (12 Optimized Packs)</w:t>
      </w:r>
      <w:bookmarkEnd w:id="12"/>
    </w:p>
    <w:p>
      <w:pPr>
        <w:pStyle w:val="Heading2"/>
        <w:rPr/>
      </w:pPr>
      <w:bookmarkStart w:id="13" w:name="__RefHeading___Toc5847_4193276671"/>
      <w:bookmarkStart w:id="14" w:name="_Toc100006"/>
      <w:bookmarkEnd w:id="13"/>
      <w:r>
        <w:rPr/>
        <w:t>2.1 Pack Overview Table</w:t>
      </w:r>
      <w:bookmarkEnd w:id="14"/>
    </w:p>
    <w:tbl>
      <w:tblPr>
        <w:tblW w:w="9746" w:type="dxa"/>
        <w:jc w:val="left"/>
        <w:tblInd w:w="0" w:type="dxa"/>
        <w:tblLayout w:type="fixed"/>
        <w:tblCellMar>
          <w:top w:w="55" w:type="dxa"/>
          <w:left w:w="100" w:type="dxa"/>
          <w:bottom w:w="55" w:type="dxa"/>
          <w:right w:w="100" w:type="dxa"/>
        </w:tblCellMar>
      </w:tblPr>
      <w:tblGrid>
        <w:gridCol w:w="972"/>
        <w:gridCol w:w="2670"/>
        <w:gridCol w:w="1155"/>
        <w:gridCol w:w="2988"/>
        <w:gridCol w:w="1961"/>
      </w:tblGrid>
      <w:tr>
        <w:trPr>
          <w:tblHeader w:val="true"/>
          <w:cantSplit w:val="true"/>
        </w:trPr>
        <w:tc>
          <w:tcPr>
            <w:tcW w:w="97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Pack ID</w:t>
            </w:r>
          </w:p>
        </w:tc>
        <w:tc>
          <w:tcPr>
            <w:tcW w:w="267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Pack Name</w:t>
            </w:r>
          </w:p>
        </w:tc>
        <w:tc>
          <w:tcPr>
            <w:tcW w:w="115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Type</w:t>
            </w:r>
          </w:p>
        </w:tc>
        <w:tc>
          <w:tcPr>
            <w:tcW w:w="298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Target Segment</w:t>
            </w:r>
          </w:p>
        </w:tc>
        <w:tc>
          <w:tcPr>
            <w:tcW w:w="196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Base SaaS Price (USD/month)</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w:t>
            </w:r>
          </w:p>
        </w:tc>
        <w:tc>
          <w:tcPr>
            <w:tcW w:w="26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SME Essentials</w:t>
            </w:r>
          </w:p>
        </w:tc>
        <w:tc>
          <w:tcPr>
            <w:tcW w:w="115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Base</w:t>
            </w:r>
          </w:p>
        </w:tc>
        <w:tc>
          <w:tcPr>
            <w:tcW w:w="29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SME</w:t>
            </w:r>
          </w:p>
        </w:tc>
        <w:tc>
          <w:tcPr>
            <w:tcW w:w="19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$40</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6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Professional Multi-Standard IMS</w:t>
            </w:r>
          </w:p>
        </w:tc>
        <w:tc>
          <w:tcPr>
            <w:tcW w:w="115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Base</w:t>
            </w:r>
          </w:p>
        </w:tc>
        <w:tc>
          <w:tcPr>
            <w:tcW w:w="29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MFG, ELE, AEC, CON, RET, DST, LOG, RFA, TEL, SSE, PED, PUED</w:t>
            </w:r>
          </w:p>
        </w:tc>
        <w:tc>
          <w:tcPr>
            <w:tcW w:w="19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$399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6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Enterprise Regulated IMS</w:t>
            </w:r>
          </w:p>
        </w:tc>
        <w:tc>
          <w:tcPr>
            <w:tcW w:w="115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Base</w:t>
            </w:r>
          </w:p>
        </w:tc>
        <w:tc>
          <w:tcPr>
            <w:tcW w:w="29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AER, HLS, PHM, PHA, ENG, PCH, SHB, SEM, HCA</w:t>
            </w:r>
          </w:p>
        </w:tc>
        <w:tc>
          <w:tcPr>
            <w:tcW w:w="19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$1,999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26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Automotive, Industrial &amp; Manufacturing Pack</w:t>
            </w:r>
          </w:p>
        </w:tc>
        <w:tc>
          <w:tcPr>
            <w:tcW w:w="115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29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AUT, IND, SEM, FAB, MFG, ELE</w:t>
            </w:r>
          </w:p>
        </w:tc>
        <w:tc>
          <w:tcPr>
            <w:tcW w:w="19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$699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w:t>
            </w:r>
          </w:p>
        </w:tc>
        <w:tc>
          <w:tcPr>
            <w:tcW w:w="26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Life Sciences &amp; Healthcare Pack</w:t>
            </w:r>
          </w:p>
        </w:tc>
        <w:tc>
          <w:tcPr>
            <w:tcW w:w="115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29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HLS, PHM, PHA, HCA</w:t>
            </w:r>
          </w:p>
        </w:tc>
        <w:tc>
          <w:tcPr>
            <w:tcW w:w="19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$1,299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DMS-FOOD</w:t>
            </w:r>
          </w:p>
        </w:tc>
        <w:tc>
          <w:tcPr>
            <w:tcW w:w="26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Food Safety &amp; Consumer Goods Pack</w:t>
            </w:r>
          </w:p>
        </w:tc>
        <w:tc>
          <w:tcPr>
            <w:tcW w:w="115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29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FNB, CPG, PCI, PPG</w:t>
            </w:r>
          </w:p>
        </w:tc>
        <w:tc>
          <w:tcPr>
            <w:tcW w:w="19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$699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DMS-PROC</w:t>
            </w:r>
          </w:p>
        </w:tc>
        <w:tc>
          <w:tcPr>
            <w:tcW w:w="26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Process, Energy &amp; Infrastructure Pack</w:t>
            </w:r>
          </w:p>
        </w:tc>
        <w:tc>
          <w:tcPr>
            <w:tcW w:w="115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29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ENG, PCH, INF</w:t>
            </w:r>
          </w:p>
        </w:tc>
        <w:tc>
          <w:tcPr>
            <w:tcW w:w="19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$1,299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DMS-AERO</w:t>
            </w:r>
          </w:p>
        </w:tc>
        <w:tc>
          <w:tcPr>
            <w:tcW w:w="26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Aerospace &amp; Defense Pack</w:t>
            </w:r>
          </w:p>
        </w:tc>
        <w:tc>
          <w:tcPr>
            <w:tcW w:w="115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29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AER</w:t>
            </w:r>
          </w:p>
        </w:tc>
        <w:tc>
          <w:tcPr>
            <w:tcW w:w="19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$1,999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DMS-MARI</w:t>
            </w:r>
          </w:p>
        </w:tc>
        <w:tc>
          <w:tcPr>
            <w:tcW w:w="26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Maritime &amp; Shipbuilding Pack</w:t>
            </w:r>
          </w:p>
        </w:tc>
        <w:tc>
          <w:tcPr>
            <w:tcW w:w="115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29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SHB</w:t>
            </w:r>
          </w:p>
        </w:tc>
        <w:tc>
          <w:tcPr>
            <w:tcW w:w="19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$999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w:t>
            </w:r>
          </w:p>
        </w:tc>
        <w:tc>
          <w:tcPr>
            <w:tcW w:w="26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Certification &amp; Audit Accelerator</w:t>
            </w:r>
          </w:p>
        </w:tc>
        <w:tc>
          <w:tcPr>
            <w:tcW w:w="115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Capability</w:t>
            </w:r>
          </w:p>
        </w:tc>
        <w:tc>
          <w:tcPr>
            <w:tcW w:w="29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All segments</w:t>
            </w:r>
          </w:p>
        </w:tc>
        <w:tc>
          <w:tcPr>
            <w:tcW w:w="19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$399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DMS-AI</w:t>
            </w:r>
          </w:p>
        </w:tc>
        <w:tc>
          <w:tcPr>
            <w:tcW w:w="26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AI Intelligence &amp; Assurance</w:t>
            </w:r>
          </w:p>
        </w:tc>
        <w:tc>
          <w:tcPr>
            <w:tcW w:w="115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Capability</w:t>
            </w:r>
          </w:p>
        </w:tc>
        <w:tc>
          <w:tcPr>
            <w:tcW w:w="29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All segments</w:t>
            </w:r>
          </w:p>
        </w:tc>
        <w:tc>
          <w:tcPr>
            <w:tcW w:w="19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$799</w:t>
            </w:r>
          </w:p>
        </w:tc>
      </w:tr>
      <w:tr>
        <w:trPr>
          <w:cantSplit w:val="true"/>
        </w:trPr>
        <w:tc>
          <w:tcPr>
            <w:tcW w:w="9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DMS-ESG</w:t>
            </w:r>
          </w:p>
        </w:tc>
        <w:tc>
          <w:tcPr>
            <w:tcW w:w="26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ESG &amp; Sustainability Pack</w:t>
            </w:r>
          </w:p>
        </w:tc>
        <w:tc>
          <w:tcPr>
            <w:tcW w:w="115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Capability</w:t>
            </w:r>
          </w:p>
        </w:tc>
        <w:tc>
          <w:tcPr>
            <w:tcW w:w="29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All segments</w:t>
            </w:r>
          </w:p>
        </w:tc>
        <w:tc>
          <w:tcPr>
            <w:tcW w:w="19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$599</w:t>
            </w:r>
          </w:p>
        </w:tc>
      </w:tr>
    </w:tbl>
    <w:p>
      <w:pPr>
        <w:pStyle w:val="Normal"/>
        <w:spacing w:before="0" w:after="160"/>
        <w:rPr/>
      </w:pPr>
      <w:r>
        <w:rPr/>
      </w:r>
    </w:p>
    <w:p>
      <w:pPr>
        <w:pStyle w:val="Heading2"/>
        <w:rPr/>
      </w:pPr>
      <w:bookmarkStart w:id="15" w:name="__RefHeading___Toc5849_4193276671"/>
      <w:bookmarkStart w:id="16" w:name="_Toc100007"/>
      <w:bookmarkEnd w:id="15"/>
      <w:r>
        <w:rPr/>
        <w:t>2.2 Base Packs</w:t>
      </w:r>
      <w:bookmarkEnd w:id="16"/>
    </w:p>
    <w:p>
      <w:pPr>
        <w:pStyle w:val="Heading3"/>
        <w:rPr/>
      </w:pPr>
      <w:bookmarkStart w:id="17" w:name="__RefHeading___Toc5851_4193276671"/>
      <w:bookmarkStart w:id="18" w:name="_Toc100008"/>
      <w:bookmarkEnd w:id="17"/>
      <w:r>
        <w:rPr/>
        <w:t>Pack DMS-SME — SME Essentials</w:t>
      </w:r>
      <w:bookmarkEnd w:id="18"/>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DMS-SME</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SME Essentials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V-30 Small &amp; Medium Enterprises (SME)</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Cost-conscious, time-poor, multi-role owners; want quick wins. </w:t>
            </w:r>
            <w:r>
              <w:rPr>
                <w:rFonts w:eastAsia="Times New Roman" w:cs="Times New Roman"/>
                <w:b/>
                <w:bCs/>
                <w:color w:val="3A3A3C"/>
                <w:sz w:val="19"/>
                <w:szCs w:val="19"/>
              </w:rPr>
              <w:t>Pain Points:</w:t>
            </w:r>
            <w:r>
              <w:rPr>
                <w:rFonts w:eastAsia="Times New Roman" w:cs="Times New Roman"/>
                <w:b w:val="false"/>
                <w:bCs w:val="false"/>
                <w:sz w:val="19"/>
                <w:szCs w:val="19"/>
              </w:rPr>
              <w:t xml:space="preserve"> No dedicated QHSE staff; complex enterprise tools; informal processes. </w:t>
            </w:r>
            <w:r>
              <w:rPr>
                <w:rFonts w:eastAsia="Times New Roman" w:cs="Times New Roman"/>
                <w:b/>
                <w:bCs/>
                <w:color w:val="3A3A3C"/>
                <w:sz w:val="19"/>
                <w:szCs w:val="19"/>
              </w:rPr>
              <w:t>Hopes:</w:t>
            </w:r>
            <w:r>
              <w:rPr>
                <w:rFonts w:eastAsia="Times New Roman" w:cs="Times New Roman"/>
                <w:b w:val="false"/>
                <w:bCs w:val="false"/>
                <w:sz w:val="19"/>
                <w:szCs w:val="19"/>
              </w:rPr>
              <w:t xml:space="preserve"> Achieve ISO 9001/14001/45001 certification quickly at low cost; digitize tribal knowledge; grow without breaking compliance.</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SME Onboarding, Simplified Process Modeling, Document Templates, Multi-Role User Management, Essential KPI Dashboard, Owner Dashboard, Simplified Risk Register, Simplified NCP</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UMS016, UMS022, UMS031, UMS002, UMS023, UMS006, UMS032, UMS024, UMS001, UMS047, UMS021, UMS011–UMS015, UMS027–UMS029, UMS010, UMS034, UMS036, UMS039, UMS040, GRC001–GRC003, GRC005, GRC008, GRC010, DMS082–DMS087, DMS089, DMS090, DMS092, DMS095, DMS096, DMS097, DMS099</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$40/month</w:t>
            </w:r>
            <w:r>
              <w:rPr>
                <w:rFonts w:eastAsia="Times New Roman" w:cs="Times New Roman"/>
                <w:b w:val="false"/>
                <w:bCs w:val="false"/>
                <w:sz w:val="19"/>
                <w:szCs w:val="19"/>
              </w:rPr>
              <w:t xml:space="preserve"> (SaaS Multi-Tenant, up to 25 users)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DEP-1, DEP-2, DEP-3</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User Range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1–25</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Storage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25 GB</w:t>
            </w:r>
          </w:p>
        </w:tc>
      </w:tr>
    </w:tbl>
    <w:p>
      <w:pPr>
        <w:pStyle w:val="Normal"/>
        <w:spacing w:before="0" w:after="160"/>
        <w:rPr/>
      </w:pPr>
      <w:r>
        <w:rPr/>
      </w:r>
    </w:p>
    <w:p>
      <w:pPr>
        <w:pStyle w:val="Heading3"/>
        <w:rPr/>
      </w:pPr>
      <w:bookmarkStart w:id="19" w:name="__RefHeading___Toc5853_4193276671"/>
      <w:bookmarkStart w:id="20" w:name="_Toc100009"/>
      <w:bookmarkEnd w:id="19"/>
      <w:r>
        <w:rPr/>
        <w:t>Pack DMS-PRO — Professional Multi-Standard IMS</w:t>
      </w:r>
      <w:bookmarkEnd w:id="20"/>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DMS-PRO</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Professional Multi-Standard IMS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MFG, ELE, AEC, CON, RET, DST, LOG, RFA, TEL, SSE, PED, PUED</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Process-driven, multi-site, ISO-certified; require scalability and multi-standard support. </w:t>
            </w:r>
            <w:r>
              <w:rPr>
                <w:rFonts w:eastAsia="Times New Roman" w:cs="Times New Roman"/>
                <w:b/>
                <w:bCs/>
                <w:color w:val="3A3A3C"/>
                <w:sz w:val="19"/>
                <w:szCs w:val="19"/>
              </w:rPr>
              <w:t>Pain Points:</w:t>
            </w:r>
            <w:r>
              <w:rPr>
                <w:rFonts w:eastAsia="Times New Roman" w:cs="Times New Roman"/>
                <w:b w:val="false"/>
                <w:bCs w:val="false"/>
                <w:sz w:val="19"/>
                <w:szCs w:val="19"/>
              </w:rPr>
              <w:t xml:space="preserve"> Fragmented QHSE data; disconnected standards; manual audits; high cost of certification maintenance. </w:t>
            </w:r>
            <w:r>
              <w:rPr>
                <w:rFonts w:eastAsia="Times New Roman" w:cs="Times New Roman"/>
                <w:b/>
                <w:bCs/>
                <w:color w:val="3A3A3C"/>
                <w:sz w:val="19"/>
                <w:szCs w:val="19"/>
              </w:rPr>
              <w:t>Hopes:</w:t>
            </w:r>
            <w:r>
              <w:rPr>
                <w:rFonts w:eastAsia="Times New Roman" w:cs="Times New Roman"/>
                <w:b w:val="false"/>
                <w:bCs w:val="false"/>
                <w:sz w:val="19"/>
                <w:szCs w:val="19"/>
              </w:rPr>
              <w:t xml:space="preserve"> Unified IMS across standards; real-time visibility; automated audit readiness; predictable certification cycles.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Context, Policy, Objectives, Process Architecture, Risk, Compliance, Document Control, Records, Performance Management, Governance, Internal Audit, CAPA, Supplier Quality, Metrology</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Tier 1 (40) + Tier 2 subset + Tier 3 (DMS001, DMS002, DMS003, DMS004, DMS008, DMS014, DMS015, DMS017, DMS020) + Tier 4 (all 7) + Tier 5 (DMS029, DMS034, DMS035, DMS038, DMS039, DMS041, DMS043, DMS044)</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$399/month</w:t>
            </w:r>
            <w:r>
              <w:rPr>
                <w:rFonts w:eastAsia="Times New Roman" w:cs="Times New Roman"/>
                <w:b w:val="false"/>
                <w:bCs w:val="false"/>
                <w:sz w:val="19"/>
                <w:szCs w:val="19"/>
              </w:rPr>
              <w:t xml:space="preserve"> (SaaS Multi-Tenant, up to 100 users)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7</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User Range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26–100</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Storage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250 GB</w:t>
            </w:r>
          </w:p>
        </w:tc>
      </w:tr>
    </w:tbl>
    <w:p>
      <w:pPr>
        <w:pStyle w:val="Normal"/>
        <w:spacing w:before="0" w:after="160"/>
        <w:rPr/>
      </w:pPr>
      <w:r>
        <w:rPr/>
      </w:r>
    </w:p>
    <w:p>
      <w:pPr>
        <w:pStyle w:val="Heading3"/>
        <w:rPr/>
      </w:pPr>
      <w:bookmarkStart w:id="21" w:name="__RefHeading___Toc5855_4193276671"/>
      <w:bookmarkStart w:id="22" w:name="_Toc100010"/>
      <w:bookmarkEnd w:id="21"/>
      <w:r>
        <w:rPr/>
        <w:t>Pack DMS-ENT — Enterprise Regulated IMS</w:t>
      </w:r>
      <w:bookmarkEnd w:id="22"/>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DMS-ENT</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Enterprise Regulated IMS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AER, HLS, PHM, PHA, ENG, PCH, SHB, SEM, HCA</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Highly regulated, multi-national, complex supply chains; require deep compliance and governance. </w:t>
            </w:r>
            <w:r>
              <w:rPr>
                <w:rFonts w:eastAsia="Times New Roman" w:cs="Times New Roman"/>
                <w:b/>
                <w:bCs/>
                <w:color w:val="3A3A3C"/>
                <w:sz w:val="19"/>
                <w:szCs w:val="19"/>
              </w:rPr>
              <w:t>Pain Points:</w:t>
            </w:r>
            <w:r>
              <w:rPr>
                <w:rFonts w:eastAsia="Times New Roman" w:cs="Times New Roman"/>
                <w:b w:val="false"/>
                <w:bCs w:val="false"/>
                <w:sz w:val="19"/>
                <w:szCs w:val="19"/>
              </w:rPr>
              <w:t xml:space="preserve"> Multiple certifications; regulatory scrutiny; audit overload; disconnected enterprise systems (ERP, MES, LIMS). </w:t>
            </w:r>
            <w:r>
              <w:rPr>
                <w:rFonts w:eastAsia="Times New Roman" w:cs="Times New Roman"/>
                <w:b/>
                <w:bCs/>
                <w:color w:val="3A3A3C"/>
                <w:sz w:val="19"/>
                <w:szCs w:val="19"/>
              </w:rPr>
              <w:t>Hopes:</w:t>
            </w:r>
            <w:r>
              <w:rPr>
                <w:rFonts w:eastAsia="Times New Roman" w:cs="Times New Roman"/>
                <w:b w:val="false"/>
                <w:bCs w:val="false"/>
                <w:sz w:val="19"/>
                <w:szCs w:val="19"/>
              </w:rPr>
              <w:t xml:space="preserve"> Single source of truth for compliance; predictive risk management; regulatory foresight; full traceability.</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DMS-PRO modules + Advanced Governance + Multi-Tenant + Tenant Sovereignty + Formula Governance + Continuous Controls + Enterprise Simulation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Tier 1 (40) + All Tier 2 (21) + All Tier 3 (20) + All Tier 4 (7) + All Tier 5 (20) + Tier 6 (DMS048–DMS058, DMS061–DMS064, DMS069–DMS074, DMS077–DMS081)</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$1,999/month</w:t>
            </w:r>
            <w:r>
              <w:rPr>
                <w:rFonts w:eastAsia="Times New Roman" w:cs="Times New Roman"/>
                <w:b w:val="false"/>
                <w:bCs w:val="false"/>
                <w:sz w:val="19"/>
                <w:szCs w:val="19"/>
              </w:rPr>
              <w:t xml:space="preserve"> (SaaS Multi-Tenant, up to 500 users)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7</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User Range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101–500</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Storage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 TB</w:t>
            </w:r>
          </w:p>
        </w:tc>
      </w:tr>
    </w:tbl>
    <w:p>
      <w:pPr>
        <w:pStyle w:val="Normal"/>
        <w:spacing w:before="0" w:after="160"/>
        <w:rPr/>
      </w:pPr>
      <w:r>
        <w:rPr/>
      </w:r>
    </w:p>
    <w:p>
      <w:pPr>
        <w:pStyle w:val="Heading2"/>
        <w:rPr/>
      </w:pPr>
      <w:bookmarkStart w:id="23" w:name="__RefHeading___Toc5857_4193276671"/>
      <w:bookmarkStart w:id="24" w:name="_Toc100011"/>
      <w:bookmarkEnd w:id="23"/>
      <w:r>
        <w:rPr/>
        <w:t>2.3 Industry Packs</w:t>
      </w:r>
      <w:bookmarkEnd w:id="24"/>
    </w:p>
    <w:p>
      <w:pPr>
        <w:pStyle w:val="Heading3"/>
        <w:rPr/>
      </w:pPr>
      <w:bookmarkStart w:id="25" w:name="__RefHeading___Toc5859_4193276671"/>
      <w:bookmarkStart w:id="26" w:name="_Toc100012"/>
      <w:bookmarkEnd w:id="25"/>
      <w:r>
        <w:rPr/>
        <w:t>Pack DMS-AUTO — Automotive, Industrial &amp; Manufacturing Pack</w:t>
      </w:r>
      <w:bookmarkEnd w:id="26"/>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DMS-AUTO</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Automotive, Industrial &amp; Manufacturing Pack</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AUT, IND, SEM, FAB, MFG, ELE</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Safety-critical, high-volume, IATF/ISO 26262-driven; obsessed with PPM and OTD. </w:t>
            </w:r>
            <w:r>
              <w:rPr>
                <w:rFonts w:eastAsia="Times New Roman" w:cs="Times New Roman"/>
                <w:b/>
                <w:bCs/>
                <w:color w:val="3A3A3C"/>
                <w:sz w:val="19"/>
                <w:szCs w:val="19"/>
              </w:rPr>
              <w:t>Pain Points:</w:t>
            </w:r>
            <w:r>
              <w:rPr>
                <w:rFonts w:eastAsia="Times New Roman" w:cs="Times New Roman"/>
                <w:b w:val="false"/>
                <w:bCs w:val="false"/>
                <w:sz w:val="19"/>
                <w:szCs w:val="19"/>
              </w:rPr>
              <w:t xml:space="preserve"> Functional safety complexity; ASPICE compliance; supplier PPM escalation; conflict minerals. </w:t>
            </w:r>
            <w:r>
              <w:rPr>
                <w:rFonts w:eastAsia="Times New Roman" w:cs="Times New Roman"/>
                <w:b/>
                <w:bCs/>
                <w:color w:val="3A3A3C"/>
                <w:sz w:val="19"/>
                <w:szCs w:val="19"/>
              </w:rPr>
              <w:t>Hopes:</w:t>
            </w:r>
            <w:r>
              <w:rPr>
                <w:rFonts w:eastAsia="Times New Roman" w:cs="Times New Roman"/>
                <w:b w:val="false"/>
                <w:bCs w:val="false"/>
                <w:sz w:val="19"/>
                <w:szCs w:val="19"/>
              </w:rPr>
              <w:t xml:space="preserve"> Zero-defect manufacturing; ASIL/SIL compliance; multi-tier supplier visibility; certification without disruption.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Functional Safety, ASIL/SIL Management, TARA, Welding Quality, Conflict Minerals, Road Safety, Eco-design, APQP/PPAP, SPC</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DMS048, DMS049, DMS050, DMS051, DMS062, DMS063, DMS067, DMS070, DMS078 + applicable Tier 3–5</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$699/month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7</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Add-On To</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w:t>
            </w:r>
          </w:p>
        </w:tc>
      </w:tr>
    </w:tbl>
    <w:p>
      <w:pPr>
        <w:pStyle w:val="Normal"/>
        <w:spacing w:before="0" w:after="160"/>
        <w:rPr/>
      </w:pPr>
      <w:r>
        <w:rPr/>
      </w:r>
    </w:p>
    <w:p>
      <w:pPr>
        <w:pStyle w:val="Heading3"/>
        <w:rPr/>
      </w:pPr>
      <w:bookmarkStart w:id="27" w:name="__RefHeading___Toc5861_4193276671"/>
      <w:bookmarkStart w:id="28" w:name="_Toc100013"/>
      <w:bookmarkEnd w:id="27"/>
      <w:r>
        <w:rPr/>
        <w:t>Pack DMS-LSCI — Life Sciences &amp; Healthcare Pack</w:t>
      </w:r>
      <w:bookmarkEnd w:id="28"/>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DMS-LSCI</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Life Sciences &amp; Healthcare Pack</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HLS, PHM, PHA, HCA</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FDA/MDR/JCI-driven; zero tolerance for patient risk; audit-intensive. </w:t>
            </w:r>
            <w:r>
              <w:rPr>
                <w:rFonts w:eastAsia="Times New Roman" w:cs="Times New Roman"/>
                <w:b/>
                <w:bCs/>
                <w:color w:val="3A3A3C"/>
                <w:sz w:val="19"/>
                <w:szCs w:val="19"/>
              </w:rPr>
              <w:t>Pain Points:</w:t>
            </w:r>
            <w:r>
              <w:rPr>
                <w:rFonts w:eastAsia="Times New Roman" w:cs="Times New Roman"/>
                <w:b w:val="false"/>
                <w:bCs w:val="false"/>
                <w:sz w:val="19"/>
                <w:szCs w:val="19"/>
              </w:rPr>
              <w:t xml:space="preserve"> Data integrity (ALCOA+); CSV compliance; cleanroom excursions; adverse events; OOS investigations. </w:t>
            </w:r>
            <w:r>
              <w:rPr>
                <w:rFonts w:eastAsia="Times New Roman" w:cs="Times New Roman"/>
                <w:b/>
                <w:bCs/>
                <w:color w:val="3A3A3C"/>
                <w:sz w:val="19"/>
                <w:szCs w:val="19"/>
              </w:rPr>
              <w:t>Hopes:</w:t>
            </w:r>
            <w:r>
              <w:rPr>
                <w:rFonts w:eastAsia="Times New Roman" w:cs="Times New Roman"/>
                <w:b w:val="false"/>
                <w:bCs w:val="false"/>
                <w:sz w:val="19"/>
                <w:szCs w:val="19"/>
              </w:rPr>
              <w:t xml:space="preserve"> Always audit-ready; zero 483s; MDR/IVDR compliance; patient safety excellence.</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Cleanroom, Medical Lab, Testing Lab, Clinical Data, Data Integrity, CSV, Adverse Events, Batch Release, Serialization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DMS048, DMS061, DMS063, DMS064, DMS075, DMS076, DMS078, DMS079 + applicable Tier 3–5</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$1,299/month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7</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Add-On To</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w:t>
            </w:r>
          </w:p>
        </w:tc>
      </w:tr>
    </w:tbl>
    <w:p>
      <w:pPr>
        <w:pStyle w:val="Normal"/>
        <w:spacing w:before="0" w:after="160"/>
        <w:rPr/>
      </w:pPr>
      <w:r>
        <w:rPr/>
      </w:r>
    </w:p>
    <w:p>
      <w:pPr>
        <w:pStyle w:val="Heading3"/>
        <w:rPr/>
      </w:pPr>
      <w:bookmarkStart w:id="29" w:name="__RefHeading___Toc5863_4193276671"/>
      <w:bookmarkStart w:id="30" w:name="_Toc100014"/>
      <w:bookmarkEnd w:id="29"/>
      <w:r>
        <w:rPr/>
        <w:t>Pack DMS-FOOD — Food Safety &amp; Consumer Goods Pack</w:t>
      </w:r>
      <w:bookmarkEnd w:id="30"/>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DMS-FOOD</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Food Safety &amp; Consumer Goods Pack</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FNB, CPG, PCI, PPG</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HACCP/FSSC/BRCGS-driven; recall-sensitive; supply chain intensive. </w:t>
            </w:r>
            <w:r>
              <w:rPr>
                <w:rFonts w:eastAsia="Times New Roman" w:cs="Times New Roman"/>
                <w:b/>
                <w:bCs/>
                <w:color w:val="3A3A3C"/>
                <w:sz w:val="19"/>
                <w:szCs w:val="19"/>
              </w:rPr>
              <w:t>Pain Points:</w:t>
            </w:r>
            <w:r>
              <w:rPr>
                <w:rFonts w:eastAsia="Times New Roman" w:cs="Times New Roman"/>
                <w:b w:val="false"/>
                <w:bCs w:val="false"/>
                <w:sz w:val="19"/>
                <w:szCs w:val="19"/>
              </w:rPr>
              <w:t xml:space="preserve"> Allergen cross-contamination; foreign body; supplier verification; cold chain; FSMA/FSVP compliance. </w:t>
            </w:r>
            <w:r>
              <w:rPr>
                <w:rFonts w:eastAsia="Times New Roman" w:cs="Times New Roman"/>
                <w:b/>
                <w:bCs/>
                <w:color w:val="3A3A3C"/>
                <w:sz w:val="19"/>
                <w:szCs w:val="19"/>
              </w:rPr>
              <w:t>Hopes:</w:t>
            </w:r>
            <w:r>
              <w:rPr>
                <w:rFonts w:eastAsia="Times New Roman" w:cs="Times New Roman"/>
                <w:b w:val="false"/>
                <w:bCs w:val="false"/>
                <w:sz w:val="19"/>
                <w:szCs w:val="19"/>
              </w:rPr>
              <w:t xml:space="preserve"> Zero recalls; full traceability; GFSI certification; consumer trust.</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HACCP, Allergen Management, Traceability, Recall, Foreign Body, Water Footprint, LCA, Cold Chain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DMS061, DMS063, DMS064, DMS071, DMS075, DMS079, DMS080 + applicable Tier 3–5</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$699/month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7</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Add-On To</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w:t>
            </w:r>
          </w:p>
        </w:tc>
      </w:tr>
    </w:tbl>
    <w:p>
      <w:pPr>
        <w:pStyle w:val="Normal"/>
        <w:spacing w:before="0" w:after="160"/>
        <w:rPr/>
      </w:pPr>
      <w:r>
        <w:rPr/>
      </w:r>
    </w:p>
    <w:p>
      <w:pPr>
        <w:pStyle w:val="Heading3"/>
        <w:rPr/>
      </w:pPr>
      <w:bookmarkStart w:id="31" w:name="__RefHeading___Toc5865_4193276671"/>
      <w:bookmarkStart w:id="32" w:name="_Toc100015"/>
      <w:bookmarkEnd w:id="31"/>
      <w:r>
        <w:rPr/>
        <w:t>Pack DMS-PROC — Process, Energy &amp; Infrastructure Pack</w:t>
      </w:r>
      <w:bookmarkEnd w:id="32"/>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DMS-PROC</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Process, Energy &amp; Infrastructure Pack</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ENG, PCH, INF</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OSHA PSM/NERC CIP-driven; asset-intensive; safety-critical. </w:t>
            </w:r>
            <w:r>
              <w:rPr>
                <w:rFonts w:eastAsia="Times New Roman" w:cs="Times New Roman"/>
                <w:b/>
                <w:bCs/>
                <w:color w:val="3A3A3C"/>
                <w:sz w:val="19"/>
                <w:szCs w:val="19"/>
              </w:rPr>
              <w:t>Pain Points:</w:t>
            </w:r>
            <w:r>
              <w:rPr>
                <w:rFonts w:eastAsia="Times New Roman" w:cs="Times New Roman"/>
                <w:b w:val="false"/>
                <w:bCs w:val="false"/>
                <w:sz w:val="19"/>
                <w:szCs w:val="19"/>
              </w:rPr>
              <w:t xml:space="preserve"> PSM compliance; mechanical integrity; NERC CIP audits; water efficiency; exposure monitoring. </w:t>
            </w:r>
            <w:r>
              <w:rPr>
                <w:rFonts w:eastAsia="Times New Roman" w:cs="Times New Roman"/>
                <w:b/>
                <w:bCs/>
                <w:color w:val="3A3A3C"/>
                <w:sz w:val="19"/>
                <w:szCs w:val="19"/>
              </w:rPr>
              <w:t>Hopes:</w:t>
            </w:r>
            <w:r>
              <w:rPr>
                <w:rFonts w:eastAsia="Times New Roman" w:cs="Times New Roman"/>
                <w:b w:val="false"/>
                <w:bCs w:val="false"/>
                <w:sz w:val="19"/>
                <w:szCs w:val="19"/>
              </w:rPr>
              <w:t xml:space="preserve"> Zero process safety incidents; regulatory compliance; asset reliability; ESG performance.</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PHA, PSSR, MOC, Mechanical Integrity, Exposure Monitoring, Medical Surveillance, API 510/570, NERC CIP, Water Efficiency, Asset Reliability</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DMS052, DMS053, DMS054, DMS055, DMS056, DMS057, DMS058, DMS061, DMS071, DMS073, DMS074, DMS080 + applicable Tier 3–5</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$1,299/month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7</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Add-On To</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w:t>
            </w:r>
          </w:p>
        </w:tc>
      </w:tr>
    </w:tbl>
    <w:p>
      <w:pPr>
        <w:pStyle w:val="Normal"/>
        <w:spacing w:before="0" w:after="160"/>
        <w:rPr/>
      </w:pPr>
      <w:r>
        <w:rPr/>
      </w:r>
    </w:p>
    <w:p>
      <w:pPr>
        <w:pStyle w:val="Heading3"/>
        <w:rPr/>
      </w:pPr>
      <w:bookmarkStart w:id="33" w:name="__RefHeading___Toc5867_4193276671"/>
      <w:bookmarkStart w:id="34" w:name="_Toc100016"/>
      <w:bookmarkEnd w:id="33"/>
      <w:r>
        <w:rPr/>
        <w:t>Pack DMS-AERO — Aerospace &amp; Defense Pack</w:t>
      </w:r>
      <w:bookmarkEnd w:id="34"/>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DMS-AERO</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Aerospace &amp; Defense Pack</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AER</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AS9100D/NADCAP-driven; ITAR-sensitive; national security. </w:t>
            </w:r>
            <w:r>
              <w:rPr>
                <w:rFonts w:eastAsia="Times New Roman" w:cs="Times New Roman"/>
                <w:b/>
                <w:bCs/>
                <w:color w:val="3A3A3C"/>
                <w:sz w:val="19"/>
                <w:szCs w:val="19"/>
              </w:rPr>
              <w:t>Pain Points:</w:t>
            </w:r>
            <w:r>
              <w:rPr>
                <w:rFonts w:eastAsia="Times New Roman" w:cs="Times New Roman"/>
                <w:b w:val="false"/>
                <w:bCs w:val="false"/>
                <w:sz w:val="19"/>
                <w:szCs w:val="19"/>
              </w:rPr>
              <w:t xml:space="preserve"> ITAR/EAR compliance; NADCAP audits; counterfeit parts; export control; CMMC. </w:t>
            </w:r>
            <w:r>
              <w:rPr>
                <w:rFonts w:eastAsia="Times New Roman" w:cs="Times New Roman"/>
                <w:b/>
                <w:bCs/>
                <w:color w:val="3A3A3C"/>
                <w:sz w:val="19"/>
                <w:szCs w:val="19"/>
              </w:rPr>
              <w:t>Hopes:</w:t>
            </w:r>
            <w:r>
              <w:rPr>
                <w:rFonts w:eastAsia="Times New Roman" w:cs="Times New Roman"/>
                <w:b w:val="false"/>
                <w:bCs w:val="false"/>
                <w:sz w:val="19"/>
                <w:szCs w:val="19"/>
              </w:rPr>
              <w:t xml:space="preserve"> Zero non-conformances; ITAR compliance; supply chain integrity; certification dominance.</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AS9100D, NADCAP, ITAR/EAR, AS9120B, Functional Safety, Blockchain Audit Trail, Crisis Communication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DMS048, DMS018 (Blockchain), DMS047 (Crisis) + applicable Tier 3–5</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$1,999/month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7 (Air-Gapped critical)</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Add-On To</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r>
    </w:tbl>
    <w:p>
      <w:pPr>
        <w:pStyle w:val="Normal"/>
        <w:spacing w:before="0" w:after="160"/>
        <w:rPr/>
      </w:pPr>
      <w:r>
        <w:rPr/>
      </w:r>
    </w:p>
    <w:p>
      <w:pPr>
        <w:pStyle w:val="Heading3"/>
        <w:rPr/>
      </w:pPr>
      <w:bookmarkStart w:id="35" w:name="__RefHeading___Toc5869_4193276671"/>
      <w:bookmarkStart w:id="36" w:name="_Toc100017"/>
      <w:bookmarkEnd w:id="35"/>
      <w:r>
        <w:rPr/>
        <w:t>Pack DMS-MARI — Maritime &amp; Shipbuilding Pack</w:t>
      </w:r>
      <w:bookmarkEnd w:id="36"/>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DMS-MARI</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Maritime &amp; Shipbuilding Pack</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SHB</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SOLAS/MARPOL/IACS-driven; classification-society dependent. </w:t>
            </w:r>
            <w:r>
              <w:rPr>
                <w:rFonts w:eastAsia="Times New Roman" w:cs="Times New Roman"/>
                <w:b/>
                <w:bCs/>
                <w:color w:val="3A3A3C"/>
                <w:sz w:val="19"/>
                <w:szCs w:val="19"/>
              </w:rPr>
              <w:t>Pain Points:</w:t>
            </w:r>
            <w:r>
              <w:rPr>
                <w:rFonts w:eastAsia="Times New Roman" w:cs="Times New Roman"/>
                <w:b w:val="false"/>
                <w:bCs w:val="false"/>
                <w:sz w:val="19"/>
                <w:szCs w:val="19"/>
              </w:rPr>
              <w:t xml:space="preserve"> IMO compliance; welding quality; marine pollution; classification surveys. </w:t>
            </w:r>
            <w:r>
              <w:rPr>
                <w:rFonts w:eastAsia="Times New Roman" w:cs="Times New Roman"/>
                <w:b/>
                <w:bCs/>
                <w:color w:val="3A3A3C"/>
                <w:sz w:val="19"/>
                <w:szCs w:val="19"/>
              </w:rPr>
              <w:t>Hopes:</w:t>
            </w:r>
            <w:r>
              <w:rPr>
                <w:rFonts w:eastAsia="Times New Roman" w:cs="Times New Roman"/>
                <w:b w:val="false"/>
                <w:bCs w:val="false"/>
                <w:sz w:val="19"/>
                <w:szCs w:val="19"/>
              </w:rPr>
              <w:t xml:space="preserve"> Zero detentions; IACS classification; MARPOL compliance; on-time delivery.</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Maritime Safety, Marine Pollution, Welding Quality, Classification Surveys, Port State Control</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DMS059, DMS060, DMS062 + applicable Tier 3–5</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$999/month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7</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Add-On To</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w:t>
            </w:r>
          </w:p>
        </w:tc>
      </w:tr>
    </w:tbl>
    <w:p>
      <w:pPr>
        <w:pStyle w:val="Normal"/>
        <w:spacing w:before="0" w:after="160"/>
        <w:rPr/>
      </w:pPr>
      <w:r>
        <w:rPr/>
      </w:r>
    </w:p>
    <w:p>
      <w:pPr>
        <w:pStyle w:val="Heading2"/>
        <w:rPr/>
      </w:pPr>
      <w:bookmarkStart w:id="37" w:name="__RefHeading___Toc5871_4193276671"/>
      <w:bookmarkStart w:id="38" w:name="_Toc100018"/>
      <w:bookmarkEnd w:id="37"/>
      <w:r>
        <w:rPr/>
        <w:t>2.4 Capability Packs</w:t>
      </w:r>
      <w:bookmarkEnd w:id="38"/>
    </w:p>
    <w:p>
      <w:pPr>
        <w:pStyle w:val="Heading3"/>
        <w:rPr/>
      </w:pPr>
      <w:bookmarkStart w:id="39" w:name="__RefHeading___Toc5873_4193276671"/>
      <w:bookmarkStart w:id="40" w:name="_Toc100019"/>
      <w:bookmarkEnd w:id="39"/>
      <w:r>
        <w:rPr/>
        <w:t>Pack DMS-CERT — Certification &amp; Audit Accelerator</w:t>
      </w:r>
      <w:bookmarkEnd w:id="40"/>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DMS-CERT</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Certification &amp; Audit Accelerator</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segments seeking certification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First-time certification or multi-standard expansion; time-sensitive. </w:t>
            </w:r>
            <w:r>
              <w:rPr>
                <w:rFonts w:eastAsia="Times New Roman" w:cs="Times New Roman"/>
                <w:b/>
                <w:bCs/>
                <w:color w:val="3A3A3C"/>
                <w:sz w:val="19"/>
                <w:szCs w:val="19"/>
              </w:rPr>
              <w:t>Pain Points:</w:t>
            </w:r>
            <w:r>
              <w:rPr>
                <w:rFonts w:eastAsia="Times New Roman" w:cs="Times New Roman"/>
                <w:b w:val="false"/>
                <w:bCs w:val="false"/>
                <w:sz w:val="19"/>
                <w:szCs w:val="19"/>
              </w:rPr>
              <w:t xml:space="preserve"> Costly consultants; long certification cycles; audit surprises; finding gaps late. </w:t>
            </w:r>
            <w:r>
              <w:rPr>
                <w:rFonts w:eastAsia="Times New Roman" w:cs="Times New Roman"/>
                <w:b/>
                <w:bCs/>
                <w:color w:val="3A3A3C"/>
                <w:sz w:val="19"/>
                <w:szCs w:val="19"/>
              </w:rPr>
              <w:t>Hopes:</w:t>
            </w:r>
            <w:r>
              <w:rPr>
                <w:rFonts w:eastAsia="Times New Roman" w:cs="Times New Roman"/>
                <w:b w:val="false"/>
                <w:bCs w:val="false"/>
                <w:sz w:val="19"/>
                <w:szCs w:val="19"/>
              </w:rPr>
              <w:t xml:space="preserve"> Faster certification; lower consulting cost; predictable audits; audit-ready at all times.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Mock Audit, Certification Coordination, Multi-Standard Portfolio, Gap Diagnosis, Readiness Assessment</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UMS033, UMS037, UMS038, DMS035, DMS044, DMS090, DMS099</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$399/month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All 7</w:t>
            </w:r>
          </w:p>
        </w:tc>
      </w:tr>
    </w:tbl>
    <w:p>
      <w:pPr>
        <w:pStyle w:val="Normal"/>
        <w:spacing w:before="0" w:after="160"/>
        <w:rPr/>
      </w:pPr>
      <w:r>
        <w:rPr/>
      </w:r>
    </w:p>
    <w:p>
      <w:pPr>
        <w:pStyle w:val="Heading3"/>
        <w:rPr/>
      </w:pPr>
      <w:bookmarkStart w:id="41" w:name="__RefHeading___Toc5875_4193276671"/>
      <w:bookmarkStart w:id="42" w:name="_Toc100020"/>
      <w:bookmarkEnd w:id="41"/>
      <w:r>
        <w:rPr/>
        <w:t>Pack DMS-AI — AI Intelligence &amp; Assurance</w:t>
      </w:r>
      <w:bookmarkEnd w:id="42"/>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DMS-AI</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AI Intelligence &amp; Assurance</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segments wanting predictive capabilities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Data-driven, innovation-focused; early adopters of AI. </w:t>
            </w:r>
            <w:r>
              <w:rPr>
                <w:rFonts w:eastAsia="Times New Roman" w:cs="Times New Roman"/>
                <w:b/>
                <w:bCs/>
                <w:color w:val="3A3A3C"/>
                <w:sz w:val="19"/>
                <w:szCs w:val="19"/>
              </w:rPr>
              <w:t>Pain Points:</w:t>
            </w:r>
            <w:r>
              <w:rPr>
                <w:rFonts w:eastAsia="Times New Roman" w:cs="Times New Roman"/>
                <w:b w:val="false"/>
                <w:bCs w:val="false"/>
                <w:sz w:val="19"/>
                <w:szCs w:val="19"/>
              </w:rPr>
              <w:t xml:space="preserve"> Reactive compliance; missed early warnings; manual RCA; slow CAPA. </w:t>
            </w:r>
            <w:r>
              <w:rPr>
                <w:rFonts w:eastAsia="Times New Roman" w:cs="Times New Roman"/>
                <w:b/>
                <w:bCs/>
                <w:color w:val="3A3A3C"/>
                <w:sz w:val="19"/>
                <w:szCs w:val="19"/>
              </w:rPr>
              <w:t>Hopes:</w:t>
            </w:r>
            <w:r>
              <w:rPr>
                <w:rFonts w:eastAsia="Times New Roman" w:cs="Times New Roman"/>
                <w:b w:val="false"/>
                <w:bCs w:val="false"/>
                <w:sz w:val="19"/>
                <w:szCs w:val="19"/>
              </w:rPr>
              <w:t xml:space="preserve"> Predictive risk; automated RCA; AI-assisted CAPA; foresight over hindsight.</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AI Predictive Risk, Predictive Compliance, Automated CAPA, NCP Knowledge Base (RAG), AI Agent Orchestration, AI Explainability, Automated Regulatory Scanning</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DMS001, DMS002, DMS003, DMS004, DMS005, DMS014, DMS015, DMS017, DMS019, DMS020, DMS021, DMS022, DMS023, DMS026, DMS027, DMS031, DMS038, DMS045</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$799/month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DEP-1 to DEP-6</w:t>
            </w:r>
          </w:p>
        </w:tc>
      </w:tr>
    </w:tbl>
    <w:p>
      <w:pPr>
        <w:pStyle w:val="Normal"/>
        <w:spacing w:before="0" w:after="160"/>
        <w:rPr/>
      </w:pPr>
      <w:r>
        <w:rPr/>
      </w:r>
    </w:p>
    <w:p>
      <w:pPr>
        <w:pStyle w:val="Heading3"/>
        <w:rPr/>
      </w:pPr>
      <w:bookmarkStart w:id="43" w:name="__RefHeading___Toc5877_4193276671"/>
      <w:bookmarkStart w:id="44" w:name="_Toc100021"/>
      <w:bookmarkEnd w:id="43"/>
      <w:r>
        <w:rPr/>
        <w:t>Pack DMS-ESG — ESG &amp; Sustainability Pack</w:t>
      </w:r>
      <w:bookmarkEnd w:id="44"/>
    </w:p>
    <w:tbl>
      <w:tblPr>
        <w:tblW w:w="9746" w:type="dxa"/>
        <w:jc w:val="left"/>
        <w:tblInd w:w="0" w:type="dxa"/>
        <w:tblLayout w:type="fixed"/>
        <w:tblCellMar>
          <w:top w:w="55" w:type="dxa"/>
          <w:left w:w="100" w:type="dxa"/>
          <w:bottom w:w="55" w:type="dxa"/>
          <w:right w:w="100" w:type="dxa"/>
        </w:tblCellMar>
      </w:tblPr>
      <w:tblGrid>
        <w:gridCol w:w="2675"/>
        <w:gridCol w:w="7070"/>
      </w:tblGrid>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ID</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DMS-ESG</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Pack Name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ESG &amp; Sustainability Pack</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Target Segment</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 segments with ESG reporting obligations</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Investor-driven, customer-driven ESG; CSRD/TCFD reporting; sustainability goals. </w:t>
            </w:r>
            <w:r>
              <w:rPr>
                <w:rFonts w:eastAsia="Times New Roman" w:cs="Times New Roman"/>
                <w:b/>
                <w:bCs/>
                <w:color w:val="3A3A3C"/>
                <w:sz w:val="19"/>
                <w:szCs w:val="19"/>
              </w:rPr>
              <w:t>Pain Points:</w:t>
            </w:r>
            <w:r>
              <w:rPr>
                <w:rFonts w:eastAsia="Times New Roman" w:cs="Times New Roman"/>
                <w:b w:val="false"/>
                <w:bCs w:val="false"/>
                <w:sz w:val="19"/>
                <w:szCs w:val="19"/>
              </w:rPr>
              <w:t xml:space="preserve"> Scope 3 data; carbon accounting; ESG reporting frameworks; stakeholder pressure. </w:t>
            </w:r>
            <w:r>
              <w:rPr>
                <w:rFonts w:eastAsia="Times New Roman" w:cs="Times New Roman"/>
                <w:b/>
                <w:bCs/>
                <w:color w:val="3A3A3C"/>
                <w:sz w:val="19"/>
                <w:szCs w:val="19"/>
              </w:rPr>
              <w:t>Hopes:</w:t>
            </w:r>
            <w:r>
              <w:rPr>
                <w:rFonts w:eastAsia="Times New Roman" w:cs="Times New Roman"/>
                <w:b w:val="false"/>
                <w:bCs w:val="false"/>
                <w:sz w:val="19"/>
                <w:szCs w:val="19"/>
              </w:rPr>
              <w:t xml:space="preserve"> ESG compliance; net-zero trajectory; investor confidence; brand differentiation.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Modules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ESG Management, Carbon Footprint, Scope 3, LCA, Water Footprint, Human Rights, Conflict Minerals, Modern Slavery, Eco-design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Related Macro Processes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DMS006, DMS007, DMS045, DMS066, DMS067, DMS068, DMS078, DMS079, DMS080, DMS081</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Suggested Price</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$599/month</w:t>
            </w:r>
            <w:r>
              <w:rPr>
                <w:rFonts w:eastAsia="Times New Roman" w:cs="Times New Roman"/>
                <w:b w:val="false"/>
                <w:bCs w:val="false"/>
                <w:sz w:val="19"/>
                <w:szCs w:val="19"/>
              </w:rPr>
              <w:t xml:space="preserve"> (SaaS Multi-Tenant add-on)</w:t>
            </w:r>
          </w:p>
        </w:tc>
      </w:tr>
      <w:tr>
        <w:trPr>
          <w:cantSplit w:val="true"/>
        </w:trPr>
        <w:tc>
          <w:tcPr>
            <w:tcW w:w="26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Deployment Modes</w:t>
            </w:r>
          </w:p>
        </w:tc>
        <w:tc>
          <w:tcPr>
            <w:tcW w:w="7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All 7</w:t>
            </w:r>
          </w:p>
        </w:tc>
      </w:tr>
    </w:tbl>
    <w:p>
      <w:pPr>
        <w:pStyle w:val="Normal"/>
        <w:spacing w:before="0" w:after="160"/>
        <w:rPr/>
      </w:pPr>
      <w:r>
        <w:rPr/>
      </w:r>
    </w:p>
    <w:p>
      <w:pPr>
        <w:pStyle w:val="Heading2"/>
        <w:rPr/>
      </w:pPr>
      <w:bookmarkStart w:id="45" w:name="__RefHeading___Toc5879_4193276671"/>
      <w:bookmarkStart w:id="46" w:name="_Toc100022"/>
      <w:bookmarkEnd w:id="45"/>
      <w:r>
        <w:rPr/>
        <w:t>2.5 Segment-to-Pack Mapping Matrix</w:t>
      </w:r>
      <w:bookmarkEnd w:id="46"/>
    </w:p>
    <w:tbl>
      <w:tblPr>
        <w:tblW w:w="9746" w:type="dxa"/>
        <w:jc w:val="left"/>
        <w:tblInd w:w="0" w:type="dxa"/>
        <w:tblLayout w:type="fixed"/>
        <w:tblCellMar>
          <w:top w:w="55" w:type="dxa"/>
          <w:left w:w="100" w:type="dxa"/>
          <w:bottom w:w="55" w:type="dxa"/>
          <w:right w:w="100" w:type="dxa"/>
        </w:tblCellMar>
      </w:tblPr>
      <w:tblGrid>
        <w:gridCol w:w="1693"/>
        <w:gridCol w:w="1694"/>
        <w:gridCol w:w="2289"/>
        <w:gridCol w:w="4069"/>
      </w:tblGrid>
      <w:tr>
        <w:trPr>
          <w:tblHeader w:val="true"/>
          <w:cantSplit w:val="true"/>
        </w:trPr>
        <w:tc>
          <w:tcPr>
            <w:tcW w:w="169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Segment</w:t>
            </w:r>
          </w:p>
        </w:tc>
        <w:tc>
          <w:tcPr>
            <w:tcW w:w="169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Base Pack</w:t>
            </w:r>
          </w:p>
        </w:tc>
        <w:tc>
          <w:tcPr>
            <w:tcW w:w="228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Industry Pack</w:t>
            </w:r>
          </w:p>
        </w:tc>
        <w:tc>
          <w:tcPr>
            <w:tcW w:w="406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Recommended Add-Ons</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V-01 AUT</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DMS-AI,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V-02 AER</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DMS-AERO</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DMS-AI</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V-03 IND</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DMS-AI</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V-04 HLS</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DMS-LSCI</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DMS-AI</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V-05 ELE</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V-06 AEC</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V-07 FNB</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DMS-FOOD</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DMS-AI,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V-08 SSE</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V-09 PHM</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DMS-AI,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V-10 RFA</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V-11 CPG</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DMS-FOOD</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V-12 ENG</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DMS-PROC</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DMS-AI,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V-13 TEL</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DMS-AI</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V-14 PCH</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DMS-PROC</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DMS-AI,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V-15 SHB</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DMS-MARI</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V-16 CON</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V-17 PCI</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DMS-FOOD</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V-18 INF</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DMS-PROC</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V-19 FAB</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V-20 PPG</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DMS-FOOD</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V-21 SEM</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DMS-AI</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V-22 RET</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DMS-AI</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V-23 DST</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V-24 LOG</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V-25 PHA</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DMS-AI,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V-26 MFG</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DMS-AI, DMS-ESG</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V-27 PED</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V-28 PUED</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V-29 HCA</w:t>
            </w:r>
          </w:p>
        </w:tc>
        <w:tc>
          <w:tcPr>
            <w:tcW w:w="16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2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w:t>
            </w:r>
          </w:p>
        </w:tc>
        <w:tc>
          <w:tcPr>
            <w:tcW w:w="40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 DMS-AI</w:t>
            </w:r>
          </w:p>
        </w:tc>
      </w:tr>
      <w:tr>
        <w:trPr>
          <w:cantSplit w:val="true"/>
        </w:trPr>
        <w:tc>
          <w:tcPr>
            <w:tcW w:w="16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V-30 SME</w:t>
            </w:r>
          </w:p>
        </w:tc>
        <w:tc>
          <w:tcPr>
            <w:tcW w:w="16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DMS-SME</w:t>
            </w:r>
          </w:p>
        </w:tc>
        <w:tc>
          <w:tcPr>
            <w:tcW w:w="22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40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 DMS-AI</w:t>
            </w:r>
          </w:p>
        </w:tc>
      </w:tr>
    </w:tbl>
    <w:p>
      <w:pPr>
        <w:pStyle w:val="Normal"/>
        <w:spacing w:before="0" w:after="160"/>
        <w:rPr/>
      </w:pPr>
      <w:r>
        <w:rPr/>
      </w:r>
      <w:r>
        <w:br w:type="page"/>
      </w:r>
    </w:p>
    <w:p>
      <w:pPr>
        <w:pStyle w:val="Heading1"/>
        <w:rPr/>
      </w:pPr>
      <w:bookmarkStart w:id="47" w:name="__RefHeading___Toc5881_4193276671"/>
      <w:bookmarkStart w:id="48" w:name="_Toc100023"/>
      <w:bookmarkEnd w:id="47"/>
      <w:r>
        <w:rPr/>
        <w:t>Part 3 — Integrations Catalog (12 Integrations)</w:t>
      </w:r>
      <w:bookmarkEnd w:id="48"/>
    </w:p>
    <w:p>
      <w:pPr>
        <w:pStyle w:val="Heading2"/>
        <w:rPr/>
      </w:pPr>
      <w:bookmarkStart w:id="49" w:name="__RefHeading___Toc5883_4193276671"/>
      <w:bookmarkStart w:id="50" w:name="_Toc100024"/>
      <w:bookmarkEnd w:id="49"/>
      <w:r>
        <w:rPr/>
        <w:t>3.1 Integration Overview Table</w:t>
      </w:r>
      <w:bookmarkEnd w:id="50"/>
    </w:p>
    <w:tbl>
      <w:tblPr>
        <w:tblW w:w="9746" w:type="dxa"/>
        <w:jc w:val="left"/>
        <w:tblInd w:w="0" w:type="dxa"/>
        <w:tblLayout w:type="fixed"/>
        <w:tblCellMar>
          <w:top w:w="55" w:type="dxa"/>
          <w:left w:w="100" w:type="dxa"/>
          <w:bottom w:w="55" w:type="dxa"/>
          <w:right w:w="100" w:type="dxa"/>
        </w:tblCellMar>
      </w:tblPr>
      <w:tblGrid>
        <w:gridCol w:w="1017"/>
        <w:gridCol w:w="4397"/>
        <w:gridCol w:w="1260"/>
        <w:gridCol w:w="3071"/>
      </w:tblGrid>
      <w:tr>
        <w:trPr>
          <w:tblHeader w:val="true"/>
          <w:cantSplit w:val="true"/>
        </w:trPr>
        <w:tc>
          <w:tcPr>
            <w:tcW w:w="101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ID</w:t>
            </w:r>
          </w:p>
        </w:tc>
        <w:tc>
          <w:tcPr>
            <w:tcW w:w="439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Name</w:t>
            </w:r>
          </w:p>
        </w:tc>
        <w:tc>
          <w:tcPr>
            <w:tcW w:w="12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Category</w:t>
            </w:r>
          </w:p>
        </w:tc>
        <w:tc>
          <w:tcPr>
            <w:tcW w:w="307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Related Packs</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INT-01</w:t>
            </w:r>
          </w:p>
        </w:tc>
        <w:tc>
          <w:tcPr>
            <w:tcW w:w="43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Odoo ERP Integration</w:t>
            </w:r>
          </w:p>
        </w:tc>
        <w:tc>
          <w:tcPr>
            <w:tcW w:w="12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ERP</w:t>
            </w:r>
          </w:p>
        </w:tc>
        <w:tc>
          <w:tcPr>
            <w:tcW w:w="3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 DMS-PRO</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INT-02</w:t>
            </w:r>
          </w:p>
        </w:tc>
        <w:tc>
          <w:tcPr>
            <w:tcW w:w="43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SAP ERP / S/4HANA Integration</w:t>
            </w:r>
          </w:p>
        </w:tc>
        <w:tc>
          <w:tcPr>
            <w:tcW w:w="12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ERP</w:t>
            </w:r>
          </w:p>
        </w:tc>
        <w:tc>
          <w:tcPr>
            <w:tcW w:w="3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DMS-ENT, DMS-PRO</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INT-03</w:t>
            </w:r>
          </w:p>
        </w:tc>
        <w:tc>
          <w:tcPr>
            <w:tcW w:w="43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ZenHR HRMS Integration</w:t>
            </w:r>
          </w:p>
        </w:tc>
        <w:tc>
          <w:tcPr>
            <w:tcW w:w="12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HR</w:t>
            </w:r>
          </w:p>
        </w:tc>
        <w:tc>
          <w:tcPr>
            <w:tcW w:w="3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(MENA)</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INT-04</w:t>
            </w:r>
          </w:p>
        </w:tc>
        <w:tc>
          <w:tcPr>
            <w:tcW w:w="43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Personio HR Integration</w:t>
            </w:r>
          </w:p>
        </w:tc>
        <w:tc>
          <w:tcPr>
            <w:tcW w:w="12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HR</w:t>
            </w:r>
          </w:p>
        </w:tc>
        <w:tc>
          <w:tcPr>
            <w:tcW w:w="3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(Europe)</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INT-05</w:t>
            </w:r>
          </w:p>
        </w:tc>
        <w:tc>
          <w:tcPr>
            <w:tcW w:w="43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HubSpot CRM Integration</w:t>
            </w:r>
          </w:p>
        </w:tc>
        <w:tc>
          <w:tcPr>
            <w:tcW w:w="12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CRM</w:t>
            </w:r>
          </w:p>
        </w:tc>
        <w:tc>
          <w:tcPr>
            <w:tcW w:w="3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DMS-SME</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INT-06</w:t>
            </w:r>
          </w:p>
        </w:tc>
        <w:tc>
          <w:tcPr>
            <w:tcW w:w="43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Siemens Opcenter MES Integration</w:t>
            </w:r>
          </w:p>
        </w:tc>
        <w:tc>
          <w:tcPr>
            <w:tcW w:w="12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MES</w:t>
            </w:r>
          </w:p>
        </w:tc>
        <w:tc>
          <w:tcPr>
            <w:tcW w:w="3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DMS-AUTO, DMS-PRO</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INT-07</w:t>
            </w:r>
          </w:p>
        </w:tc>
        <w:tc>
          <w:tcPr>
            <w:tcW w:w="43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Thermo Fisher SampleManager LIMS</w:t>
            </w:r>
          </w:p>
        </w:tc>
        <w:tc>
          <w:tcPr>
            <w:tcW w:w="12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LIMS</w:t>
            </w:r>
          </w:p>
        </w:tc>
        <w:tc>
          <w:tcPr>
            <w:tcW w:w="3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 DMS-FOOD</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INT-08</w:t>
            </w:r>
          </w:p>
        </w:tc>
        <w:tc>
          <w:tcPr>
            <w:tcW w:w="43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ManWinWin CMMS Integration</w:t>
            </w:r>
          </w:p>
        </w:tc>
        <w:tc>
          <w:tcPr>
            <w:tcW w:w="12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CMMS</w:t>
            </w:r>
          </w:p>
        </w:tc>
        <w:tc>
          <w:tcPr>
            <w:tcW w:w="3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DMS-PROC, DMS-PRO</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INT-09</w:t>
            </w:r>
          </w:p>
        </w:tc>
        <w:tc>
          <w:tcPr>
            <w:tcW w:w="43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EcoOnline EHS Software Integration</w:t>
            </w:r>
          </w:p>
        </w:tc>
        <w:tc>
          <w:tcPr>
            <w:tcW w:w="12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EHS</w:t>
            </w:r>
          </w:p>
        </w:tc>
        <w:tc>
          <w:tcPr>
            <w:tcW w:w="3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DMS-PRO</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INT-10</w:t>
            </w:r>
          </w:p>
        </w:tc>
        <w:tc>
          <w:tcPr>
            <w:tcW w:w="43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AVEVA System Platform / SCADA</w:t>
            </w:r>
          </w:p>
        </w:tc>
        <w:tc>
          <w:tcPr>
            <w:tcW w:w="12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SCADA</w:t>
            </w:r>
          </w:p>
        </w:tc>
        <w:tc>
          <w:tcPr>
            <w:tcW w:w="3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DMS-PROC, DMS-AUTO</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INT-11</w:t>
            </w:r>
          </w:p>
        </w:tc>
        <w:tc>
          <w:tcPr>
            <w:tcW w:w="43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Cercli Payroll Integration</w:t>
            </w:r>
          </w:p>
        </w:tc>
        <w:tc>
          <w:tcPr>
            <w:tcW w:w="12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Payroll</w:t>
            </w:r>
          </w:p>
        </w:tc>
        <w:tc>
          <w:tcPr>
            <w:tcW w:w="3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(MENA)</w:t>
            </w:r>
          </w:p>
        </w:tc>
      </w:tr>
      <w:tr>
        <w:trPr>
          <w:cantSplit w:val="true"/>
        </w:trPr>
        <w:tc>
          <w:tcPr>
            <w:tcW w:w="10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INT-12</w:t>
            </w:r>
          </w:p>
        </w:tc>
        <w:tc>
          <w:tcPr>
            <w:tcW w:w="43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PaySpace Payroll Integration</w:t>
            </w:r>
          </w:p>
        </w:tc>
        <w:tc>
          <w:tcPr>
            <w:tcW w:w="12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Payroll</w:t>
            </w:r>
          </w:p>
        </w:tc>
        <w:tc>
          <w:tcPr>
            <w:tcW w:w="3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(Africa)</w:t>
            </w:r>
          </w:p>
        </w:tc>
      </w:tr>
    </w:tbl>
    <w:p>
      <w:pPr>
        <w:pStyle w:val="Normal"/>
        <w:spacing w:before="0" w:after="160"/>
        <w:rPr/>
      </w:pPr>
      <w:r>
        <w:rPr/>
      </w:r>
    </w:p>
    <w:p>
      <w:pPr>
        <w:pStyle w:val="Heading2"/>
        <w:rPr/>
      </w:pPr>
      <w:bookmarkStart w:id="51" w:name="__RefHeading___Toc5885_4193276671"/>
      <w:bookmarkStart w:id="52" w:name="_Toc100025"/>
      <w:bookmarkEnd w:id="51"/>
      <w:r>
        <w:rPr/>
        <w:t>3.2 Detailed Integration Specifications</w:t>
      </w:r>
      <w:bookmarkEnd w:id="52"/>
    </w:p>
    <w:p>
      <w:pPr>
        <w:pStyle w:val="Heading3"/>
        <w:rPr/>
      </w:pPr>
      <w:bookmarkStart w:id="53" w:name="__RefHeading___Toc5887_4193276671"/>
      <w:bookmarkStart w:id="54" w:name="_Toc100026"/>
      <w:bookmarkEnd w:id="53"/>
      <w:r>
        <w:rPr/>
        <w:t>INT-01 — Odoo ERP Integration</w:t>
      </w:r>
      <w:bookmarkEnd w:id="54"/>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INT-01</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Odoo ERP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Sync master data (customers/suppliers/products); auto-create NCP from QC; pull Cost of Quality; push supplier audit findings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Morocco:</w:t>
            </w:r>
            <w:r>
              <w:rPr>
                <w:rFonts w:eastAsia="Times New Roman" w:cs="Times New Roman"/>
                <w:b w:val="false"/>
                <w:bCs w:val="false"/>
                <w:sz w:val="19"/>
                <w:szCs w:val="19"/>
              </w:rPr>
              <w:t xml:space="preserve"> Most widely deployed ERP among SMEs. </w:t>
            </w:r>
            <w:r>
              <w:rPr>
                <w:rFonts w:eastAsia="Times New Roman" w:cs="Times New Roman"/>
                <w:b/>
                <w:bCs/>
                <w:color w:val="3A3A3C"/>
                <w:sz w:val="19"/>
                <w:szCs w:val="19"/>
              </w:rPr>
              <w:t>Europe:</w:t>
            </w:r>
            <w:r>
              <w:rPr>
                <w:rFonts w:eastAsia="Times New Roman" w:cs="Times New Roman"/>
                <w:b w:val="false"/>
                <w:bCs w:val="false"/>
                <w:sz w:val="19"/>
                <w:szCs w:val="19"/>
              </w:rPr>
              <w:t xml:space="preserve"> Growing modular alternative. </w:t>
            </w:r>
            <w:r>
              <w:rPr>
                <w:rFonts w:eastAsia="Times New Roman" w:cs="Times New Roman"/>
                <w:b/>
                <w:bCs/>
                <w:color w:val="3A3A3C"/>
                <w:sz w:val="19"/>
                <w:szCs w:val="19"/>
              </w:rPr>
              <w:t>Africa:</w:t>
            </w:r>
            <w:r>
              <w:rPr>
                <w:rFonts w:eastAsia="Times New Roman" w:cs="Times New Roman"/>
                <w:b w:val="false"/>
                <w:bCs w:val="false"/>
                <w:sz w:val="19"/>
                <w:szCs w:val="19"/>
              </w:rPr>
              <w:t xml:space="preserve"> "Fastest-growing ERP." </w:t>
            </w:r>
            <w:r>
              <w:rPr>
                <w:rFonts w:eastAsia="Times New Roman" w:cs="Times New Roman"/>
                <w:b/>
                <w:bCs/>
                <w:color w:val="3A3A3C"/>
                <w:sz w:val="19"/>
                <w:szCs w:val="19"/>
              </w:rPr>
              <w:t>Middle East:</w:t>
            </w:r>
            <w:r>
              <w:rPr>
                <w:rFonts w:eastAsia="Times New Roman" w:cs="Times New Roman"/>
                <w:b w:val="false"/>
                <w:bCs w:val="false"/>
                <w:sz w:val="19"/>
                <w:szCs w:val="19"/>
              </w:rPr>
              <w:t xml:space="preserve"> Recognized player</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Cost-conscious, agile SMEs. </w:t>
            </w:r>
            <w:r>
              <w:rPr>
                <w:rFonts w:eastAsia="Times New Roman" w:cs="Times New Roman"/>
                <w:b/>
                <w:bCs/>
                <w:color w:val="3A3A3C"/>
                <w:sz w:val="19"/>
                <w:szCs w:val="19"/>
              </w:rPr>
              <w:t>Pain Points:</w:t>
            </w:r>
            <w:r>
              <w:rPr>
                <w:rFonts w:eastAsia="Times New Roman" w:cs="Times New Roman"/>
                <w:b w:val="false"/>
                <w:bCs w:val="false"/>
                <w:sz w:val="19"/>
                <w:szCs w:val="19"/>
              </w:rPr>
              <w:t xml:space="preserve"> Data silos; manual reporting; unclear quality ROI. </w:t>
            </w:r>
            <w:r>
              <w:rPr>
                <w:rFonts w:eastAsia="Times New Roman" w:cs="Times New Roman"/>
                <w:b/>
                <w:bCs/>
                <w:color w:val="3A3A3C"/>
                <w:sz w:val="19"/>
                <w:szCs w:val="19"/>
              </w:rPr>
              <w:t>Hopes:</w:t>
            </w:r>
            <w:r>
              <w:rPr>
                <w:rFonts w:eastAsia="Times New Roman" w:cs="Times New Roman"/>
                <w:b w:val="false"/>
                <w:bCs w:val="false"/>
                <w:sz w:val="19"/>
                <w:szCs w:val="19"/>
              </w:rPr>
              <w:t xml:space="preserve"> Unified business view; automation; demonstrated quality ROI</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 DMS-PRO, DMS-AUTO, DMS-FOOD, DMS-CERT</w:t>
            </w:r>
          </w:p>
        </w:tc>
      </w:tr>
    </w:tbl>
    <w:p>
      <w:pPr>
        <w:pStyle w:val="Normal"/>
        <w:spacing w:before="0" w:after="160"/>
        <w:rPr/>
      </w:pPr>
      <w:r>
        <w:rPr/>
      </w:r>
    </w:p>
    <w:p>
      <w:pPr>
        <w:pStyle w:val="Heading3"/>
        <w:rPr/>
      </w:pPr>
      <w:bookmarkStart w:id="55" w:name="__RefHeading___Toc5889_4193276671"/>
      <w:bookmarkStart w:id="56" w:name="_Toc100027"/>
      <w:bookmarkEnd w:id="55"/>
      <w:r>
        <w:rPr/>
        <w:t>INT-02 — SAP ERP / S/4HANA Integration</w:t>
      </w:r>
      <w:bookmarkEnd w:id="56"/>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INT-02</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SAP ERP / S/4HANA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Bidirectional material master sync; push inspection results to SAP QM; pull production/batch data; align GRC risk</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Morocco:</w:t>
            </w:r>
            <w:r>
              <w:rPr>
                <w:rFonts w:eastAsia="Times New Roman" w:cs="Times New Roman"/>
                <w:b w:val="false"/>
                <w:bCs w:val="false"/>
                <w:sz w:val="19"/>
                <w:szCs w:val="19"/>
              </w:rPr>
              <w:t xml:space="preserve"> International groups. </w:t>
            </w:r>
            <w:r>
              <w:rPr>
                <w:rFonts w:eastAsia="Times New Roman" w:cs="Times New Roman"/>
                <w:b/>
                <w:bCs/>
                <w:color w:val="3A3A3C"/>
                <w:sz w:val="19"/>
                <w:szCs w:val="19"/>
              </w:rPr>
              <w:t>Europe:</w:t>
            </w:r>
            <w:r>
              <w:rPr>
                <w:rFonts w:eastAsia="Times New Roman" w:cs="Times New Roman"/>
                <w:b w:val="false"/>
                <w:bCs w:val="false"/>
                <w:sz w:val="19"/>
                <w:szCs w:val="19"/>
              </w:rPr>
              <w:t xml:space="preserve"> ~55% market share. </w:t>
            </w:r>
            <w:r>
              <w:rPr>
                <w:rFonts w:eastAsia="Times New Roman" w:cs="Times New Roman"/>
                <w:b/>
                <w:bCs/>
                <w:color w:val="3A3A3C"/>
                <w:sz w:val="19"/>
                <w:szCs w:val="19"/>
              </w:rPr>
              <w:t>Africa:</w:t>
            </w:r>
            <w:r>
              <w:rPr>
                <w:rFonts w:eastAsia="Times New Roman" w:cs="Times New Roman"/>
                <w:b w:val="false"/>
                <w:bCs w:val="false"/>
                <w:sz w:val="19"/>
                <w:szCs w:val="19"/>
              </w:rPr>
              <w:t xml:space="preserve"> Large enterprises. </w:t>
            </w:r>
            <w:r>
              <w:rPr>
                <w:rFonts w:eastAsia="Times New Roman" w:cs="Times New Roman"/>
                <w:b/>
                <w:bCs/>
                <w:color w:val="3A3A3C"/>
                <w:sz w:val="19"/>
                <w:szCs w:val="19"/>
              </w:rPr>
              <w:t>Middle East:</w:t>
            </w:r>
            <w:r>
              <w:rPr>
                <w:rFonts w:eastAsia="Times New Roman" w:cs="Times New Roman"/>
                <w:b w:val="false"/>
                <w:bCs w:val="false"/>
                <w:sz w:val="19"/>
                <w:szCs w:val="19"/>
              </w:rPr>
              <w:t xml:space="preserve"> GCC enterprises with ZATCA/WPS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Complex, regulated, global. </w:t>
            </w:r>
            <w:r>
              <w:rPr>
                <w:rFonts w:eastAsia="Times New Roman" w:cs="Times New Roman"/>
                <w:b/>
                <w:bCs/>
                <w:color w:val="3A3A3C"/>
                <w:sz w:val="19"/>
                <w:szCs w:val="19"/>
              </w:rPr>
              <w:t>Pain Points:</w:t>
            </w:r>
            <w:r>
              <w:rPr>
                <w:rFonts w:eastAsia="Times New Roman" w:cs="Times New Roman"/>
                <w:b w:val="false"/>
                <w:bCs w:val="false"/>
                <w:sz w:val="19"/>
                <w:szCs w:val="19"/>
              </w:rPr>
              <w:t xml:space="preserve"> SAP-QHSE disconnect; data latency; compliance gaps. </w:t>
            </w:r>
            <w:r>
              <w:rPr>
                <w:rFonts w:eastAsia="Times New Roman" w:cs="Times New Roman"/>
                <w:b/>
                <w:bCs/>
                <w:color w:val="3A3A3C"/>
                <w:sz w:val="19"/>
                <w:szCs w:val="19"/>
              </w:rPr>
              <w:t>Hopes:</w:t>
            </w:r>
            <w:r>
              <w:rPr>
                <w:rFonts w:eastAsia="Times New Roman" w:cs="Times New Roman"/>
                <w:b w:val="false"/>
                <w:bCs w:val="false"/>
                <w:sz w:val="19"/>
                <w:szCs w:val="19"/>
              </w:rPr>
              <w:t xml:space="preserve"> Closed-loop quality; boardroom visibility; brand protection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DMS-PRO, DMS-AUTO, DMS-LSCI, DMS-PROC</w:t>
            </w:r>
          </w:p>
        </w:tc>
      </w:tr>
    </w:tbl>
    <w:p>
      <w:pPr>
        <w:pStyle w:val="Normal"/>
        <w:spacing w:before="0" w:after="160"/>
        <w:rPr/>
      </w:pPr>
      <w:r>
        <w:rPr/>
      </w:r>
    </w:p>
    <w:p>
      <w:pPr>
        <w:pStyle w:val="Heading3"/>
        <w:rPr/>
      </w:pPr>
      <w:bookmarkStart w:id="57" w:name="__RefHeading___Toc5891_4193276671"/>
      <w:bookmarkStart w:id="58" w:name="_Toc100028"/>
      <w:bookmarkEnd w:id="57"/>
      <w:r>
        <w:rPr/>
        <w:t>INT-03 — ZenHR HRMS Integration (Middle East)</w:t>
      </w:r>
      <w:bookmarkEnd w:id="58"/>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INT-03</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ZenHR HRMS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Sync employee records for RBAC; trigger onboarding/offboarding; pull absence data; push training/competency records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Middle East:</w:t>
            </w:r>
            <w:r>
              <w:rPr>
                <w:rFonts w:eastAsia="Times New Roman" w:cs="Times New Roman"/>
                <w:b w:val="false"/>
                <w:bCs w:val="false"/>
                <w:sz w:val="19"/>
                <w:szCs w:val="19"/>
              </w:rPr>
              <w:t xml:space="preserve"> Leading cloud HRMS for KSA and MENA; compliant with local labor laws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MENA-focused, regulation-aware. </w:t>
            </w:r>
            <w:r>
              <w:rPr>
                <w:rFonts w:eastAsia="Times New Roman" w:cs="Times New Roman"/>
                <w:b/>
                <w:bCs/>
                <w:color w:val="3A3A3C"/>
                <w:sz w:val="19"/>
                <w:szCs w:val="19"/>
              </w:rPr>
              <w:t>Pain Points:</w:t>
            </w:r>
            <w:r>
              <w:rPr>
                <w:rFonts w:eastAsia="Times New Roman" w:cs="Times New Roman"/>
                <w:b w:val="false"/>
                <w:bCs w:val="false"/>
                <w:sz w:val="19"/>
                <w:szCs w:val="19"/>
              </w:rPr>
              <w:t xml:space="preserve"> HR-QHSE disconnect; manual compliance. </w:t>
            </w:r>
            <w:r>
              <w:rPr>
                <w:rFonts w:eastAsia="Times New Roman" w:cs="Times New Roman"/>
                <w:b/>
                <w:bCs/>
                <w:color w:val="3A3A3C"/>
                <w:sz w:val="19"/>
                <w:szCs w:val="19"/>
              </w:rPr>
              <w:t>Hopes:</w:t>
            </w:r>
            <w:r>
              <w:rPr>
                <w:rFonts w:eastAsia="Times New Roman" w:cs="Times New Roman"/>
                <w:b w:val="false"/>
                <w:bCs w:val="false"/>
                <w:sz w:val="19"/>
                <w:szCs w:val="19"/>
              </w:rPr>
              <w:t xml:space="preserve"> Unified workforce view; compliant operations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DMS-SME, DMS-LSCI, DMS-PROC</w:t>
            </w:r>
          </w:p>
        </w:tc>
      </w:tr>
    </w:tbl>
    <w:p>
      <w:pPr>
        <w:pStyle w:val="Normal"/>
        <w:spacing w:before="0" w:after="160"/>
        <w:rPr/>
      </w:pPr>
      <w:r>
        <w:rPr/>
      </w:r>
    </w:p>
    <w:p>
      <w:pPr>
        <w:pStyle w:val="Heading3"/>
        <w:rPr/>
      </w:pPr>
      <w:bookmarkStart w:id="59" w:name="__RefHeading___Toc5893_4193276671"/>
      <w:bookmarkStart w:id="60" w:name="_Toc100029"/>
      <w:bookmarkEnd w:id="59"/>
      <w:r>
        <w:rPr/>
        <w:t>INT-04 — Personio HR Integration (Europe)</w:t>
      </w:r>
      <w:bookmarkEnd w:id="60"/>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INT-04</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Personio HR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Sync employee data; automate personnel files for audits; manage health &amp; safety training; track absences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Europe:</w:t>
            </w:r>
            <w:r>
              <w:rPr>
                <w:rFonts w:eastAsia="Times New Roman" w:cs="Times New Roman"/>
                <w:b w:val="false"/>
                <w:bCs w:val="false"/>
                <w:sz w:val="19"/>
                <w:szCs w:val="19"/>
              </w:rPr>
              <w:t xml:space="preserve"> Leading HR platform for SMEs (200–1,000 employees)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Efficiency-focused European SMEs. </w:t>
            </w:r>
            <w:r>
              <w:rPr>
                <w:rFonts w:eastAsia="Times New Roman" w:cs="Times New Roman"/>
                <w:b/>
                <w:bCs/>
                <w:color w:val="3A3A3C"/>
                <w:sz w:val="19"/>
                <w:szCs w:val="19"/>
              </w:rPr>
              <w:t>Pain Points:</w:t>
            </w:r>
            <w:r>
              <w:rPr>
                <w:rFonts w:eastAsia="Times New Roman" w:cs="Times New Roman"/>
                <w:b w:val="false"/>
                <w:bCs w:val="false"/>
                <w:sz w:val="19"/>
                <w:szCs w:val="19"/>
              </w:rPr>
              <w:t xml:space="preserve"> Fragmented HR/QHSE systems. </w:t>
            </w:r>
            <w:r>
              <w:rPr>
                <w:rFonts w:eastAsia="Times New Roman" w:cs="Times New Roman"/>
                <w:b/>
                <w:bCs/>
                <w:color w:val="3A3A3C"/>
                <w:sz w:val="19"/>
                <w:szCs w:val="19"/>
              </w:rPr>
              <w:t>Hopes:</w:t>
            </w:r>
            <w:r>
              <w:rPr>
                <w:rFonts w:eastAsia="Times New Roman" w:cs="Times New Roman"/>
                <w:b w:val="false"/>
                <w:bCs w:val="false"/>
                <w:sz w:val="19"/>
                <w:szCs w:val="19"/>
              </w:rPr>
              <w:t xml:space="preserve"> Single source of truth; compliance proof</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DMS-SME, DMS-CERT, DMS-AI</w:t>
            </w:r>
          </w:p>
        </w:tc>
      </w:tr>
    </w:tbl>
    <w:p>
      <w:pPr>
        <w:pStyle w:val="Normal"/>
        <w:spacing w:before="0" w:after="160"/>
        <w:rPr/>
      </w:pPr>
      <w:r>
        <w:rPr/>
      </w:r>
    </w:p>
    <w:p>
      <w:pPr>
        <w:pStyle w:val="Heading3"/>
        <w:rPr/>
      </w:pPr>
      <w:bookmarkStart w:id="61" w:name="__RefHeading___Toc5895_4193276671"/>
      <w:bookmarkStart w:id="62" w:name="_Toc100030"/>
      <w:bookmarkEnd w:id="61"/>
      <w:r>
        <w:rPr/>
        <w:t>INT-05 — HubSpot CRM Integration</w:t>
      </w:r>
      <w:bookmarkEnd w:id="62"/>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INT-05</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HubSpot CRM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Auto-create complaints from deals/tickets; link CSAT/NPS; trigger investigations; push resolution back</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Morocco:</w:t>
            </w:r>
            <w:r>
              <w:rPr>
                <w:rFonts w:eastAsia="Times New Roman" w:cs="Times New Roman"/>
                <w:b w:val="false"/>
                <w:bCs w:val="false"/>
                <w:sz w:val="19"/>
                <w:szCs w:val="19"/>
              </w:rPr>
              <w:t xml:space="preserve"> Popular with startups/SMEs. </w:t>
            </w:r>
            <w:r>
              <w:rPr>
                <w:rFonts w:eastAsia="Times New Roman" w:cs="Times New Roman"/>
                <w:b/>
                <w:bCs/>
                <w:color w:val="3A3A3C"/>
                <w:sz w:val="19"/>
                <w:szCs w:val="19"/>
              </w:rPr>
              <w:t>Europe:</w:t>
            </w:r>
            <w:r>
              <w:rPr>
                <w:rFonts w:eastAsia="Times New Roman" w:cs="Times New Roman"/>
                <w:b w:val="false"/>
                <w:bCs w:val="false"/>
                <w:sz w:val="19"/>
                <w:szCs w:val="19"/>
              </w:rPr>
              <w:t xml:space="preserve"> Primary CRM. </w:t>
            </w:r>
            <w:r>
              <w:rPr>
                <w:rFonts w:eastAsia="Times New Roman" w:cs="Times New Roman"/>
                <w:b/>
                <w:bCs/>
                <w:color w:val="3A3A3C"/>
                <w:sz w:val="19"/>
                <w:szCs w:val="19"/>
              </w:rPr>
              <w:t>Africa:</w:t>
            </w:r>
            <w:r>
              <w:rPr>
                <w:rFonts w:eastAsia="Times New Roman" w:cs="Times New Roman"/>
                <w:b w:val="false"/>
                <w:bCs w:val="false"/>
                <w:sz w:val="19"/>
                <w:szCs w:val="19"/>
              </w:rPr>
              <w:t xml:space="preserve"> Widely used. </w:t>
            </w:r>
            <w:r>
              <w:rPr>
                <w:rFonts w:eastAsia="Times New Roman" w:cs="Times New Roman"/>
                <w:b/>
                <w:bCs/>
                <w:color w:val="3A3A3C"/>
                <w:sz w:val="19"/>
                <w:szCs w:val="19"/>
              </w:rPr>
              <w:t>Middle East:</w:t>
            </w:r>
            <w:r>
              <w:rPr>
                <w:rFonts w:eastAsia="Times New Roman" w:cs="Times New Roman"/>
                <w:b w:val="false"/>
                <w:bCs w:val="false"/>
                <w:sz w:val="19"/>
                <w:szCs w:val="19"/>
              </w:rPr>
              <w:t xml:space="preserve"> Recognized CRM</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Customer-centric, marketing-led. </w:t>
            </w:r>
            <w:r>
              <w:rPr>
                <w:rFonts w:eastAsia="Times New Roman" w:cs="Times New Roman"/>
                <w:b/>
                <w:bCs/>
                <w:color w:val="3A3A3C"/>
                <w:sz w:val="19"/>
                <w:szCs w:val="19"/>
              </w:rPr>
              <w:t>Pain Points:</w:t>
            </w:r>
            <w:r>
              <w:rPr>
                <w:rFonts w:eastAsia="Times New Roman" w:cs="Times New Roman"/>
                <w:b w:val="false"/>
                <w:bCs w:val="false"/>
                <w:sz w:val="19"/>
                <w:szCs w:val="19"/>
              </w:rPr>
              <w:t xml:space="preserve"> CX-QHSE silo; recurring complaints. </w:t>
            </w:r>
            <w:r>
              <w:rPr>
                <w:rFonts w:eastAsia="Times New Roman" w:cs="Times New Roman"/>
                <w:b/>
                <w:bCs/>
                <w:color w:val="3A3A3C"/>
                <w:sz w:val="19"/>
                <w:szCs w:val="19"/>
              </w:rPr>
              <w:t>Hopes:</w:t>
            </w:r>
            <w:r>
              <w:rPr>
                <w:rFonts w:eastAsia="Times New Roman" w:cs="Times New Roman"/>
                <w:b w:val="false"/>
                <w:bCs w:val="false"/>
                <w:sz w:val="19"/>
                <w:szCs w:val="19"/>
              </w:rPr>
              <w:t xml:space="preserve"> Truly customer-centric; loyalty</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DMS-SME, DMS-CERT, DMS-AI, DMS-ESG</w:t>
            </w:r>
          </w:p>
        </w:tc>
      </w:tr>
    </w:tbl>
    <w:p>
      <w:pPr>
        <w:pStyle w:val="Normal"/>
        <w:spacing w:before="0" w:after="160"/>
        <w:rPr/>
      </w:pPr>
      <w:r>
        <w:rPr/>
      </w:r>
    </w:p>
    <w:p>
      <w:pPr>
        <w:pStyle w:val="Heading3"/>
        <w:rPr/>
      </w:pPr>
      <w:bookmarkStart w:id="63" w:name="__RefHeading___Toc5897_4193276671"/>
      <w:bookmarkStart w:id="64" w:name="_Toc100031"/>
      <w:bookmarkEnd w:id="63"/>
      <w:r>
        <w:rPr/>
        <w:t>INT-06 — Siemens Opcenter MES Integration</w:t>
      </w:r>
      <w:bookmarkEnd w:id="64"/>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INT-06</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Siemens Opcenter MES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Capture production data; trigger NCP from shop floor; push batch/genealogy; digital work instructions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Europe:</w:t>
            </w:r>
            <w:r>
              <w:rPr>
                <w:rFonts w:eastAsia="Times New Roman" w:cs="Times New Roman"/>
                <w:b w:val="false"/>
                <w:bCs w:val="false"/>
                <w:sz w:val="19"/>
                <w:szCs w:val="19"/>
              </w:rPr>
              <w:t xml:space="preserve"> Leading MES. </w:t>
            </w:r>
            <w:r>
              <w:rPr>
                <w:rFonts w:eastAsia="Times New Roman" w:cs="Times New Roman"/>
                <w:b/>
                <w:bCs/>
                <w:color w:val="3A3A3C"/>
                <w:sz w:val="19"/>
                <w:szCs w:val="19"/>
              </w:rPr>
              <w:t>Africa:</w:t>
            </w:r>
            <w:r>
              <w:rPr>
                <w:rFonts w:eastAsia="Times New Roman" w:cs="Times New Roman"/>
                <w:b w:val="false"/>
                <w:bCs w:val="false"/>
                <w:sz w:val="19"/>
                <w:szCs w:val="19"/>
              </w:rPr>
              <w:t xml:space="preserve"> Dominant industrial automation. </w:t>
            </w:r>
            <w:r>
              <w:rPr>
                <w:rFonts w:eastAsia="Times New Roman" w:cs="Times New Roman"/>
                <w:b/>
                <w:bCs/>
                <w:color w:val="3A3A3C"/>
                <w:sz w:val="19"/>
                <w:szCs w:val="19"/>
              </w:rPr>
              <w:t>Middle East:</w:t>
            </w:r>
            <w:r>
              <w:rPr>
                <w:rFonts w:eastAsia="Times New Roman" w:cs="Times New Roman"/>
                <w:b w:val="false"/>
                <w:bCs w:val="false"/>
                <w:sz w:val="19"/>
                <w:szCs w:val="19"/>
              </w:rPr>
              <w:t xml:space="preserve"> Major GCC player</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Operations excellence, Industry 4.0. </w:t>
            </w:r>
            <w:r>
              <w:rPr>
                <w:rFonts w:eastAsia="Times New Roman" w:cs="Times New Roman"/>
                <w:b/>
                <w:bCs/>
                <w:color w:val="3A3A3C"/>
                <w:sz w:val="19"/>
                <w:szCs w:val="19"/>
              </w:rPr>
              <w:t>Pain Points:</w:t>
            </w:r>
            <w:r>
              <w:rPr>
                <w:rFonts w:eastAsia="Times New Roman" w:cs="Times New Roman"/>
                <w:b w:val="false"/>
                <w:bCs w:val="false"/>
                <w:sz w:val="19"/>
                <w:szCs w:val="19"/>
              </w:rPr>
              <w:t xml:space="preserve"> Time-to-quality gap; large non-conforming batches. </w:t>
            </w:r>
            <w:r>
              <w:rPr>
                <w:rFonts w:eastAsia="Times New Roman" w:cs="Times New Roman"/>
                <w:b/>
                <w:bCs/>
                <w:color w:val="3A3A3C"/>
                <w:sz w:val="19"/>
                <w:szCs w:val="19"/>
              </w:rPr>
              <w:t>Hopes:</w:t>
            </w:r>
            <w:r>
              <w:rPr>
                <w:rFonts w:eastAsia="Times New Roman" w:cs="Times New Roman"/>
                <w:b w:val="false"/>
                <w:bCs w:val="false"/>
                <w:sz w:val="19"/>
                <w:szCs w:val="19"/>
              </w:rPr>
              <w:t xml:space="preserve"> Real-time QC; zero defects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 DMS-PRO, DMS-ENT, DMS-FOOD, DMS-LSCI</w:t>
            </w:r>
          </w:p>
        </w:tc>
      </w:tr>
    </w:tbl>
    <w:p>
      <w:pPr>
        <w:pStyle w:val="Normal"/>
        <w:spacing w:before="0" w:after="160"/>
        <w:rPr/>
      </w:pPr>
      <w:r>
        <w:rPr/>
      </w:r>
    </w:p>
    <w:p>
      <w:pPr>
        <w:pStyle w:val="Heading3"/>
        <w:rPr/>
      </w:pPr>
      <w:bookmarkStart w:id="65" w:name="__RefHeading___Toc5899_4193276671"/>
      <w:bookmarkStart w:id="66" w:name="_Toc100032"/>
      <w:bookmarkEnd w:id="65"/>
      <w:r>
        <w:rPr/>
        <w:t>INT-07 — Thermo Fisher SampleManager LIMS Integration</w:t>
      </w:r>
      <w:bookmarkEnd w:id="66"/>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INT-07</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Thermo Fisher SampleManager LIMS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Auto-create OOS/OOT investigations; sync sample results; manage calibration/competence; ensure data integrity</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Europe:</w:t>
            </w:r>
            <w:r>
              <w:rPr>
                <w:rFonts w:eastAsia="Times New Roman" w:cs="Times New Roman"/>
                <w:b w:val="false"/>
                <w:bCs w:val="false"/>
                <w:sz w:val="19"/>
                <w:szCs w:val="19"/>
              </w:rPr>
              <w:t xml:space="preserve"> Major LIMS player. </w:t>
            </w:r>
            <w:r>
              <w:rPr>
                <w:rFonts w:eastAsia="Times New Roman" w:cs="Times New Roman"/>
                <w:b/>
                <w:bCs/>
                <w:color w:val="3A3A3C"/>
                <w:sz w:val="19"/>
                <w:szCs w:val="19"/>
              </w:rPr>
              <w:t>Africa:</w:t>
            </w:r>
            <w:r>
              <w:rPr>
                <w:rFonts w:eastAsia="Times New Roman" w:cs="Times New Roman"/>
                <w:b w:val="false"/>
                <w:bCs w:val="false"/>
                <w:sz w:val="19"/>
                <w:szCs w:val="19"/>
              </w:rPr>
              <w:t xml:space="preserve"> Kenya Ministry of Health. </w:t>
            </w:r>
            <w:r>
              <w:rPr>
                <w:rFonts w:eastAsia="Times New Roman" w:cs="Times New Roman"/>
                <w:b/>
                <w:bCs/>
                <w:color w:val="3A3A3C"/>
                <w:sz w:val="19"/>
                <w:szCs w:val="19"/>
              </w:rPr>
              <w:t>Middle East:</w:t>
            </w:r>
            <w:r>
              <w:rPr>
                <w:rFonts w:eastAsia="Times New Roman" w:cs="Times New Roman"/>
                <w:b w:val="false"/>
                <w:bCs w:val="false"/>
                <w:sz w:val="19"/>
                <w:szCs w:val="19"/>
              </w:rPr>
              <w:t xml:space="preserve"> MAAZ in Saudi Arabia</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Scientific, regulated. </w:t>
            </w:r>
            <w:r>
              <w:rPr>
                <w:rFonts w:eastAsia="Times New Roman" w:cs="Times New Roman"/>
                <w:b/>
                <w:bCs/>
                <w:color w:val="3A3A3C"/>
                <w:sz w:val="19"/>
                <w:szCs w:val="19"/>
              </w:rPr>
              <w:t>Pain Points:</w:t>
            </w:r>
            <w:r>
              <w:rPr>
                <w:rFonts w:eastAsia="Times New Roman" w:cs="Times New Roman"/>
                <w:b w:val="false"/>
                <w:bCs w:val="false"/>
                <w:sz w:val="19"/>
                <w:szCs w:val="19"/>
              </w:rPr>
              <w:t xml:space="preserve"> LIMS-QMS disconnect; manual entries. </w:t>
            </w:r>
            <w:r>
              <w:rPr>
                <w:rFonts w:eastAsia="Times New Roman" w:cs="Times New Roman"/>
                <w:b/>
                <w:bCs/>
                <w:color w:val="3A3A3C"/>
                <w:sz w:val="19"/>
                <w:szCs w:val="19"/>
              </w:rPr>
              <w:t>Hopes:</w:t>
            </w:r>
            <w:r>
              <w:rPr>
                <w:rFonts w:eastAsia="Times New Roman" w:cs="Times New Roman"/>
                <w:b w:val="false"/>
                <w:bCs w:val="false"/>
                <w:sz w:val="19"/>
                <w:szCs w:val="19"/>
              </w:rPr>
              <w:t xml:space="preserve"> Audit-ready at all times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 DMS-FOOD, DMS-PROC, DMS-ENT</w:t>
            </w:r>
          </w:p>
        </w:tc>
      </w:tr>
    </w:tbl>
    <w:p>
      <w:pPr>
        <w:pStyle w:val="Normal"/>
        <w:spacing w:before="0" w:after="160"/>
        <w:rPr/>
      </w:pPr>
      <w:r>
        <w:rPr/>
      </w:r>
    </w:p>
    <w:p>
      <w:pPr>
        <w:pStyle w:val="Heading3"/>
        <w:rPr/>
      </w:pPr>
      <w:bookmarkStart w:id="67" w:name="__RefHeading___Toc5901_4193276671"/>
      <w:bookmarkStart w:id="68" w:name="_Toc100033"/>
      <w:bookmarkEnd w:id="67"/>
      <w:r>
        <w:rPr/>
        <w:t>INT-08 — ManWinWin CMMS Integration</w:t>
      </w:r>
      <w:bookmarkEnd w:id="68"/>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INT-08</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ManWinWin CMMS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Trigger NCP/work order from equipment failure; sync calibration schedules; pull equipment history; manage spare parts quality</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Morocco/Africa:</w:t>
            </w:r>
            <w:r>
              <w:rPr>
                <w:rFonts w:eastAsia="Times New Roman" w:cs="Times New Roman"/>
                <w:b w:val="false"/>
                <w:bCs w:val="false"/>
                <w:sz w:val="19"/>
                <w:szCs w:val="19"/>
              </w:rPr>
              <w:t xml:space="preserve"> Strong in PALOP and Zambia. </w:t>
            </w:r>
            <w:r>
              <w:rPr>
                <w:rFonts w:eastAsia="Times New Roman" w:cs="Times New Roman"/>
                <w:b/>
                <w:bCs/>
                <w:color w:val="3A3A3C"/>
                <w:sz w:val="19"/>
                <w:szCs w:val="19"/>
              </w:rPr>
              <w:t>Europe:</w:t>
            </w:r>
            <w:r>
              <w:rPr>
                <w:rFonts w:eastAsia="Times New Roman" w:cs="Times New Roman"/>
                <w:b w:val="false"/>
                <w:bCs w:val="false"/>
                <w:sz w:val="19"/>
                <w:szCs w:val="19"/>
              </w:rPr>
              <w:t xml:space="preserve"> Established in Southern Europe</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Asset-intensive, pragmatic. </w:t>
            </w:r>
            <w:r>
              <w:rPr>
                <w:rFonts w:eastAsia="Times New Roman" w:cs="Times New Roman"/>
                <w:b/>
                <w:bCs/>
                <w:color w:val="3A3A3C"/>
                <w:sz w:val="19"/>
                <w:szCs w:val="19"/>
              </w:rPr>
              <w:t>Pain Points:</w:t>
            </w:r>
            <w:r>
              <w:rPr>
                <w:rFonts w:eastAsia="Times New Roman" w:cs="Times New Roman"/>
                <w:b w:val="false"/>
                <w:bCs w:val="false"/>
                <w:sz w:val="19"/>
                <w:szCs w:val="19"/>
              </w:rPr>
              <w:t xml:space="preserve"> Unpredictable downtime; no link to QHSE. </w:t>
            </w:r>
            <w:r>
              <w:rPr>
                <w:rFonts w:eastAsia="Times New Roman" w:cs="Times New Roman"/>
                <w:b/>
                <w:bCs/>
                <w:color w:val="3A3A3C"/>
                <w:sz w:val="19"/>
                <w:szCs w:val="19"/>
              </w:rPr>
              <w:t>Hopes:</w:t>
            </w:r>
            <w:r>
              <w:rPr>
                <w:rFonts w:eastAsia="Times New Roman" w:cs="Times New Roman"/>
                <w:b w:val="false"/>
                <w:bCs w:val="false"/>
                <w:sz w:val="19"/>
                <w:szCs w:val="19"/>
              </w:rPr>
              <w:t xml:space="preserve"> Proactive maintenance; reliability excellence</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DMS-PROC, DMS-PRO, DMS-ENT, DMS-AUTO</w:t>
            </w:r>
          </w:p>
        </w:tc>
      </w:tr>
    </w:tbl>
    <w:p>
      <w:pPr>
        <w:pStyle w:val="Normal"/>
        <w:spacing w:before="0" w:after="160"/>
        <w:rPr/>
      </w:pPr>
      <w:r>
        <w:rPr/>
      </w:r>
    </w:p>
    <w:p>
      <w:pPr>
        <w:pStyle w:val="Heading3"/>
        <w:rPr/>
      </w:pPr>
      <w:bookmarkStart w:id="69" w:name="__RefHeading___Toc5903_4193276671"/>
      <w:bookmarkStart w:id="70" w:name="_Toc100034"/>
      <w:bookmarkEnd w:id="69"/>
      <w:r>
        <w:rPr/>
        <w:t>INT-09 — EcoOnline EHS Software Integration</w:t>
      </w:r>
      <w:bookmarkEnd w:id="70"/>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INT-09</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EcoOnline EHS Software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Consolidate incident reporting; sync chemical inventories/SDS; manage audits; roll up ESG metrics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Europe:</w:t>
            </w:r>
            <w:r>
              <w:rPr>
                <w:rFonts w:eastAsia="Times New Roman" w:cs="Times New Roman"/>
                <w:b w:val="false"/>
                <w:bCs w:val="false"/>
                <w:sz w:val="19"/>
                <w:szCs w:val="19"/>
              </w:rPr>
              <w:t xml:space="preserve"> Leading EHSQ SaaS. </w:t>
            </w:r>
            <w:r>
              <w:rPr>
                <w:rFonts w:eastAsia="Times New Roman" w:cs="Times New Roman"/>
                <w:b/>
                <w:bCs/>
                <w:color w:val="3A3A3C"/>
                <w:sz w:val="19"/>
                <w:szCs w:val="19"/>
              </w:rPr>
              <w:t>Africa:</w:t>
            </w:r>
            <w:r>
              <w:rPr>
                <w:rFonts w:eastAsia="Times New Roman" w:cs="Times New Roman"/>
                <w:b w:val="false"/>
                <w:bCs w:val="false"/>
                <w:sz w:val="19"/>
                <w:szCs w:val="19"/>
              </w:rPr>
              <w:t xml:space="preserve"> Available for South Africa</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Multinational, integrated GRC. </w:t>
            </w:r>
            <w:r>
              <w:rPr>
                <w:rFonts w:eastAsia="Times New Roman" w:cs="Times New Roman"/>
                <w:b/>
                <w:bCs/>
                <w:color w:val="3A3A3C"/>
                <w:sz w:val="19"/>
                <w:szCs w:val="19"/>
              </w:rPr>
              <w:t>Pain Points:</w:t>
            </w:r>
            <w:r>
              <w:rPr>
                <w:rFonts w:eastAsia="Times New Roman" w:cs="Times New Roman"/>
                <w:b w:val="false"/>
                <w:bCs w:val="false"/>
                <w:sz w:val="19"/>
                <w:szCs w:val="19"/>
              </w:rPr>
              <w:t xml:space="preserve"> Fragmented EHS/QHSE data. </w:t>
            </w:r>
            <w:r>
              <w:rPr>
                <w:rFonts w:eastAsia="Times New Roman" w:cs="Times New Roman"/>
                <w:b/>
                <w:bCs/>
                <w:color w:val="3A3A3C"/>
                <w:sz w:val="19"/>
                <w:szCs w:val="19"/>
              </w:rPr>
              <w:t>Hopes:</w:t>
            </w:r>
            <w:r>
              <w:rPr>
                <w:rFonts w:eastAsia="Times New Roman" w:cs="Times New Roman"/>
                <w:b w:val="false"/>
                <w:bCs w:val="false"/>
                <w:sz w:val="19"/>
                <w:szCs w:val="19"/>
              </w:rPr>
              <w:t xml:space="preserve"> Unified One Company, One System</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DMS-PRO, DMS-PROC, DMS-AERO</w:t>
            </w:r>
          </w:p>
        </w:tc>
      </w:tr>
    </w:tbl>
    <w:p>
      <w:pPr>
        <w:pStyle w:val="Normal"/>
        <w:spacing w:before="0" w:after="160"/>
        <w:rPr/>
      </w:pPr>
      <w:r>
        <w:rPr/>
      </w:r>
    </w:p>
    <w:p>
      <w:pPr>
        <w:pStyle w:val="Heading3"/>
        <w:rPr/>
      </w:pPr>
      <w:bookmarkStart w:id="71" w:name="__RefHeading___Toc5905_4193276671"/>
      <w:bookmarkStart w:id="72" w:name="_Toc100035"/>
      <w:bookmarkEnd w:id="71"/>
      <w:r>
        <w:rPr/>
        <w:t>INT-10 — AVEVA System Platform / SCADA Integration</w:t>
      </w:r>
      <w:bookmarkEnd w:id="72"/>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INT-10</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AVEVA System Platform / SCADA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Ingest real-time sensor data; auto-trigger NCP on threshold breach; use historical data for AI; unified dashboard</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Europe:</w:t>
            </w:r>
            <w:r>
              <w:rPr>
                <w:rFonts w:eastAsia="Times New Roman" w:cs="Times New Roman"/>
                <w:b w:val="false"/>
                <w:bCs w:val="false"/>
                <w:sz w:val="19"/>
                <w:szCs w:val="19"/>
              </w:rPr>
              <w:t xml:space="preserve"> Market leader. </w:t>
            </w:r>
            <w:r>
              <w:rPr>
                <w:rFonts w:eastAsia="Times New Roman" w:cs="Times New Roman"/>
                <w:b/>
                <w:bCs/>
                <w:color w:val="3A3A3C"/>
                <w:sz w:val="19"/>
                <w:szCs w:val="19"/>
              </w:rPr>
              <w:t>Africa:</w:t>
            </w:r>
            <w:r>
              <w:rPr>
                <w:rFonts w:eastAsia="Times New Roman" w:cs="Times New Roman"/>
                <w:b w:val="false"/>
                <w:bCs w:val="false"/>
                <w:sz w:val="19"/>
                <w:szCs w:val="19"/>
              </w:rPr>
              <w:t xml:space="preserve"> Expanding in mining/energy. </w:t>
            </w:r>
            <w:r>
              <w:rPr>
                <w:rFonts w:eastAsia="Times New Roman" w:cs="Times New Roman"/>
                <w:b/>
                <w:bCs/>
                <w:color w:val="3A3A3C"/>
                <w:sz w:val="19"/>
                <w:szCs w:val="19"/>
              </w:rPr>
              <w:t>Middle East:</w:t>
            </w:r>
            <w:r>
              <w:rPr>
                <w:rFonts w:eastAsia="Times New Roman" w:cs="Times New Roman"/>
                <w:b w:val="false"/>
                <w:bCs w:val="false"/>
                <w:sz w:val="19"/>
                <w:szCs w:val="19"/>
              </w:rPr>
              <w:t xml:space="preserve"> Major modernization projects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Asset-intensive, digital transformation. </w:t>
            </w:r>
            <w:r>
              <w:rPr>
                <w:rFonts w:eastAsia="Times New Roman" w:cs="Times New Roman"/>
                <w:b/>
                <w:bCs/>
                <w:color w:val="3A3A3C"/>
                <w:sz w:val="19"/>
                <w:szCs w:val="19"/>
              </w:rPr>
              <w:t>Pain Points:</w:t>
            </w:r>
            <w:r>
              <w:rPr>
                <w:rFonts w:eastAsia="Times New Roman" w:cs="Times New Roman"/>
                <w:b w:val="false"/>
                <w:bCs w:val="false"/>
                <w:sz w:val="19"/>
                <w:szCs w:val="19"/>
              </w:rPr>
              <w:t xml:space="preserve"> OT/IT gap; missed warnings. </w:t>
            </w:r>
            <w:r>
              <w:rPr>
                <w:rFonts w:eastAsia="Times New Roman" w:cs="Times New Roman"/>
                <w:b/>
                <w:bCs/>
                <w:color w:val="3A3A3C"/>
                <w:sz w:val="19"/>
                <w:szCs w:val="19"/>
              </w:rPr>
              <w:t>Hopes:</w:t>
            </w:r>
            <w:r>
              <w:rPr>
                <w:rFonts w:eastAsia="Times New Roman" w:cs="Times New Roman"/>
                <w:b w:val="false"/>
                <w:bCs w:val="false"/>
                <w:sz w:val="19"/>
                <w:szCs w:val="19"/>
              </w:rPr>
              <w:t xml:space="preserve"> Unlock operational data; proactive prevention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DMS-PROC, DMS-AUTO, DMS-ENT, DMS-AI</w:t>
            </w:r>
          </w:p>
        </w:tc>
      </w:tr>
    </w:tbl>
    <w:p>
      <w:pPr>
        <w:pStyle w:val="Normal"/>
        <w:spacing w:before="0" w:after="160"/>
        <w:rPr/>
      </w:pPr>
      <w:r>
        <w:rPr/>
      </w:r>
    </w:p>
    <w:p>
      <w:pPr>
        <w:pStyle w:val="Heading3"/>
        <w:rPr/>
      </w:pPr>
      <w:bookmarkStart w:id="73" w:name="__RefHeading___Toc5907_4193276671"/>
      <w:bookmarkStart w:id="74" w:name="_Toc100036"/>
      <w:bookmarkEnd w:id="73"/>
      <w:r>
        <w:rPr/>
        <w:t>INT-11 — Cercli Payroll Integration (Middle East)</w:t>
      </w:r>
      <w:bookmarkEnd w:id="74"/>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INT-11</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Cercli Payroll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Sync employee/payroll data; calculate wages for medical leave; provide payroll data for fatigue analysis; labor law compliance</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Middle East:</w:t>
            </w:r>
            <w:r>
              <w:rPr>
                <w:rFonts w:eastAsia="Times New Roman" w:cs="Times New Roman"/>
                <w:b w:val="false"/>
                <w:bCs w:val="false"/>
                <w:sz w:val="19"/>
                <w:szCs w:val="19"/>
              </w:rPr>
              <w:t xml:space="preserve"> Modern employee data platform for MENA; automates payroll, compliance, reimbursement</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GCC-focused, WPS-compliant. </w:t>
            </w:r>
            <w:r>
              <w:rPr>
                <w:rFonts w:eastAsia="Times New Roman" w:cs="Times New Roman"/>
                <w:b/>
                <w:bCs/>
                <w:color w:val="3A3A3C"/>
                <w:sz w:val="19"/>
                <w:szCs w:val="19"/>
              </w:rPr>
              <w:t>Pain Points:</w:t>
            </w:r>
            <w:r>
              <w:rPr>
                <w:rFonts w:eastAsia="Times New Roman" w:cs="Times New Roman"/>
                <w:b w:val="false"/>
                <w:bCs w:val="false"/>
                <w:sz w:val="19"/>
                <w:szCs w:val="19"/>
              </w:rPr>
              <w:t xml:space="preserve"> Complex labor laws across GCC. </w:t>
            </w:r>
            <w:r>
              <w:rPr>
                <w:rFonts w:eastAsia="Times New Roman" w:cs="Times New Roman"/>
                <w:b/>
                <w:bCs/>
                <w:color w:val="3A3A3C"/>
                <w:sz w:val="19"/>
                <w:szCs w:val="19"/>
              </w:rPr>
              <w:t>Hopes:</w:t>
            </w:r>
            <w:r>
              <w:rPr>
                <w:rFonts w:eastAsia="Times New Roman" w:cs="Times New Roman"/>
                <w:b w:val="false"/>
                <w:bCs w:val="false"/>
                <w:sz w:val="19"/>
                <w:szCs w:val="19"/>
              </w:rPr>
              <w:t xml:space="preserve"> Compliant payroll linked to operations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DMS-SME</w:t>
            </w:r>
          </w:p>
        </w:tc>
      </w:tr>
    </w:tbl>
    <w:p>
      <w:pPr>
        <w:pStyle w:val="Normal"/>
        <w:spacing w:before="0" w:after="160"/>
        <w:rPr/>
      </w:pPr>
      <w:r>
        <w:rPr/>
      </w:r>
    </w:p>
    <w:p>
      <w:pPr>
        <w:pStyle w:val="Heading3"/>
        <w:rPr/>
      </w:pPr>
      <w:bookmarkStart w:id="75" w:name="__RefHeading___Toc5909_4193276671"/>
      <w:bookmarkStart w:id="76" w:name="_Toc100037"/>
      <w:bookmarkEnd w:id="75"/>
      <w:r>
        <w:rPr/>
        <w:t>INT-12 — PaySpace Payroll Integration (Africa)</w:t>
      </w:r>
      <w:bookmarkEnd w:id="76"/>
    </w:p>
    <w:tbl>
      <w:tblPr>
        <w:tblW w:w="9746" w:type="dxa"/>
        <w:jc w:val="left"/>
        <w:tblInd w:w="0" w:type="dxa"/>
        <w:tblLayout w:type="fixed"/>
        <w:tblCellMar>
          <w:top w:w="55" w:type="dxa"/>
          <w:left w:w="100" w:type="dxa"/>
          <w:bottom w:w="55" w:type="dxa"/>
          <w:right w:w="100" w:type="dxa"/>
        </w:tblCellMar>
      </w:tblPr>
      <w:tblGrid>
        <w:gridCol w:w="2360"/>
        <w:gridCol w:w="7385"/>
      </w:tblGrid>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INT-12</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PaySpace Payroll Integration</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Sync employee data across 40+ African countries; automate statutory contributions; manage cross-border payroll; DEI metrics</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Example Applications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Africa:</w:t>
            </w:r>
            <w:r>
              <w:rPr>
                <w:rFonts w:eastAsia="Times New Roman" w:cs="Times New Roman"/>
                <w:b w:val="false"/>
                <w:bCs w:val="false"/>
                <w:sz w:val="19"/>
                <w:szCs w:val="19"/>
              </w:rPr>
              <w:t xml:space="preserve"> True cloud HR/payroll across 40+ countries; used by Absa Group</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Multi-country African operators. </w:t>
            </w:r>
            <w:r>
              <w:rPr>
                <w:rFonts w:eastAsia="Times New Roman" w:cs="Times New Roman"/>
                <w:b/>
                <w:bCs/>
                <w:color w:val="3A3A3C"/>
                <w:sz w:val="19"/>
                <w:szCs w:val="19"/>
              </w:rPr>
              <w:t>Pain Points:</w:t>
            </w:r>
            <w:r>
              <w:rPr>
                <w:rFonts w:eastAsia="Times New Roman" w:cs="Times New Roman"/>
                <w:b w:val="false"/>
                <w:bCs w:val="false"/>
                <w:sz w:val="19"/>
                <w:szCs w:val="19"/>
              </w:rPr>
              <w:t xml:space="preserve"> Legislative compliance across regimes. </w:t>
            </w:r>
            <w:r>
              <w:rPr>
                <w:rFonts w:eastAsia="Times New Roman" w:cs="Times New Roman"/>
                <w:b/>
                <w:bCs/>
                <w:color w:val="3A3A3C"/>
                <w:sz w:val="19"/>
                <w:szCs w:val="19"/>
              </w:rPr>
              <w:t>Hopes:</w:t>
            </w:r>
            <w:r>
              <w:rPr>
                <w:rFonts w:eastAsia="Times New Roman" w:cs="Times New Roman"/>
                <w:b w:val="false"/>
                <w:bCs w:val="false"/>
                <w:sz w:val="19"/>
                <w:szCs w:val="19"/>
              </w:rPr>
              <w:t xml:space="preserve"> Unified African workforce view</w:t>
            </w:r>
          </w:p>
        </w:tc>
      </w:tr>
      <w:tr>
        <w:trPr>
          <w:cantSplit w:val="true"/>
        </w:trPr>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3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DMS-SME, DMS-ESG</w:t>
            </w:r>
          </w:p>
        </w:tc>
      </w:tr>
    </w:tbl>
    <w:p>
      <w:pPr>
        <w:pStyle w:val="Normal"/>
        <w:spacing w:before="0" w:after="160"/>
        <w:rPr/>
      </w:pPr>
      <w:r>
        <w:rPr/>
      </w:r>
    </w:p>
    <w:p>
      <w:pPr>
        <w:pStyle w:val="Heading2"/>
        <w:rPr/>
      </w:pPr>
      <w:bookmarkStart w:id="77" w:name="__RefHeading___Toc5911_4193276671"/>
      <w:bookmarkStart w:id="78" w:name="_Toc100038"/>
      <w:bookmarkEnd w:id="77"/>
      <w:r>
        <w:rPr/>
        <w:t>3.3 Integration-to-Pack Mapping</w:t>
      </w:r>
      <w:bookmarkEnd w:id="78"/>
    </w:p>
    <w:tbl>
      <w:tblPr>
        <w:tblW w:w="9746" w:type="dxa"/>
        <w:jc w:val="left"/>
        <w:tblInd w:w="0" w:type="dxa"/>
        <w:tblLayout w:type="fixed"/>
        <w:tblCellMar>
          <w:top w:w="55" w:type="dxa"/>
          <w:left w:w="100" w:type="dxa"/>
          <w:bottom w:w="55" w:type="dxa"/>
          <w:right w:w="100" w:type="dxa"/>
        </w:tblCellMar>
      </w:tblPr>
      <w:tblGrid>
        <w:gridCol w:w="3523"/>
        <w:gridCol w:w="6222"/>
      </w:tblGrid>
      <w:tr>
        <w:trPr>
          <w:tblHeader w:val="true"/>
          <w:cantSplit w:val="true"/>
        </w:trPr>
        <w:tc>
          <w:tcPr>
            <w:tcW w:w="352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Integration</w:t>
            </w:r>
          </w:p>
        </w:tc>
        <w:tc>
          <w:tcPr>
            <w:tcW w:w="622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Related Packs</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INT-01 Odoo</w:t>
            </w:r>
          </w:p>
        </w:tc>
        <w:tc>
          <w:tcPr>
            <w:tcW w:w="62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 DMS-PRO, DMS-AUTO, DMS-FOOD, DMS-CERT</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INT-02 SAP</w:t>
            </w:r>
          </w:p>
        </w:tc>
        <w:tc>
          <w:tcPr>
            <w:tcW w:w="62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DMS-ENT, DMS-PRO, DMS-AUTO, DMS-LSCI, DMS-PROC</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INT-03 ZenHR</w:t>
            </w:r>
          </w:p>
        </w:tc>
        <w:tc>
          <w:tcPr>
            <w:tcW w:w="62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DMS-SME, DMS-LSCI, DMS-PROC</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INT-04 Personio</w:t>
            </w:r>
          </w:p>
        </w:tc>
        <w:tc>
          <w:tcPr>
            <w:tcW w:w="62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DMS-SME, DMS-CERT, DMS-AI</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INT-05 HubSpot</w:t>
            </w:r>
          </w:p>
        </w:tc>
        <w:tc>
          <w:tcPr>
            <w:tcW w:w="62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DMS-SME, DMS-CERT, DMS-AI, DMS-ESG</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INT-06 Siemens Opcenter</w:t>
            </w:r>
          </w:p>
        </w:tc>
        <w:tc>
          <w:tcPr>
            <w:tcW w:w="62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DMS-AUTO, DMS-PRO, DMS-ENT, DMS-FOOD, DMS-LSCI</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INT-07 Thermo Fisher LIMS</w:t>
            </w:r>
          </w:p>
        </w:tc>
        <w:tc>
          <w:tcPr>
            <w:tcW w:w="62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 DMS-FOOD, DMS-PROC, DMS-ENT</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INT-08 ManWinWin</w:t>
            </w:r>
          </w:p>
        </w:tc>
        <w:tc>
          <w:tcPr>
            <w:tcW w:w="62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DMS-PROC, DMS-PRO, DMS-ENT, DMS-AUTO</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INT-09 EcoOnline</w:t>
            </w:r>
          </w:p>
        </w:tc>
        <w:tc>
          <w:tcPr>
            <w:tcW w:w="62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DMS-PRO, DMS-PROC, DMS-AERO</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INT-10 AVEVA SCADA</w:t>
            </w:r>
          </w:p>
        </w:tc>
        <w:tc>
          <w:tcPr>
            <w:tcW w:w="62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DMS-PROC, DMS-AUTO, DMS-ENT, DMS-AI</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INT-11 Cercli</w:t>
            </w:r>
          </w:p>
        </w:tc>
        <w:tc>
          <w:tcPr>
            <w:tcW w:w="62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DMS-SME</w:t>
            </w:r>
          </w:p>
        </w:tc>
      </w:tr>
      <w:tr>
        <w:trPr>
          <w:cantSplit w:val="true"/>
        </w:trPr>
        <w:tc>
          <w:tcPr>
            <w:tcW w:w="35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INT-12 PaySpace</w:t>
            </w:r>
          </w:p>
        </w:tc>
        <w:tc>
          <w:tcPr>
            <w:tcW w:w="62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DMS-ENT, DMS-SME, DMS-ESG</w:t>
            </w:r>
          </w:p>
        </w:tc>
      </w:tr>
    </w:tbl>
    <w:p>
      <w:pPr>
        <w:pStyle w:val="Normal"/>
        <w:spacing w:before="0" w:after="160"/>
        <w:rPr/>
      </w:pPr>
      <w:r>
        <w:rPr/>
      </w:r>
      <w:r>
        <w:br w:type="page"/>
      </w:r>
    </w:p>
    <w:p>
      <w:pPr>
        <w:pStyle w:val="Heading1"/>
        <w:rPr/>
      </w:pPr>
      <w:bookmarkStart w:id="79" w:name="__RefHeading___Toc5913_4193276671"/>
      <w:bookmarkStart w:id="80" w:name="_Toc100039"/>
      <w:bookmarkEnd w:id="79"/>
      <w:r>
        <w:rPr/>
        <w:t>Part 4 — Add-Ons Catalog (12 Add-Ons)</w:t>
      </w:r>
      <w:bookmarkEnd w:id="80"/>
    </w:p>
    <w:p>
      <w:pPr>
        <w:pStyle w:val="Heading2"/>
        <w:rPr/>
      </w:pPr>
      <w:bookmarkStart w:id="81" w:name="__RefHeading___Toc5915_4193276671"/>
      <w:bookmarkStart w:id="82" w:name="_Toc100040"/>
      <w:bookmarkEnd w:id="81"/>
      <w:r>
        <w:rPr/>
        <w:t>4.1 Add-On Overview Table</w:t>
      </w:r>
      <w:bookmarkEnd w:id="82"/>
    </w:p>
    <w:tbl>
      <w:tblPr>
        <w:tblW w:w="9746" w:type="dxa"/>
        <w:jc w:val="left"/>
        <w:tblInd w:w="0" w:type="dxa"/>
        <w:tblLayout w:type="fixed"/>
        <w:tblCellMar>
          <w:top w:w="55" w:type="dxa"/>
          <w:left w:w="100" w:type="dxa"/>
          <w:bottom w:w="55" w:type="dxa"/>
          <w:right w:w="100" w:type="dxa"/>
        </w:tblCellMar>
      </w:tblPr>
      <w:tblGrid>
        <w:gridCol w:w="844"/>
        <w:gridCol w:w="3153"/>
        <w:gridCol w:w="1448"/>
        <w:gridCol w:w="3051"/>
        <w:gridCol w:w="1250"/>
      </w:tblGrid>
      <w:tr>
        <w:trPr>
          <w:tblHeader w:val="true"/>
          <w:cantSplit w:val="true"/>
        </w:trPr>
        <w:tc>
          <w:tcPr>
            <w:tcW w:w="84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ID</w:t>
            </w:r>
          </w:p>
        </w:tc>
        <w:tc>
          <w:tcPr>
            <w:tcW w:w="315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Name</w:t>
            </w:r>
          </w:p>
        </w:tc>
        <w:tc>
          <w:tcPr>
            <w:tcW w:w="144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Category</w:t>
            </w:r>
          </w:p>
        </w:tc>
        <w:tc>
          <w:tcPr>
            <w:tcW w:w="30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Related Packs</w:t>
            </w:r>
          </w:p>
        </w:tc>
        <w:tc>
          <w:tcPr>
            <w:tcW w:w="12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Base Price</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ADD-01</w:t>
            </w:r>
          </w:p>
        </w:tc>
        <w:tc>
          <w:tcPr>
            <w:tcW w:w="31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Mobile Field Operations</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Mobility</w:t>
            </w:r>
          </w:p>
        </w:tc>
        <w:tc>
          <w:tcPr>
            <w:tcW w:w="3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All</w:t>
            </w:r>
          </w:p>
        </w:tc>
        <w:tc>
          <w:tcPr>
            <w:tcW w:w="12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$99/mo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ADD-02</w:t>
            </w:r>
          </w:p>
        </w:tc>
        <w:tc>
          <w:tcPr>
            <w:tcW w:w="31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Voice-to-Text Reporting</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AI</w:t>
            </w:r>
          </w:p>
        </w:tc>
        <w:tc>
          <w:tcPr>
            <w:tcW w:w="3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DMS-ENT, DMS-AI</w:t>
            </w:r>
          </w:p>
        </w:tc>
        <w:tc>
          <w:tcPr>
            <w:tcW w:w="12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$149/mo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ADD-03</w:t>
            </w:r>
          </w:p>
        </w:tc>
        <w:tc>
          <w:tcPr>
            <w:tcW w:w="31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Augmented Reality Audits</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Innovation</w:t>
            </w:r>
          </w:p>
        </w:tc>
        <w:tc>
          <w:tcPr>
            <w:tcW w:w="3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 DMS-PROC, DMS-ENT</w:t>
            </w:r>
          </w:p>
        </w:tc>
        <w:tc>
          <w:tcPr>
            <w:tcW w:w="12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$299/mo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ADD-04</w:t>
            </w:r>
          </w:p>
        </w:tc>
        <w:tc>
          <w:tcPr>
            <w:tcW w:w="31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Digital Signatures (eIDAS)</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Compliance</w:t>
            </w:r>
          </w:p>
        </w:tc>
        <w:tc>
          <w:tcPr>
            <w:tcW w:w="3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All</w:t>
            </w:r>
          </w:p>
        </w:tc>
        <w:tc>
          <w:tcPr>
            <w:tcW w:w="12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$79/mo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ADD-05</w:t>
            </w:r>
          </w:p>
        </w:tc>
        <w:tc>
          <w:tcPr>
            <w:tcW w:w="31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Blockchain Audit Trail</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Trust</w:t>
            </w:r>
          </w:p>
        </w:tc>
        <w:tc>
          <w:tcPr>
            <w:tcW w:w="3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DMS-AERO, DMS-LSCI, DMS-ENT</w:t>
            </w:r>
          </w:p>
        </w:tc>
        <w:tc>
          <w:tcPr>
            <w:tcW w:w="12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$399/mo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ADD-06</w:t>
            </w:r>
          </w:p>
        </w:tc>
        <w:tc>
          <w:tcPr>
            <w:tcW w:w="31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Supplier Collaboration Portal</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Ecosystem</w:t>
            </w:r>
          </w:p>
        </w:tc>
        <w:tc>
          <w:tcPr>
            <w:tcW w:w="3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DMS-ENT, DMS-AUTO</w:t>
            </w:r>
          </w:p>
        </w:tc>
        <w:tc>
          <w:tcPr>
            <w:tcW w:w="12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$199/mo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ADD-07</w:t>
            </w:r>
          </w:p>
        </w:tc>
        <w:tc>
          <w:tcPr>
            <w:tcW w:w="31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Customer Feedback Portal</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CX</w:t>
            </w:r>
          </w:p>
        </w:tc>
        <w:tc>
          <w:tcPr>
            <w:tcW w:w="3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DMS-SME</w:t>
            </w:r>
          </w:p>
        </w:tc>
        <w:tc>
          <w:tcPr>
            <w:tcW w:w="12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$149/mo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ADD-08</w:t>
            </w:r>
          </w:p>
        </w:tc>
        <w:tc>
          <w:tcPr>
            <w:tcW w:w="31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Low-Code Process Builder</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Innovation</w:t>
            </w:r>
          </w:p>
        </w:tc>
        <w:tc>
          <w:tcPr>
            <w:tcW w:w="3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DMS-ENT</w:t>
            </w:r>
          </w:p>
        </w:tc>
        <w:tc>
          <w:tcPr>
            <w:tcW w:w="12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$249/mo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ADD-09</w:t>
            </w:r>
          </w:p>
        </w:tc>
        <w:tc>
          <w:tcPr>
            <w:tcW w:w="31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Marketplace Access</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Ecosystem</w:t>
            </w:r>
          </w:p>
        </w:tc>
        <w:tc>
          <w:tcPr>
            <w:tcW w:w="3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All</w:t>
            </w:r>
          </w:p>
        </w:tc>
        <w:tc>
          <w:tcPr>
            <w:tcW w:w="12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$99/mo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ADD-10</w:t>
            </w:r>
          </w:p>
        </w:tc>
        <w:tc>
          <w:tcPr>
            <w:tcW w:w="31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Digital Twin Simulation</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Innovation</w:t>
            </w:r>
          </w:p>
        </w:tc>
        <w:tc>
          <w:tcPr>
            <w:tcW w:w="3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DMS-AUTO, DMS-PROC, DMS-ENT</w:t>
            </w:r>
          </w:p>
        </w:tc>
        <w:tc>
          <w:tcPr>
            <w:tcW w:w="12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$499/mo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ADD-11</w:t>
            </w:r>
          </w:p>
        </w:tc>
        <w:tc>
          <w:tcPr>
            <w:tcW w:w="31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Voice of Customer Analytics</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CX</w:t>
            </w:r>
          </w:p>
        </w:tc>
        <w:tc>
          <w:tcPr>
            <w:tcW w:w="3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DMS-ESG</w:t>
            </w:r>
          </w:p>
        </w:tc>
        <w:tc>
          <w:tcPr>
            <w:tcW w:w="12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$199/mo</w:t>
            </w:r>
          </w:p>
        </w:tc>
      </w:tr>
      <w:tr>
        <w:trPr>
          <w:cantSplit w:val="true"/>
        </w:trPr>
        <w:tc>
          <w:tcPr>
            <w:tcW w:w="8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ADD-12</w:t>
            </w:r>
          </w:p>
        </w:tc>
        <w:tc>
          <w:tcPr>
            <w:tcW w:w="31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IoT Sensor Integration</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Industry 4.0</w:t>
            </w:r>
          </w:p>
        </w:tc>
        <w:tc>
          <w:tcPr>
            <w:tcW w:w="3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DMS-AUTO, DMS-PROC, DMS-FOOD</w:t>
            </w:r>
          </w:p>
        </w:tc>
        <w:tc>
          <w:tcPr>
            <w:tcW w:w="12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$299/mo</w:t>
            </w:r>
          </w:p>
        </w:tc>
      </w:tr>
    </w:tbl>
    <w:p>
      <w:pPr>
        <w:pStyle w:val="Normal"/>
        <w:spacing w:before="0" w:after="160"/>
        <w:rPr/>
      </w:pPr>
      <w:r>
        <w:rPr/>
      </w:r>
    </w:p>
    <w:p>
      <w:pPr>
        <w:pStyle w:val="Heading2"/>
        <w:rPr/>
      </w:pPr>
      <w:bookmarkStart w:id="83" w:name="__RefHeading___Toc5917_4193276671"/>
      <w:bookmarkStart w:id="84" w:name="_Toc100041"/>
      <w:bookmarkEnd w:id="83"/>
      <w:r>
        <w:rPr/>
        <w:t>4.2 Detailed Add-On Specifications</w:t>
      </w:r>
      <w:bookmarkEnd w:id="84"/>
    </w:p>
    <w:p>
      <w:pPr>
        <w:pStyle w:val="Heading3"/>
        <w:rPr/>
      </w:pPr>
      <w:bookmarkStart w:id="85" w:name="__RefHeading___Toc5919_4193276671"/>
      <w:bookmarkStart w:id="86" w:name="_Toc100042"/>
      <w:bookmarkEnd w:id="85"/>
      <w:r>
        <w:rPr/>
        <w:t>ADD-01 — Mobile Field Operations</w:t>
      </w:r>
      <w:bookmarkEnd w:id="86"/>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ADD-01</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Mobile Field Operations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Native iOS/Android apps; offline data capture; photo/video/voice evidence; GPS tagging; barcode scanning</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Field-heavy operations (construction, utilities, field service). </w:t>
            </w:r>
            <w:r>
              <w:rPr>
                <w:rFonts w:eastAsia="Times New Roman" w:cs="Times New Roman"/>
                <w:b/>
                <w:bCs/>
                <w:color w:val="3A3A3C"/>
                <w:sz w:val="19"/>
                <w:szCs w:val="19"/>
              </w:rPr>
              <w:t>Pain Points:</w:t>
            </w:r>
            <w:r>
              <w:rPr>
                <w:rFonts w:eastAsia="Times New Roman" w:cs="Times New Roman"/>
                <w:b w:val="false"/>
                <w:bCs w:val="false"/>
                <w:sz w:val="19"/>
                <w:szCs w:val="19"/>
              </w:rPr>
              <w:t xml:space="preserve"> Paper forms; delayed data entry; poor field UX. </w:t>
            </w:r>
            <w:r>
              <w:rPr>
                <w:rFonts w:eastAsia="Times New Roman" w:cs="Times New Roman"/>
                <w:b/>
                <w:bCs/>
                <w:color w:val="3A3A3C"/>
                <w:sz w:val="19"/>
                <w:szCs w:val="19"/>
              </w:rPr>
              <w:t>Hopes:</w:t>
            </w:r>
            <w:r>
              <w:rPr>
                <w:rFonts w:eastAsia="Times New Roman" w:cs="Times New Roman"/>
                <w:b w:val="false"/>
                <w:bCs w:val="false"/>
                <w:sz w:val="19"/>
                <w:szCs w:val="19"/>
              </w:rPr>
              <w:t xml:space="preserve"> Real-time field data; evidence capture; remote oversight</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All (especially DMS-PRO, DMS-ENT, DMS-SME, DMS-PROC)</w:t>
            </w:r>
          </w:p>
        </w:tc>
      </w:tr>
    </w:tbl>
    <w:p>
      <w:pPr>
        <w:pStyle w:val="Normal"/>
        <w:spacing w:before="0" w:after="160"/>
        <w:rPr/>
      </w:pPr>
      <w:r>
        <w:rPr/>
      </w:r>
    </w:p>
    <w:p>
      <w:pPr>
        <w:pStyle w:val="Heading3"/>
        <w:rPr/>
      </w:pPr>
      <w:bookmarkStart w:id="87" w:name="__RefHeading___Toc5921_4193276671"/>
      <w:bookmarkStart w:id="88" w:name="_Toc100043"/>
      <w:bookmarkEnd w:id="87"/>
      <w:r>
        <w:rPr/>
        <w:t>ADD-02 — Voice-to-Text Reporting</w:t>
      </w:r>
      <w:bookmarkEnd w:id="88"/>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ADD-02</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Voice-to-Text Reporting</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Hands-free incident/audit reporting; speech-to-text in EN/FR/AR; structured data extraction; auto-classification</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Multilingual workforces (MENA, Africa); hands-busy roles. </w:t>
            </w:r>
            <w:r>
              <w:rPr>
                <w:rFonts w:eastAsia="Times New Roman" w:cs="Times New Roman"/>
                <w:b/>
                <w:bCs/>
                <w:color w:val="3A3A3C"/>
                <w:sz w:val="19"/>
                <w:szCs w:val="19"/>
              </w:rPr>
              <w:t>Pain Points:</w:t>
            </w:r>
            <w:r>
              <w:rPr>
                <w:rFonts w:eastAsia="Times New Roman" w:cs="Times New Roman"/>
                <w:b w:val="false"/>
                <w:bCs w:val="false"/>
                <w:sz w:val="19"/>
                <w:szCs w:val="19"/>
              </w:rPr>
              <w:t xml:space="preserve"> Typing delays; language barriers; incomplete reports. </w:t>
            </w:r>
            <w:r>
              <w:rPr>
                <w:rFonts w:eastAsia="Times New Roman" w:cs="Times New Roman"/>
                <w:b/>
                <w:bCs/>
                <w:color w:val="3A3A3C"/>
                <w:sz w:val="19"/>
                <w:szCs w:val="19"/>
              </w:rPr>
              <w:t>Hopes:</w:t>
            </w:r>
            <w:r>
              <w:rPr>
                <w:rFonts w:eastAsia="Times New Roman" w:cs="Times New Roman"/>
                <w:b w:val="false"/>
                <w:bCs w:val="false"/>
                <w:sz w:val="19"/>
                <w:szCs w:val="19"/>
              </w:rPr>
              <w:t xml:space="preserve"> Fast, accurate, multilingual reporting</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DMS-AI, DMS-LSCI, DMS-PROC</w:t>
            </w:r>
          </w:p>
        </w:tc>
      </w:tr>
    </w:tbl>
    <w:p>
      <w:pPr>
        <w:pStyle w:val="Normal"/>
        <w:spacing w:before="0" w:after="160"/>
        <w:rPr/>
      </w:pPr>
      <w:r>
        <w:rPr/>
      </w:r>
    </w:p>
    <w:p>
      <w:pPr>
        <w:pStyle w:val="Heading3"/>
        <w:rPr/>
      </w:pPr>
      <w:bookmarkStart w:id="89" w:name="__RefHeading___Toc5923_4193276671"/>
      <w:bookmarkStart w:id="90" w:name="_Toc100044"/>
      <w:bookmarkEnd w:id="89"/>
      <w:r>
        <w:rPr/>
        <w:t>ADD-03 — Augmented Reality Audits</w:t>
      </w:r>
      <w:bookmarkEnd w:id="90"/>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ADD-03</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Augmented Reality Audits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AR overlays for audit guidance; step-by-step visual instructions; remote expert assistance; AR evidence capture</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Complex equipment; remote expertise needed. </w:t>
            </w:r>
            <w:r>
              <w:rPr>
                <w:rFonts w:eastAsia="Times New Roman" w:cs="Times New Roman"/>
                <w:b/>
                <w:bCs/>
                <w:color w:val="3A3A3C"/>
                <w:sz w:val="19"/>
                <w:szCs w:val="19"/>
              </w:rPr>
              <w:t>Pain Points:</w:t>
            </w:r>
            <w:r>
              <w:rPr>
                <w:rFonts w:eastAsia="Times New Roman" w:cs="Times New Roman"/>
                <w:b w:val="false"/>
                <w:bCs w:val="false"/>
                <w:sz w:val="19"/>
                <w:szCs w:val="19"/>
              </w:rPr>
              <w:t xml:space="preserve"> Auditor expertise gaps; travel costs; inconsistent audits. </w:t>
            </w:r>
            <w:r>
              <w:rPr>
                <w:rFonts w:eastAsia="Times New Roman" w:cs="Times New Roman"/>
                <w:b/>
                <w:bCs/>
                <w:color w:val="3A3A3C"/>
                <w:sz w:val="19"/>
                <w:szCs w:val="19"/>
              </w:rPr>
              <w:t>Hopes:</w:t>
            </w:r>
            <w:r>
              <w:rPr>
                <w:rFonts w:eastAsia="Times New Roman" w:cs="Times New Roman"/>
                <w:b w:val="false"/>
                <w:bCs w:val="false"/>
                <w:sz w:val="19"/>
                <w:szCs w:val="19"/>
              </w:rPr>
              <w:t xml:space="preserve"> Expert-guided audits; consistent quality; reduced travel</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 DMS-PROC, DMS-ENT, DMS-AERO, DMS-PCH</w:t>
            </w:r>
          </w:p>
        </w:tc>
      </w:tr>
    </w:tbl>
    <w:p>
      <w:pPr>
        <w:pStyle w:val="Normal"/>
        <w:spacing w:before="0" w:after="160"/>
        <w:rPr/>
      </w:pPr>
      <w:r>
        <w:rPr/>
      </w:r>
    </w:p>
    <w:p>
      <w:pPr>
        <w:pStyle w:val="Heading3"/>
        <w:rPr/>
      </w:pPr>
      <w:bookmarkStart w:id="91" w:name="__RefHeading___Toc5925_4193276671"/>
      <w:bookmarkStart w:id="92" w:name="_Toc100045"/>
      <w:bookmarkEnd w:id="91"/>
      <w:r>
        <w:rPr/>
        <w:t>ADD-04 — Digital Signatures (eIDAS)</w:t>
      </w:r>
      <w:bookmarkEnd w:id="92"/>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ADD-04</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Digital Signatures (eIDAS)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Legally binding signatures; eIDAS/ESIGN compliance; automated workflows; signature audit trail</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Regulated industries; paper-heavy processes. </w:t>
            </w:r>
            <w:r>
              <w:rPr>
                <w:rFonts w:eastAsia="Times New Roman" w:cs="Times New Roman"/>
                <w:b/>
                <w:bCs/>
                <w:color w:val="3A3A3C"/>
                <w:sz w:val="19"/>
                <w:szCs w:val="19"/>
              </w:rPr>
              <w:t>Pain Points:</w:t>
            </w:r>
            <w:r>
              <w:rPr>
                <w:rFonts w:eastAsia="Times New Roman" w:cs="Times New Roman"/>
                <w:b w:val="false"/>
                <w:bCs w:val="false"/>
                <w:sz w:val="19"/>
                <w:szCs w:val="19"/>
              </w:rPr>
              <w:t xml:space="preserve"> Wet signatures; slow approvals; compliance risk. </w:t>
            </w:r>
            <w:r>
              <w:rPr>
                <w:rFonts w:eastAsia="Times New Roman" w:cs="Times New Roman"/>
                <w:b/>
                <w:bCs/>
                <w:color w:val="3A3A3C"/>
                <w:sz w:val="19"/>
                <w:szCs w:val="19"/>
              </w:rPr>
              <w:t>Hopes:</w:t>
            </w:r>
            <w:r>
              <w:rPr>
                <w:rFonts w:eastAsia="Times New Roman" w:cs="Times New Roman"/>
                <w:b w:val="false"/>
                <w:bCs w:val="false"/>
                <w:sz w:val="19"/>
                <w:szCs w:val="19"/>
              </w:rPr>
              <w:t xml:space="preserve"> Paperless; fast approvals; legal certainty</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All</w:t>
            </w:r>
          </w:p>
        </w:tc>
      </w:tr>
    </w:tbl>
    <w:p>
      <w:pPr>
        <w:pStyle w:val="Normal"/>
        <w:spacing w:before="0" w:after="160"/>
        <w:rPr/>
      </w:pPr>
      <w:r>
        <w:rPr/>
      </w:r>
    </w:p>
    <w:p>
      <w:pPr>
        <w:pStyle w:val="Heading3"/>
        <w:rPr/>
      </w:pPr>
      <w:bookmarkStart w:id="93" w:name="__RefHeading___Toc5927_4193276671"/>
      <w:bookmarkStart w:id="94" w:name="_Toc100046"/>
      <w:bookmarkEnd w:id="93"/>
      <w:r>
        <w:rPr/>
        <w:t>ADD-05 — Blockchain Audit Trail</w:t>
      </w:r>
      <w:bookmarkEnd w:id="94"/>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ADD-05</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Blockchain Audit Trail</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Immutable audit trail; tamper-proof records; integrity verification; regulator access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Highly regulated; high-stakes compliance. </w:t>
            </w:r>
            <w:r>
              <w:rPr>
                <w:rFonts w:eastAsia="Times New Roman" w:cs="Times New Roman"/>
                <w:b/>
                <w:bCs/>
                <w:color w:val="3A3A3C"/>
                <w:sz w:val="19"/>
                <w:szCs w:val="19"/>
              </w:rPr>
              <w:t>Pain Points:</w:t>
            </w:r>
            <w:r>
              <w:rPr>
                <w:rFonts w:eastAsia="Times New Roman" w:cs="Times New Roman"/>
                <w:b w:val="false"/>
                <w:bCs w:val="false"/>
                <w:sz w:val="19"/>
                <w:szCs w:val="19"/>
              </w:rPr>
              <w:t xml:space="preserve"> Data tampering risk; audit verification cost. </w:t>
            </w:r>
            <w:r>
              <w:rPr>
                <w:rFonts w:eastAsia="Times New Roman" w:cs="Times New Roman"/>
                <w:b/>
                <w:bCs/>
                <w:color w:val="3A3A3C"/>
                <w:sz w:val="19"/>
                <w:szCs w:val="19"/>
              </w:rPr>
              <w:t>Hopes:</w:t>
            </w:r>
            <w:r>
              <w:rPr>
                <w:rFonts w:eastAsia="Times New Roman" w:cs="Times New Roman"/>
                <w:b w:val="false"/>
                <w:bCs w:val="false"/>
                <w:sz w:val="19"/>
                <w:szCs w:val="19"/>
              </w:rPr>
              <w:t xml:space="preserve"> Immutable trust; regulator confidence</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DMS-AERO, DMS-LSCI, DMS-ENT, DMS-PROC</w:t>
            </w:r>
          </w:p>
        </w:tc>
      </w:tr>
    </w:tbl>
    <w:p>
      <w:pPr>
        <w:pStyle w:val="Normal"/>
        <w:spacing w:before="0" w:after="160"/>
        <w:rPr/>
      </w:pPr>
      <w:r>
        <w:rPr/>
      </w:r>
    </w:p>
    <w:p>
      <w:pPr>
        <w:pStyle w:val="Heading3"/>
        <w:rPr/>
      </w:pPr>
      <w:bookmarkStart w:id="95" w:name="__RefHeading___Toc5929_4193276671"/>
      <w:bookmarkStart w:id="96" w:name="_Toc100047"/>
      <w:bookmarkEnd w:id="95"/>
      <w:r>
        <w:rPr/>
        <w:t>ADD-06 — Supplier Collaboration Portal</w:t>
      </w:r>
      <w:bookmarkEnd w:id="96"/>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ADD-06</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Supplier Collaboration Portal</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Supplier self-service; quality submissions; automated onboarding; performance dashboards; CAPA collaboration</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Complex supply chains; multi-tier visibility. </w:t>
            </w:r>
            <w:r>
              <w:rPr>
                <w:rFonts w:eastAsia="Times New Roman" w:cs="Times New Roman"/>
                <w:b/>
                <w:bCs/>
                <w:color w:val="3A3A3C"/>
                <w:sz w:val="19"/>
                <w:szCs w:val="19"/>
              </w:rPr>
              <w:t>Pain Points:</w:t>
            </w:r>
            <w:r>
              <w:rPr>
                <w:rFonts w:eastAsia="Times New Roman" w:cs="Times New Roman"/>
                <w:b w:val="false"/>
                <w:bCs w:val="false"/>
                <w:sz w:val="19"/>
                <w:szCs w:val="19"/>
              </w:rPr>
              <w:t xml:space="preserve"> Supplier data chase; manual SCARs. </w:t>
            </w:r>
            <w:r>
              <w:rPr>
                <w:rFonts w:eastAsia="Times New Roman" w:cs="Times New Roman"/>
                <w:b/>
                <w:bCs/>
                <w:color w:val="3A3A3C"/>
                <w:sz w:val="19"/>
                <w:szCs w:val="19"/>
              </w:rPr>
              <w:t>Hopes:</w:t>
            </w:r>
            <w:r>
              <w:rPr>
                <w:rFonts w:eastAsia="Times New Roman" w:cs="Times New Roman"/>
                <w:b w:val="false"/>
                <w:bCs w:val="false"/>
                <w:sz w:val="19"/>
                <w:szCs w:val="19"/>
              </w:rPr>
              <w:t xml:space="preserve"> Real-time supplier visibility; faster response</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DMS-AUTO, DMS-FOOD</w:t>
            </w:r>
          </w:p>
        </w:tc>
      </w:tr>
    </w:tbl>
    <w:p>
      <w:pPr>
        <w:pStyle w:val="Normal"/>
        <w:spacing w:before="0" w:after="160"/>
        <w:rPr/>
      </w:pPr>
      <w:r>
        <w:rPr/>
      </w:r>
    </w:p>
    <w:p>
      <w:pPr>
        <w:pStyle w:val="Heading3"/>
        <w:rPr/>
      </w:pPr>
      <w:bookmarkStart w:id="97" w:name="__RefHeading___Toc5931_4193276671"/>
      <w:bookmarkStart w:id="98" w:name="_Toc100048"/>
      <w:bookmarkEnd w:id="97"/>
      <w:r>
        <w:rPr/>
        <w:t>ADD-07 — Customer Feedback Portal</w:t>
      </w:r>
      <w:bookmarkEnd w:id="98"/>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ADD-07</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Customer Feedback Portal</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Customer self-service; complaint capture; auto-routing; lifecycle tracking; NCP/CAPA link</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B2C or B2B customer-facing. </w:t>
            </w:r>
            <w:r>
              <w:rPr>
                <w:rFonts w:eastAsia="Times New Roman" w:cs="Times New Roman"/>
                <w:b/>
                <w:bCs/>
                <w:color w:val="3A3A3C"/>
                <w:sz w:val="19"/>
                <w:szCs w:val="19"/>
              </w:rPr>
              <w:t>Pain Points:</w:t>
            </w:r>
            <w:r>
              <w:rPr>
                <w:rFonts w:eastAsia="Times New Roman" w:cs="Times New Roman"/>
                <w:b w:val="false"/>
                <w:bCs w:val="false"/>
                <w:sz w:val="19"/>
                <w:szCs w:val="19"/>
              </w:rPr>
              <w:t xml:space="preserve"> Complaints in email; slow resolution. </w:t>
            </w:r>
            <w:r>
              <w:rPr>
                <w:rFonts w:eastAsia="Times New Roman" w:cs="Times New Roman"/>
                <w:b/>
                <w:bCs/>
                <w:color w:val="3A3A3C"/>
                <w:sz w:val="19"/>
                <w:szCs w:val="19"/>
              </w:rPr>
              <w:t>Hopes:</w:t>
            </w:r>
            <w:r>
              <w:rPr>
                <w:rFonts w:eastAsia="Times New Roman" w:cs="Times New Roman"/>
                <w:b w:val="false"/>
                <w:bCs w:val="false"/>
                <w:sz w:val="19"/>
                <w:szCs w:val="19"/>
              </w:rPr>
              <w:t xml:space="preserve"> Fast resolution; customer trust</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DMS-SME, DMS-RC, DMS-CERT</w:t>
            </w:r>
          </w:p>
        </w:tc>
      </w:tr>
    </w:tbl>
    <w:p>
      <w:pPr>
        <w:pStyle w:val="Normal"/>
        <w:spacing w:before="0" w:after="160"/>
        <w:rPr/>
      </w:pPr>
      <w:r>
        <w:rPr/>
      </w:r>
    </w:p>
    <w:p>
      <w:pPr>
        <w:pStyle w:val="Heading3"/>
        <w:rPr/>
      </w:pPr>
      <w:bookmarkStart w:id="99" w:name="__RefHeading___Toc5933_4193276671"/>
      <w:bookmarkStart w:id="100" w:name="_Toc100049"/>
      <w:bookmarkEnd w:id="99"/>
      <w:r>
        <w:rPr/>
        <w:t>ADD-08 — Low-Code Process Builder</w:t>
      </w:r>
      <w:bookmarkEnd w:id="100"/>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ADD-08</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Low-Code Process Builder</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Drag-and-drop workflow design; citizen developer enablement; sandbox testing; version governance</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Process-innovation-hungry; IT-constrained. </w:t>
            </w:r>
            <w:r>
              <w:rPr>
                <w:rFonts w:eastAsia="Times New Roman" w:cs="Times New Roman"/>
                <w:b/>
                <w:bCs/>
                <w:color w:val="3A3A3C"/>
                <w:sz w:val="19"/>
                <w:szCs w:val="19"/>
              </w:rPr>
              <w:t>Pain Points:</w:t>
            </w:r>
            <w:r>
              <w:rPr>
                <w:rFonts w:eastAsia="Times New Roman" w:cs="Times New Roman"/>
                <w:b w:val="false"/>
                <w:bCs w:val="false"/>
                <w:sz w:val="19"/>
                <w:szCs w:val="19"/>
              </w:rPr>
              <w:t xml:space="preserve"> IT backlog; slow change. </w:t>
            </w:r>
            <w:r>
              <w:rPr>
                <w:rFonts w:eastAsia="Times New Roman" w:cs="Times New Roman"/>
                <w:b/>
                <w:bCs/>
                <w:color w:val="3A3A3C"/>
                <w:sz w:val="19"/>
                <w:szCs w:val="19"/>
              </w:rPr>
              <w:t>Hopes:</w:t>
            </w:r>
            <w:r>
              <w:rPr>
                <w:rFonts w:eastAsia="Times New Roman" w:cs="Times New Roman"/>
                <w:b w:val="false"/>
                <w:bCs w:val="false"/>
                <w:sz w:val="19"/>
                <w:szCs w:val="19"/>
              </w:rPr>
              <w:t xml:space="preserve"> Rapid digitization; business autonomy</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DMS-CERT</w:t>
            </w:r>
          </w:p>
        </w:tc>
      </w:tr>
    </w:tbl>
    <w:p>
      <w:pPr>
        <w:pStyle w:val="Normal"/>
        <w:spacing w:before="0" w:after="160"/>
        <w:rPr/>
      </w:pPr>
      <w:r>
        <w:rPr/>
      </w:r>
    </w:p>
    <w:p>
      <w:pPr>
        <w:pStyle w:val="Heading3"/>
        <w:rPr/>
      </w:pPr>
      <w:bookmarkStart w:id="101" w:name="__RefHeading___Toc5935_4193276671"/>
      <w:bookmarkStart w:id="102" w:name="_Toc100050"/>
      <w:bookmarkEnd w:id="101"/>
      <w:r>
        <w:rPr/>
        <w:t>ADD-09 — Marketplace Access</w:t>
      </w:r>
      <w:bookmarkEnd w:id="102"/>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ADD-09</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Marketplace Access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Access to templates, connectors, industry packs; third-party contributions; ratings/reviews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Ecosystem-oriented; accelerator-seeking. </w:t>
            </w:r>
            <w:r>
              <w:rPr>
                <w:rFonts w:eastAsia="Times New Roman" w:cs="Times New Roman"/>
                <w:b/>
                <w:bCs/>
                <w:color w:val="3A3A3C"/>
                <w:sz w:val="19"/>
                <w:szCs w:val="19"/>
              </w:rPr>
              <w:t>Pain Points:</w:t>
            </w:r>
            <w:r>
              <w:rPr>
                <w:rFonts w:eastAsia="Times New Roman" w:cs="Times New Roman"/>
                <w:b w:val="false"/>
                <w:bCs w:val="false"/>
                <w:sz w:val="19"/>
                <w:szCs w:val="19"/>
              </w:rPr>
              <w:t xml:space="preserve"> Slow deployment; custom build cost. </w:t>
            </w:r>
            <w:r>
              <w:rPr>
                <w:rFonts w:eastAsia="Times New Roman" w:cs="Times New Roman"/>
                <w:b/>
                <w:bCs/>
                <w:color w:val="3A3A3C"/>
                <w:sz w:val="19"/>
                <w:szCs w:val="19"/>
              </w:rPr>
              <w:t>Hopes:</w:t>
            </w:r>
            <w:r>
              <w:rPr>
                <w:rFonts w:eastAsia="Times New Roman" w:cs="Times New Roman"/>
                <w:b w:val="false"/>
                <w:bCs w:val="false"/>
                <w:sz w:val="19"/>
                <w:szCs w:val="19"/>
              </w:rPr>
              <w:t xml:space="preserve"> Fast deployment; best practices reuse</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All</w:t>
            </w:r>
          </w:p>
        </w:tc>
      </w:tr>
    </w:tbl>
    <w:p>
      <w:pPr>
        <w:pStyle w:val="Normal"/>
        <w:spacing w:before="0" w:after="160"/>
        <w:rPr/>
      </w:pPr>
      <w:r>
        <w:rPr/>
      </w:r>
    </w:p>
    <w:p>
      <w:pPr>
        <w:pStyle w:val="Heading3"/>
        <w:rPr/>
      </w:pPr>
      <w:bookmarkStart w:id="103" w:name="__RefHeading___Toc5937_4193276671"/>
      <w:bookmarkStart w:id="104" w:name="_Toc100051"/>
      <w:bookmarkEnd w:id="103"/>
      <w:r>
        <w:rPr/>
        <w:t>ADD-10 — Digital Twin Simulation</w:t>
      </w:r>
      <w:bookmarkEnd w:id="104"/>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ADD-10</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Digital Twin Simulation</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Digital twin of processes; scenario simulation; outcome prediction; optimization recommendations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Innovation-focused; data-rich. </w:t>
            </w:r>
            <w:r>
              <w:rPr>
                <w:rFonts w:eastAsia="Times New Roman" w:cs="Times New Roman"/>
                <w:b/>
                <w:bCs/>
                <w:color w:val="3A3A3C"/>
                <w:sz w:val="19"/>
                <w:szCs w:val="19"/>
              </w:rPr>
              <w:t>Pain Points:</w:t>
            </w:r>
            <w:r>
              <w:rPr>
                <w:rFonts w:eastAsia="Times New Roman" w:cs="Times New Roman"/>
                <w:b w:val="false"/>
                <w:bCs w:val="false"/>
                <w:sz w:val="19"/>
                <w:szCs w:val="19"/>
              </w:rPr>
              <w:t xml:space="preserve"> Costly experiments; uncertain outcomes. </w:t>
            </w:r>
            <w:r>
              <w:rPr>
                <w:rFonts w:eastAsia="Times New Roman" w:cs="Times New Roman"/>
                <w:b/>
                <w:bCs/>
                <w:color w:val="3A3A3C"/>
                <w:sz w:val="19"/>
                <w:szCs w:val="19"/>
              </w:rPr>
              <w:t>Hopes:</w:t>
            </w:r>
            <w:r>
              <w:rPr>
                <w:rFonts w:eastAsia="Times New Roman" w:cs="Times New Roman"/>
                <w:b w:val="false"/>
                <w:bCs w:val="false"/>
                <w:sz w:val="19"/>
                <w:szCs w:val="19"/>
              </w:rPr>
              <w:t xml:space="preserve"> Virtual experimentation; confident decisions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 DMS-PROC, DMS-ENT, DMS-AI</w:t>
            </w:r>
          </w:p>
        </w:tc>
      </w:tr>
    </w:tbl>
    <w:p>
      <w:pPr>
        <w:pStyle w:val="Normal"/>
        <w:spacing w:before="0" w:after="160"/>
        <w:rPr/>
      </w:pPr>
      <w:r>
        <w:rPr/>
      </w:r>
    </w:p>
    <w:p>
      <w:pPr>
        <w:pStyle w:val="Heading3"/>
        <w:rPr/>
      </w:pPr>
      <w:bookmarkStart w:id="105" w:name="__RefHeading___Toc5939_4193276671"/>
      <w:bookmarkStart w:id="106" w:name="_Toc100052"/>
      <w:bookmarkEnd w:id="105"/>
      <w:r>
        <w:rPr/>
        <w:t>ADD-11 — Voice of Customer Analytics</w:t>
      </w:r>
      <w:bookmarkEnd w:id="106"/>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ADD-11</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Voice of Customer Analytics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Aggregate VoC from all sources; NLP theme identification; prioritization; impact measurement</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Customer-centric; data-driven. </w:t>
            </w:r>
            <w:r>
              <w:rPr>
                <w:rFonts w:eastAsia="Times New Roman" w:cs="Times New Roman"/>
                <w:b/>
                <w:bCs/>
                <w:color w:val="3A3A3C"/>
                <w:sz w:val="19"/>
                <w:szCs w:val="19"/>
              </w:rPr>
              <w:t>Pain Points:</w:t>
            </w:r>
            <w:r>
              <w:rPr>
                <w:rFonts w:eastAsia="Times New Roman" w:cs="Times New Roman"/>
                <w:b w:val="false"/>
                <w:bCs w:val="false"/>
                <w:sz w:val="19"/>
                <w:szCs w:val="19"/>
              </w:rPr>
              <w:t xml:space="preserve"> VoC noise; unclear priorities. </w:t>
            </w:r>
            <w:r>
              <w:rPr>
                <w:rFonts w:eastAsia="Times New Roman" w:cs="Times New Roman"/>
                <w:b/>
                <w:bCs/>
                <w:color w:val="3A3A3C"/>
                <w:sz w:val="19"/>
                <w:szCs w:val="19"/>
              </w:rPr>
              <w:t>Hopes:</w:t>
            </w:r>
            <w:r>
              <w:rPr>
                <w:rFonts w:eastAsia="Times New Roman" w:cs="Times New Roman"/>
                <w:b w:val="false"/>
                <w:bCs w:val="false"/>
                <w:sz w:val="19"/>
                <w:szCs w:val="19"/>
              </w:rPr>
              <w:t xml:space="preserve"> Systematic VoC; improvement prioritization</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DMS-ENT, DMS-ESG, DMS-RC</w:t>
            </w:r>
          </w:p>
        </w:tc>
      </w:tr>
    </w:tbl>
    <w:p>
      <w:pPr>
        <w:pStyle w:val="Normal"/>
        <w:spacing w:before="0" w:after="160"/>
        <w:rPr/>
      </w:pPr>
      <w:r>
        <w:rPr/>
      </w:r>
    </w:p>
    <w:p>
      <w:pPr>
        <w:pStyle w:val="Heading3"/>
        <w:rPr/>
      </w:pPr>
      <w:bookmarkStart w:id="107" w:name="__RefHeading___Toc5941_4193276671"/>
      <w:bookmarkStart w:id="108" w:name="_Toc100053"/>
      <w:bookmarkEnd w:id="107"/>
      <w:r>
        <w:rPr/>
        <w:t>ADD-12 — IoT Sensor Integration</w:t>
      </w:r>
      <w:bookmarkEnd w:id="108"/>
    </w:p>
    <w:tbl>
      <w:tblPr>
        <w:tblW w:w="9746" w:type="dxa"/>
        <w:jc w:val="left"/>
        <w:tblInd w:w="0" w:type="dxa"/>
        <w:tblLayout w:type="fixed"/>
        <w:tblCellMar>
          <w:top w:w="55" w:type="dxa"/>
          <w:left w:w="100" w:type="dxa"/>
          <w:bottom w:w="55" w:type="dxa"/>
          <w:right w:w="100" w:type="dxa"/>
        </w:tblCellMar>
      </w:tblPr>
      <w:tblGrid>
        <w:gridCol w:w="2044"/>
        <w:gridCol w:w="7701"/>
      </w:tblGrid>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ID</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ADD-12</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Name</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IoT Sensor Integration</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Goals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Real-time sensor ingestion; threshold/anomaly detection; auto-triggered workflows; predictive quality models</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Value Proposition</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bCs/>
                <w:color w:val="3A3A3C"/>
                <w:sz w:val="19"/>
                <w:szCs w:val="19"/>
              </w:rPr>
              <w:t>Behavior:</w:t>
            </w:r>
            <w:r>
              <w:rPr>
                <w:rFonts w:eastAsia="Times New Roman" w:cs="Times New Roman"/>
                <w:b w:val="false"/>
                <w:bCs w:val="false"/>
                <w:sz w:val="19"/>
                <w:szCs w:val="19"/>
              </w:rPr>
              <w:t xml:space="preserve"> Industry 4.0; real-time visibility. </w:t>
            </w:r>
            <w:r>
              <w:rPr>
                <w:rFonts w:eastAsia="Times New Roman" w:cs="Times New Roman"/>
                <w:b/>
                <w:bCs/>
                <w:color w:val="3A3A3C"/>
                <w:sz w:val="19"/>
                <w:szCs w:val="19"/>
              </w:rPr>
              <w:t>Pain Points:</w:t>
            </w:r>
            <w:r>
              <w:rPr>
                <w:rFonts w:eastAsia="Times New Roman" w:cs="Times New Roman"/>
                <w:b w:val="false"/>
                <w:bCs w:val="false"/>
                <w:sz w:val="19"/>
                <w:szCs w:val="19"/>
              </w:rPr>
              <w:t xml:space="preserve"> Delayed detection; manual monitoring. </w:t>
            </w:r>
            <w:r>
              <w:rPr>
                <w:rFonts w:eastAsia="Times New Roman" w:cs="Times New Roman"/>
                <w:b/>
                <w:bCs/>
                <w:color w:val="3A3A3C"/>
                <w:sz w:val="19"/>
                <w:szCs w:val="19"/>
              </w:rPr>
              <w:t>Hopes:</w:t>
            </w:r>
            <w:r>
              <w:rPr>
                <w:rFonts w:eastAsia="Times New Roman" w:cs="Times New Roman"/>
                <w:b w:val="false"/>
                <w:bCs w:val="false"/>
                <w:sz w:val="19"/>
                <w:szCs w:val="19"/>
              </w:rPr>
              <w:t xml:space="preserve"> Real-time quality; predictive safety</w:t>
            </w:r>
          </w:p>
        </w:tc>
      </w:tr>
      <w:tr>
        <w:trPr>
          <w:cantSplit w:val="true"/>
        </w:trPr>
        <w:tc>
          <w:tcPr>
            <w:tcW w:w="2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Related Packs</w:t>
            </w:r>
          </w:p>
        </w:tc>
        <w:tc>
          <w:tcPr>
            <w:tcW w:w="7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 DMS-PROC, DMS-FOOD, DMS-ENT</w:t>
            </w:r>
          </w:p>
        </w:tc>
      </w:tr>
    </w:tbl>
    <w:p>
      <w:pPr>
        <w:pStyle w:val="Normal"/>
        <w:spacing w:before="0" w:after="160"/>
        <w:rPr/>
      </w:pPr>
      <w:r>
        <w:rPr/>
      </w:r>
      <w:r>
        <w:br w:type="page"/>
      </w:r>
    </w:p>
    <w:p>
      <w:pPr>
        <w:pStyle w:val="Heading1"/>
        <w:rPr/>
      </w:pPr>
      <w:bookmarkStart w:id="109" w:name="__RefHeading___Toc5943_4193276671"/>
      <w:bookmarkStart w:id="110" w:name="_Toc100054"/>
      <w:bookmarkEnd w:id="109"/>
      <w:r>
        <w:rPr/>
        <w:t>Part 5 — Deployment Modes &amp; Pricing Matrix</w:t>
      </w:r>
      <w:bookmarkEnd w:id="110"/>
    </w:p>
    <w:p>
      <w:pPr>
        <w:pStyle w:val="Heading2"/>
        <w:rPr/>
      </w:pPr>
      <w:bookmarkStart w:id="111" w:name="__RefHeading___Toc5945_4193276671"/>
      <w:bookmarkStart w:id="112" w:name="_Toc100055"/>
      <w:bookmarkEnd w:id="111"/>
      <w:r>
        <w:rPr/>
        <w:t>5.1 The Seven Deployment Modes</w:t>
      </w:r>
      <w:bookmarkEnd w:id="112"/>
    </w:p>
    <w:tbl>
      <w:tblPr>
        <w:tblW w:w="9746" w:type="dxa"/>
        <w:jc w:val="left"/>
        <w:tblInd w:w="0" w:type="dxa"/>
        <w:tblLayout w:type="fixed"/>
        <w:tblCellMar>
          <w:top w:w="55" w:type="dxa"/>
          <w:left w:w="80" w:type="dxa"/>
          <w:bottom w:w="55" w:type="dxa"/>
          <w:right w:w="80" w:type="dxa"/>
        </w:tblCellMar>
      </w:tblPr>
      <w:tblGrid>
        <w:gridCol w:w="1584"/>
        <w:gridCol w:w="601"/>
        <w:gridCol w:w="1897"/>
        <w:gridCol w:w="1932"/>
        <w:gridCol w:w="1836"/>
        <w:gridCol w:w="1895"/>
      </w:tblGrid>
      <w:tr>
        <w:trPr>
          <w:tblHeader w:val="true"/>
          <w:cantSplit w:val="true"/>
        </w:trPr>
        <w:tc>
          <w:tcPr>
            <w:tcW w:w="158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Mode</w:t>
            </w:r>
          </w:p>
        </w:tc>
        <w:tc>
          <w:tcPr>
            <w:tcW w:w="60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Code</w:t>
            </w:r>
          </w:p>
        </w:tc>
        <w:tc>
          <w:tcPr>
            <w:tcW w:w="189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Description</w:t>
            </w:r>
          </w:p>
        </w:tc>
        <w:tc>
          <w:tcPr>
            <w:tcW w:w="193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Isolation</w:t>
            </w:r>
          </w:p>
        </w:tc>
        <w:tc>
          <w:tcPr>
            <w:tcW w:w="183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Data Residency</w:t>
            </w:r>
          </w:p>
        </w:tc>
        <w:tc>
          <w:tcPr>
            <w:tcW w:w="189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Typical Customer</w:t>
            </w:r>
          </w:p>
        </w:tc>
      </w:tr>
      <w:tr>
        <w:trPr>
          <w:cantSplit w:val="true"/>
        </w:trPr>
        <w:tc>
          <w:tcPr>
            <w:tcW w:w="15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SaaS Multi-Tenant Shared</w:t>
            </w:r>
          </w:p>
        </w:tc>
        <w:tc>
          <w:tcPr>
            <w:tcW w:w="6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DEP-1</w:t>
            </w:r>
          </w:p>
        </w:tc>
        <w:tc>
          <w:tcPr>
            <w:tcW w:w="18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Shared infrastructure, logical isolation</w:t>
            </w:r>
          </w:p>
        </w:tc>
        <w:tc>
          <w:tcPr>
            <w:tcW w:w="1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Logical</w:t>
            </w:r>
          </w:p>
        </w:tc>
        <w:tc>
          <w:tcPr>
            <w:tcW w:w="18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Vendor-controlled</w:t>
            </w:r>
          </w:p>
        </w:tc>
        <w:tc>
          <w:tcPr>
            <w:tcW w:w="18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SMEs, mid-market</w:t>
            </w:r>
          </w:p>
        </w:tc>
      </w:tr>
      <w:tr>
        <w:trPr>
          <w:cantSplit w:val="true"/>
        </w:trPr>
        <w:tc>
          <w:tcPr>
            <w:tcW w:w="15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Public Cloud Multi-Tenant Sub.</w:t>
            </w:r>
          </w:p>
        </w:tc>
        <w:tc>
          <w:tcPr>
            <w:tcW w:w="6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DEP-2</w:t>
            </w:r>
          </w:p>
        </w:tc>
        <w:tc>
          <w:tcPr>
            <w:tcW w:w="18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Dedicated instance, multi-tenant logic</w:t>
            </w:r>
          </w:p>
        </w:tc>
        <w:tc>
          <w:tcPr>
            <w:tcW w:w="1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Logical + instance</w:t>
            </w:r>
          </w:p>
        </w:tc>
        <w:tc>
          <w:tcPr>
            <w:tcW w:w="18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Vendor-controlled</w:t>
            </w:r>
          </w:p>
        </w:tc>
        <w:tc>
          <w:tcPr>
            <w:tcW w:w="18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Mid-market, multi-site</w:t>
            </w:r>
          </w:p>
        </w:tc>
      </w:tr>
      <w:tr>
        <w:trPr>
          <w:cantSplit w:val="true"/>
        </w:trPr>
        <w:tc>
          <w:tcPr>
            <w:tcW w:w="15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Public Cloud Single-Tenant Sub.</w:t>
            </w:r>
          </w:p>
        </w:tc>
        <w:tc>
          <w:tcPr>
            <w:tcW w:w="6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DEP-3</w:t>
            </w:r>
          </w:p>
        </w:tc>
        <w:tc>
          <w:tcPr>
            <w:tcW w:w="18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Dedicated infrastructure, single customer</w:t>
            </w:r>
          </w:p>
        </w:tc>
        <w:tc>
          <w:tcPr>
            <w:tcW w:w="1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Physical + logical</w:t>
            </w:r>
          </w:p>
        </w:tc>
        <w:tc>
          <w:tcPr>
            <w:tcW w:w="18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Vendor-controlled region</w:t>
            </w:r>
          </w:p>
        </w:tc>
        <w:tc>
          <w:tcPr>
            <w:tcW w:w="18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Enterprise, regulated</w:t>
            </w:r>
          </w:p>
        </w:tc>
      </w:tr>
      <w:tr>
        <w:trPr>
          <w:cantSplit w:val="true"/>
        </w:trPr>
        <w:tc>
          <w:tcPr>
            <w:tcW w:w="15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Customer Private Cloud</w:t>
            </w:r>
          </w:p>
        </w:tc>
        <w:tc>
          <w:tcPr>
            <w:tcW w:w="6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DEP-4</w:t>
            </w:r>
          </w:p>
        </w:tc>
        <w:tc>
          <w:tcPr>
            <w:tcW w:w="18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Customer's AWS/Azure/GCP tenancy</w:t>
            </w:r>
          </w:p>
        </w:tc>
        <w:tc>
          <w:tcPr>
            <w:tcW w:w="1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Physical + customer-controlled</w:t>
            </w:r>
          </w:p>
        </w:tc>
        <w:tc>
          <w:tcPr>
            <w:tcW w:w="18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Customer-controlled</w:t>
            </w:r>
          </w:p>
        </w:tc>
        <w:tc>
          <w:tcPr>
            <w:tcW w:w="18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Large enterprise</w:t>
            </w:r>
          </w:p>
        </w:tc>
      </w:tr>
      <w:tr>
        <w:trPr>
          <w:cantSplit w:val="true"/>
        </w:trPr>
        <w:tc>
          <w:tcPr>
            <w:tcW w:w="15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Customer On-Prem (Data Center)</w:t>
            </w:r>
          </w:p>
        </w:tc>
        <w:tc>
          <w:tcPr>
            <w:tcW w:w="6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DEP-5</w:t>
            </w:r>
          </w:p>
        </w:tc>
        <w:tc>
          <w:tcPr>
            <w:tcW w:w="18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Customer's own data center</w:t>
            </w:r>
          </w:p>
        </w:tc>
        <w:tc>
          <w:tcPr>
            <w:tcW w:w="1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Full isolation</w:t>
            </w:r>
          </w:p>
        </w:tc>
        <w:tc>
          <w:tcPr>
            <w:tcW w:w="18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Fully customer-controlled</w:t>
            </w:r>
          </w:p>
        </w:tc>
        <w:tc>
          <w:tcPr>
            <w:tcW w:w="18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Regulated industries</w:t>
            </w:r>
          </w:p>
        </w:tc>
      </w:tr>
      <w:tr>
        <w:trPr>
          <w:cantSplit w:val="true"/>
        </w:trPr>
        <w:tc>
          <w:tcPr>
            <w:tcW w:w="15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Hybrid (Cloud + On-Prem)</w:t>
            </w:r>
          </w:p>
        </w:tc>
        <w:tc>
          <w:tcPr>
            <w:tcW w:w="6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DEP-6</w:t>
            </w:r>
          </w:p>
        </w:tc>
        <w:tc>
          <w:tcPr>
            <w:tcW w:w="18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Mix of cloud SaaS + on-prem edge</w:t>
            </w:r>
          </w:p>
        </w:tc>
        <w:tc>
          <w:tcPr>
            <w:tcW w:w="1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Mixed</w:t>
            </w:r>
          </w:p>
        </w:tc>
        <w:tc>
          <w:tcPr>
            <w:tcW w:w="18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Mixed</w:t>
            </w:r>
          </w:p>
        </w:tc>
        <w:tc>
          <w:tcPr>
            <w:tcW w:w="18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Distributed operations</w:t>
            </w:r>
          </w:p>
        </w:tc>
      </w:tr>
      <w:tr>
        <w:trPr>
          <w:cantSplit w:val="true"/>
        </w:trPr>
        <w:tc>
          <w:tcPr>
            <w:tcW w:w="15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On-Prem — Air-Gapped</w:t>
            </w:r>
          </w:p>
        </w:tc>
        <w:tc>
          <w:tcPr>
            <w:tcW w:w="6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DEP-7</w:t>
            </w:r>
          </w:p>
        </w:tc>
        <w:tc>
          <w:tcPr>
            <w:tcW w:w="18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Fully isolated, no internet</w:t>
            </w:r>
          </w:p>
        </w:tc>
        <w:tc>
          <w:tcPr>
            <w:tcW w:w="1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Physical + network</w:t>
            </w:r>
          </w:p>
        </w:tc>
        <w:tc>
          <w:tcPr>
            <w:tcW w:w="18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Fully customer-controlled</w:t>
            </w:r>
          </w:p>
        </w:tc>
        <w:tc>
          <w:tcPr>
            <w:tcW w:w="18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Defense, government, critical infrastructure</w:t>
            </w:r>
          </w:p>
        </w:tc>
      </w:tr>
    </w:tbl>
    <w:p>
      <w:pPr>
        <w:pStyle w:val="Normal"/>
        <w:spacing w:before="0" w:after="160"/>
        <w:rPr/>
      </w:pPr>
      <w:r>
        <w:rPr/>
      </w:r>
    </w:p>
    <w:p>
      <w:pPr>
        <w:pStyle w:val="Heading2"/>
        <w:rPr/>
      </w:pPr>
      <w:bookmarkStart w:id="113" w:name="__RefHeading___Toc5947_4193276671"/>
      <w:bookmarkStart w:id="114" w:name="_Toc100056"/>
      <w:bookmarkEnd w:id="113"/>
      <w:r>
        <w:rPr/>
        <w:t>5.2 Pricing Multipliers per Mode</w:t>
      </w:r>
      <w:bookmarkEnd w:id="114"/>
    </w:p>
    <w:tbl>
      <w:tblPr>
        <w:tblW w:w="9746" w:type="dxa"/>
        <w:jc w:val="left"/>
        <w:tblInd w:w="0" w:type="dxa"/>
        <w:tblLayout w:type="fixed"/>
        <w:tblCellMar>
          <w:top w:w="55" w:type="dxa"/>
          <w:left w:w="100" w:type="dxa"/>
          <w:bottom w:w="55" w:type="dxa"/>
          <w:right w:w="100" w:type="dxa"/>
        </w:tblCellMar>
      </w:tblPr>
      <w:tblGrid>
        <w:gridCol w:w="3368"/>
        <w:gridCol w:w="747"/>
        <w:gridCol w:w="1253"/>
        <w:gridCol w:w="4377"/>
      </w:tblGrid>
      <w:tr>
        <w:trPr>
          <w:tblHeader w:val="true"/>
          <w:cantSplit w:val="true"/>
        </w:trPr>
        <w:tc>
          <w:tcPr>
            <w:tcW w:w="336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Mode</w:t>
            </w:r>
          </w:p>
        </w:tc>
        <w:tc>
          <w:tcPr>
            <w:tcW w:w="74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Code</w:t>
            </w:r>
          </w:p>
        </w:tc>
        <w:tc>
          <w:tcPr>
            <w:tcW w:w="125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Multiplier</w:t>
            </w:r>
          </w:p>
        </w:tc>
        <w:tc>
          <w:tcPr>
            <w:tcW w:w="437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Rationale</w:t>
            </w:r>
          </w:p>
        </w:tc>
      </w:tr>
      <w:tr>
        <w:trPr>
          <w:cantSplit w:val="true"/>
        </w:trPr>
        <w:tc>
          <w:tcPr>
            <w:tcW w:w="33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SaaS Multi-Tenant Shared</w:t>
            </w:r>
          </w:p>
        </w:tc>
        <w:tc>
          <w:tcPr>
            <w:tcW w:w="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DEP-1</w:t>
            </w:r>
          </w:p>
        </w:tc>
        <w:tc>
          <w:tcPr>
            <w:tcW w:w="12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1.0x</w:t>
            </w:r>
          </w:p>
        </w:tc>
        <w:tc>
          <w:tcPr>
            <w:tcW w:w="4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Lowest cost of delivery</w:t>
            </w:r>
          </w:p>
        </w:tc>
      </w:tr>
      <w:tr>
        <w:trPr>
          <w:cantSplit w:val="true"/>
        </w:trPr>
        <w:tc>
          <w:tcPr>
            <w:tcW w:w="33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Public Cloud Multi-Tenant Sub.</w:t>
            </w:r>
          </w:p>
        </w:tc>
        <w:tc>
          <w:tcPr>
            <w:tcW w:w="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DEP-2</w:t>
            </w:r>
          </w:p>
        </w:tc>
        <w:tc>
          <w:tcPr>
            <w:tcW w:w="12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1.3x</w:t>
            </w:r>
          </w:p>
        </w:tc>
        <w:tc>
          <w:tcPr>
            <w:tcW w:w="4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Dedicated instance overhead</w:t>
            </w:r>
          </w:p>
        </w:tc>
      </w:tr>
      <w:tr>
        <w:trPr>
          <w:cantSplit w:val="true"/>
        </w:trPr>
        <w:tc>
          <w:tcPr>
            <w:tcW w:w="33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Public Cloud Single-Tenant Sub.</w:t>
            </w:r>
          </w:p>
        </w:tc>
        <w:tc>
          <w:tcPr>
            <w:tcW w:w="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DEP-3</w:t>
            </w:r>
          </w:p>
        </w:tc>
        <w:tc>
          <w:tcPr>
            <w:tcW w:w="12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1.5x</w:t>
            </w:r>
          </w:p>
        </w:tc>
        <w:tc>
          <w:tcPr>
            <w:tcW w:w="4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Full dedicated infrastructure</w:t>
            </w:r>
          </w:p>
        </w:tc>
      </w:tr>
      <w:tr>
        <w:trPr>
          <w:cantSplit w:val="true"/>
        </w:trPr>
        <w:tc>
          <w:tcPr>
            <w:tcW w:w="33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Customer Private Cloud</w:t>
            </w:r>
          </w:p>
        </w:tc>
        <w:tc>
          <w:tcPr>
            <w:tcW w:w="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DEP-4</w:t>
            </w:r>
          </w:p>
        </w:tc>
        <w:tc>
          <w:tcPr>
            <w:tcW w:w="12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2.0x</w:t>
            </w:r>
          </w:p>
        </w:tc>
        <w:tc>
          <w:tcPr>
            <w:tcW w:w="4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Customer tenancy, high support</w:t>
            </w:r>
          </w:p>
        </w:tc>
      </w:tr>
      <w:tr>
        <w:trPr>
          <w:cantSplit w:val="true"/>
        </w:trPr>
        <w:tc>
          <w:tcPr>
            <w:tcW w:w="33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Customer On-Prem (Data Center)</w:t>
            </w:r>
          </w:p>
        </w:tc>
        <w:tc>
          <w:tcPr>
            <w:tcW w:w="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DEP-5</w:t>
            </w:r>
          </w:p>
        </w:tc>
        <w:tc>
          <w:tcPr>
            <w:tcW w:w="12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2.5x</w:t>
            </w:r>
          </w:p>
        </w:tc>
        <w:tc>
          <w:tcPr>
            <w:tcW w:w="4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Hardware, deployment, support</w:t>
            </w:r>
          </w:p>
        </w:tc>
      </w:tr>
      <w:tr>
        <w:trPr>
          <w:cantSplit w:val="true"/>
        </w:trPr>
        <w:tc>
          <w:tcPr>
            <w:tcW w:w="33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Hybrid (Cloud + On-Prem)</w:t>
            </w:r>
          </w:p>
        </w:tc>
        <w:tc>
          <w:tcPr>
            <w:tcW w:w="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DEP-6</w:t>
            </w:r>
          </w:p>
        </w:tc>
        <w:tc>
          <w:tcPr>
            <w:tcW w:w="12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2.2x</w:t>
            </w:r>
          </w:p>
        </w:tc>
        <w:tc>
          <w:tcPr>
            <w:tcW w:w="4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Mixed infrastructure</w:t>
            </w:r>
          </w:p>
        </w:tc>
      </w:tr>
      <w:tr>
        <w:trPr>
          <w:cantSplit w:val="true"/>
        </w:trPr>
        <w:tc>
          <w:tcPr>
            <w:tcW w:w="33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On-Prem — Air-Gapped</w:t>
            </w:r>
          </w:p>
        </w:tc>
        <w:tc>
          <w:tcPr>
            <w:tcW w:w="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DEP-7</w:t>
            </w:r>
          </w:p>
        </w:tc>
        <w:tc>
          <w:tcPr>
            <w:tcW w:w="12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bCs/>
                <w:color w:val="3A3A3C"/>
                <w:sz w:val="19"/>
                <w:szCs w:val="19"/>
              </w:rPr>
              <w:t>4.0x</w:t>
            </w:r>
          </w:p>
        </w:tc>
        <w:tc>
          <w:tcPr>
            <w:tcW w:w="4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Full isolation, on-site support, upgrades</w:t>
            </w:r>
          </w:p>
        </w:tc>
      </w:tr>
    </w:tbl>
    <w:p>
      <w:pPr>
        <w:pStyle w:val="Normal"/>
        <w:spacing w:before="0" w:after="160"/>
        <w:rPr/>
      </w:pPr>
      <w:r>
        <w:rPr/>
      </w:r>
    </w:p>
    <w:p>
      <w:pPr>
        <w:pStyle w:val="Heading2"/>
        <w:rPr/>
      </w:pPr>
      <w:bookmarkStart w:id="115" w:name="__RefHeading___Toc5949_4193276671"/>
      <w:bookmarkStart w:id="116" w:name="_Toc100057"/>
      <w:bookmarkEnd w:id="115"/>
      <w:r>
        <w:rPr/>
        <w:t>5.3 Full Pricing Matrix per Pack per Mode (USD/month)</w:t>
      </w:r>
      <w:bookmarkEnd w:id="116"/>
    </w:p>
    <w:tbl>
      <w:tblPr>
        <w:tblW w:w="9746" w:type="dxa"/>
        <w:jc w:val="left"/>
        <w:tblInd w:w="0" w:type="dxa"/>
        <w:tblLayout w:type="fixed"/>
        <w:tblCellMar>
          <w:top w:w="55" w:type="dxa"/>
          <w:left w:w="80" w:type="dxa"/>
          <w:bottom w:w="55" w:type="dxa"/>
          <w:right w:w="80" w:type="dxa"/>
        </w:tblCellMar>
      </w:tblPr>
      <w:tblGrid>
        <w:gridCol w:w="2433"/>
        <w:gridCol w:w="1045"/>
        <w:gridCol w:w="1044"/>
        <w:gridCol w:w="1043"/>
        <w:gridCol w:w="1044"/>
        <w:gridCol w:w="1044"/>
        <w:gridCol w:w="1045"/>
        <w:gridCol w:w="1046"/>
      </w:tblGrid>
      <w:tr>
        <w:trPr>
          <w:tblHeader w:val="true"/>
          <w:cantSplit w:val="true"/>
        </w:trPr>
        <w:tc>
          <w:tcPr>
            <w:tcW w:w="243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Pack ID</w:t>
            </w:r>
          </w:p>
        </w:tc>
        <w:tc>
          <w:tcPr>
            <w:tcW w:w="10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DEP-1</w:t>
            </w:r>
          </w:p>
        </w:tc>
        <w:tc>
          <w:tcPr>
            <w:tcW w:w="104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DEP-2</w:t>
            </w:r>
          </w:p>
        </w:tc>
        <w:tc>
          <w:tcPr>
            <w:tcW w:w="104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DEP-3</w:t>
            </w:r>
          </w:p>
        </w:tc>
        <w:tc>
          <w:tcPr>
            <w:tcW w:w="104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DEP-4</w:t>
            </w:r>
          </w:p>
        </w:tc>
        <w:tc>
          <w:tcPr>
            <w:tcW w:w="104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DEP-5</w:t>
            </w:r>
          </w:p>
        </w:tc>
        <w:tc>
          <w:tcPr>
            <w:tcW w:w="10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DEP-6</w:t>
            </w:r>
          </w:p>
        </w:tc>
        <w:tc>
          <w:tcPr>
            <w:tcW w:w="104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7"/>
                <w:szCs w:val="17"/>
              </w:rPr>
              <w:t>DEP-7</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DMS-SME</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$40</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$52</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$60</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$80</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$100</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$88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$160</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DMS-PRO</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$519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$599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$798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$998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$878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$1,596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DMS-ENT</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$2,599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$2,999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$3,998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$4,998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$4,398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$7,996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DMS-AUTO</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$699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$909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$1,049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$1,398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$1,748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$1,538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$2,796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DMS-LSCI</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$1,299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$1,689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$1,949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$2,598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$3,248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$2,858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$5,196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DMS-FOOD</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$699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$909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$1,049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$1,398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$1,748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$1,538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$2,796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DMS-PROC</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$1,299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$1,689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$1,949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$2,598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$3,248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$2,858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$5,196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DMS-AERO</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$1,999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$2,599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$2,999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$3,998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$4,998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$4,398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$7,996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DMS-MARI</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$999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$1,299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$1,499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$2,498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$2,198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$3,996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DMS-CERT</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$519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$599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$798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$998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$878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$1,596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DMS-AI</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$799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$1,039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$1,199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$1,598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$1,998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$1,758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$3,196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DMS-ESG</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$599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$779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$899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$1,198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$1,498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$1,318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$2,396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ADD-01 Mobile</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$129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$149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$248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$218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ADD-02 Voice</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$149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$194</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$224</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$373</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$328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$596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ADD-03 AR</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$389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$449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$598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$748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$658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$1,196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ADD-04 eSign</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$79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$103</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$119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$158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$198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$174</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$316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ADD-05 Blockchain</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$519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$599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$798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$998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$878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$1,596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ADD-06 Supplier</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$259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$498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$438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$796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ADD-07 Customer</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$149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$194</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$224</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$373</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$328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$596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ADD-08 Low-Code</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$249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$324</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$374</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$498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$623</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$548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$996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ADD-09 Market</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$129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$149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$248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$218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ADD-10 Twin</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$499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$649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$749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$998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$1,248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$1,098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$1,996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ADD-11 VoC</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$199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$259</w:t>
            </w:r>
          </w:p>
        </w:tc>
        <w:tc>
          <w:tcPr>
            <w:tcW w:w="10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$299</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$398</w:t>
            </w:r>
          </w:p>
        </w:tc>
        <w:tc>
          <w:tcPr>
            <w:tcW w:w="10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$498</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$438</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7"/>
                <w:szCs w:val="17"/>
              </w:rPr>
              <w:t>$796</w:t>
            </w:r>
          </w:p>
        </w:tc>
      </w:tr>
      <w:tr>
        <w:trPr>
          <w:cantSplit w:val="true"/>
        </w:trPr>
        <w:tc>
          <w:tcPr>
            <w:tcW w:w="24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ADD-12 IoT</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$299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$389</w:t>
            </w:r>
          </w:p>
        </w:tc>
        <w:tc>
          <w:tcPr>
            <w:tcW w:w="10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$449</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$598</w:t>
            </w:r>
          </w:p>
        </w:tc>
        <w:tc>
          <w:tcPr>
            <w:tcW w:w="10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$748</w:t>
            </w:r>
          </w:p>
        </w:tc>
        <w:tc>
          <w:tcPr>
            <w:tcW w:w="10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$658</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7"/>
                <w:szCs w:val="17"/>
              </w:rPr>
              <w:t>$1,196</w:t>
            </w:r>
          </w:p>
        </w:tc>
      </w:tr>
    </w:tbl>
    <w:p>
      <w:pPr>
        <w:pStyle w:val="Normal"/>
        <w:spacing w:before="0" w:after="160"/>
        <w:rPr/>
      </w:pPr>
      <w:r>
        <w:rPr/>
      </w:r>
      <w:r>
        <w:br w:type="page"/>
      </w:r>
    </w:p>
    <w:p>
      <w:pPr>
        <w:pStyle w:val="Heading1"/>
        <w:rPr/>
      </w:pPr>
      <w:bookmarkStart w:id="117" w:name="__RefHeading___Toc5951_4193276671"/>
      <w:bookmarkStart w:id="118" w:name="_Toc100058"/>
      <w:bookmarkEnd w:id="117"/>
      <w:r>
        <w:rPr/>
        <w:t>Part 6 — Bundling Recommendations</w:t>
      </w:r>
      <w:bookmarkEnd w:id="118"/>
    </w:p>
    <w:p>
      <w:pPr>
        <w:pStyle w:val="Heading2"/>
        <w:rPr/>
      </w:pPr>
      <w:bookmarkStart w:id="119" w:name="__RefHeading___Toc5953_4193276671"/>
      <w:bookmarkStart w:id="120" w:name="_Toc100059"/>
      <w:bookmarkEnd w:id="119"/>
      <w:r>
        <w:rPr/>
        <w:t>6.1 Recommended Bundles per Segment</w:t>
      </w:r>
      <w:bookmarkEnd w:id="120"/>
    </w:p>
    <w:tbl>
      <w:tblPr>
        <w:tblW w:w="9746" w:type="dxa"/>
        <w:jc w:val="left"/>
        <w:tblInd w:w="0" w:type="dxa"/>
        <w:tblLayout w:type="fixed"/>
        <w:tblCellMar>
          <w:top w:w="55" w:type="dxa"/>
          <w:left w:w="100" w:type="dxa"/>
          <w:bottom w:w="55" w:type="dxa"/>
          <w:right w:w="100" w:type="dxa"/>
        </w:tblCellMar>
      </w:tblPr>
      <w:tblGrid>
        <w:gridCol w:w="1929"/>
        <w:gridCol w:w="5995"/>
        <w:gridCol w:w="1822"/>
      </w:tblGrid>
      <w:tr>
        <w:trPr>
          <w:tblHeader w:val="true"/>
          <w:cantSplit w:val="true"/>
        </w:trPr>
        <w:tc>
          <w:tcPr>
            <w:tcW w:w="192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Segment</w:t>
            </w:r>
          </w:p>
        </w:tc>
        <w:tc>
          <w:tcPr>
            <w:tcW w:w="599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Recommended Bundle</w:t>
            </w:r>
          </w:p>
        </w:tc>
        <w:tc>
          <w:tcPr>
            <w:tcW w:w="182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DEP-1 Monthly Price</w:t>
            </w:r>
          </w:p>
        </w:tc>
      </w:tr>
      <w:tr>
        <w:trPr>
          <w:cantSplit w:val="true"/>
        </w:trPr>
        <w:tc>
          <w:tcPr>
            <w:tcW w:w="19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SME</w:t>
            </w:r>
          </w:p>
        </w:tc>
        <w:tc>
          <w:tcPr>
            <w:tcW w:w="5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 + DMS-CERT + ADD-04</w:t>
            </w:r>
          </w:p>
        </w:tc>
        <w:tc>
          <w:tcPr>
            <w:tcW w:w="18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$518</w:t>
            </w:r>
          </w:p>
        </w:tc>
      </w:tr>
      <w:tr>
        <w:trPr>
          <w:cantSplit w:val="true"/>
        </w:trPr>
        <w:tc>
          <w:tcPr>
            <w:tcW w:w="19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Small Manufacturing</w:t>
            </w:r>
          </w:p>
        </w:tc>
        <w:tc>
          <w:tcPr>
            <w:tcW w:w="5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 DMS-AUTO + DMS-CERT + ADD-01</w:t>
            </w:r>
          </w:p>
        </w:tc>
        <w:tc>
          <w:tcPr>
            <w:tcW w:w="18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$1,596</w:t>
            </w:r>
          </w:p>
        </w:tc>
      </w:tr>
      <w:tr>
        <w:trPr>
          <w:cantSplit w:val="true"/>
        </w:trPr>
        <w:tc>
          <w:tcPr>
            <w:tcW w:w="19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Mid-Size Food</w:t>
            </w:r>
          </w:p>
        </w:tc>
        <w:tc>
          <w:tcPr>
            <w:tcW w:w="5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 DMS-FOOD + DMS-CERT + DMS-ESG + ADD-01 + ADD-06</w:t>
            </w:r>
          </w:p>
        </w:tc>
        <w:tc>
          <w:tcPr>
            <w:tcW w:w="18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$2,345</w:t>
            </w:r>
          </w:p>
        </w:tc>
      </w:tr>
      <w:tr>
        <w:trPr>
          <w:cantSplit w:val="true"/>
        </w:trPr>
        <w:tc>
          <w:tcPr>
            <w:tcW w:w="19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Large Automotive</w:t>
            </w:r>
          </w:p>
        </w:tc>
        <w:tc>
          <w:tcPr>
            <w:tcW w:w="5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DMS-ENT + DMS-AUTO + DMS-AI + DMS-CERT + ADD-01 + ADD-03 + ADD-06 + ADD-12</w:t>
            </w:r>
          </w:p>
        </w:tc>
        <w:tc>
          <w:tcPr>
            <w:tcW w:w="18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$5,094</w:t>
            </w:r>
          </w:p>
        </w:tc>
      </w:tr>
      <w:tr>
        <w:trPr>
          <w:cantSplit w:val="true"/>
        </w:trPr>
        <w:tc>
          <w:tcPr>
            <w:tcW w:w="19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Pharma</w:t>
            </w:r>
          </w:p>
        </w:tc>
        <w:tc>
          <w:tcPr>
            <w:tcW w:w="5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 DMS-LSCI + DMS-AI + DMS-ESG + ADD-04 + ADD-05 + ADD-07</w:t>
            </w:r>
          </w:p>
        </w:tc>
        <w:tc>
          <w:tcPr>
            <w:tcW w:w="18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$6,044</w:t>
            </w:r>
          </w:p>
        </w:tc>
      </w:tr>
      <w:tr>
        <w:trPr>
          <w:cantSplit w:val="true"/>
        </w:trPr>
        <w:tc>
          <w:tcPr>
            <w:tcW w:w="19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Oil &amp; Gas</w:t>
            </w:r>
          </w:p>
        </w:tc>
        <w:tc>
          <w:tcPr>
            <w:tcW w:w="5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DMS-ENT + DMS-PROC + DMS-AI + DMS-ESG + ADD-01 + ADD-10 + ADD-12</w:t>
            </w:r>
          </w:p>
        </w:tc>
        <w:tc>
          <w:tcPr>
            <w:tcW w:w="18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$7,094</w:t>
            </w:r>
          </w:p>
        </w:tc>
      </w:tr>
      <w:tr>
        <w:trPr>
          <w:cantSplit w:val="true"/>
        </w:trPr>
        <w:tc>
          <w:tcPr>
            <w:tcW w:w="19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Aerospace</w:t>
            </w:r>
          </w:p>
        </w:tc>
        <w:tc>
          <w:tcPr>
            <w:tcW w:w="5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 DMS-AERO + DMS-CERT + DMS-AI + ADD-05 + ADD-09</w:t>
            </w:r>
          </w:p>
        </w:tc>
        <w:tc>
          <w:tcPr>
            <w:tcW w:w="18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$6,395</w:t>
            </w:r>
          </w:p>
        </w:tc>
      </w:tr>
      <w:tr>
        <w:trPr>
          <w:cantSplit w:val="true"/>
        </w:trPr>
        <w:tc>
          <w:tcPr>
            <w:tcW w:w="19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Retail</w:t>
            </w:r>
          </w:p>
        </w:tc>
        <w:tc>
          <w:tcPr>
            <w:tcW w:w="5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 + DMS-ESG + DMS-CERT + ADD-07 + ADD-11</w:t>
            </w:r>
          </w:p>
        </w:tc>
        <w:tc>
          <w:tcPr>
            <w:tcW w:w="18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$2,396</w:t>
            </w:r>
          </w:p>
        </w:tc>
      </w:tr>
    </w:tbl>
    <w:p>
      <w:pPr>
        <w:pStyle w:val="Normal"/>
        <w:spacing w:before="0" w:after="160"/>
        <w:rPr/>
      </w:pPr>
      <w:r>
        <w:rPr/>
      </w:r>
    </w:p>
    <w:p>
      <w:pPr>
        <w:pStyle w:val="Heading2"/>
        <w:rPr/>
      </w:pPr>
      <w:bookmarkStart w:id="121" w:name="__RefHeading___Toc5955_4193276671"/>
      <w:bookmarkStart w:id="122" w:name="_Toc100060"/>
      <w:bookmarkEnd w:id="121"/>
      <w:r>
        <w:rPr/>
        <w:t>6.2 Bundle Discounts</w:t>
      </w:r>
      <w:bookmarkEnd w:id="122"/>
    </w:p>
    <w:tbl>
      <w:tblPr>
        <w:tblW w:w="9746" w:type="dxa"/>
        <w:jc w:val="left"/>
        <w:tblInd w:w="0" w:type="dxa"/>
        <w:tblLayout w:type="fixed"/>
        <w:tblCellMar>
          <w:top w:w="55" w:type="dxa"/>
          <w:left w:w="100" w:type="dxa"/>
          <w:bottom w:w="55" w:type="dxa"/>
          <w:right w:w="100" w:type="dxa"/>
        </w:tblCellMar>
      </w:tblPr>
      <w:tblGrid>
        <w:gridCol w:w="7100"/>
        <w:gridCol w:w="2645"/>
      </w:tblGrid>
      <w:tr>
        <w:trPr>
          <w:tblHeader w:val="true"/>
          <w:cantSplit w:val="true"/>
        </w:trPr>
        <w:tc>
          <w:tcPr>
            <w:tcW w:w="7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Bundle Type</w:t>
            </w:r>
          </w:p>
        </w:tc>
        <w:tc>
          <w:tcPr>
            <w:tcW w:w="26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Discount</w:t>
            </w:r>
          </w:p>
        </w:tc>
      </w:tr>
      <w:tr>
        <w:trPr>
          <w:cantSplit w:val="true"/>
        </w:trPr>
        <w:tc>
          <w:tcPr>
            <w:tcW w:w="7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Base Pack + 1 Industry Pack</w:t>
            </w:r>
          </w:p>
        </w:tc>
        <w:tc>
          <w:tcPr>
            <w:tcW w:w="26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 off total</w:t>
            </w:r>
          </w:p>
        </w:tc>
      </w:tr>
      <w:tr>
        <w:trPr>
          <w:cantSplit w:val="true"/>
        </w:trPr>
        <w:tc>
          <w:tcPr>
            <w:tcW w:w="7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Base Pack + 1 Industry + 1 Capability</w:t>
            </w:r>
          </w:p>
        </w:tc>
        <w:tc>
          <w:tcPr>
            <w:tcW w:w="26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10% off total</w:t>
            </w:r>
          </w:p>
        </w:tc>
      </w:tr>
      <w:tr>
        <w:trPr>
          <w:cantSplit w:val="true"/>
        </w:trPr>
        <w:tc>
          <w:tcPr>
            <w:tcW w:w="7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Base Pack + 1 Industry + 2 Capabilities</w:t>
            </w:r>
          </w:p>
        </w:tc>
        <w:tc>
          <w:tcPr>
            <w:tcW w:w="26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15% off total</w:t>
            </w:r>
          </w:p>
        </w:tc>
      </w:tr>
      <w:tr>
        <w:trPr>
          <w:cantSplit w:val="true"/>
        </w:trPr>
        <w:tc>
          <w:tcPr>
            <w:tcW w:w="7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Base Pack + 2 Industry + 2 Capabilities</w:t>
            </w:r>
          </w:p>
        </w:tc>
        <w:tc>
          <w:tcPr>
            <w:tcW w:w="26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20% off total</w:t>
            </w:r>
          </w:p>
        </w:tc>
      </w:tr>
      <w:tr>
        <w:trPr>
          <w:cantSplit w:val="true"/>
        </w:trPr>
        <w:tc>
          <w:tcPr>
            <w:tcW w:w="7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Enterprise Agreement (3-year)</w:t>
            </w:r>
          </w:p>
        </w:tc>
        <w:tc>
          <w:tcPr>
            <w:tcW w:w="26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25% off total</w:t>
            </w:r>
          </w:p>
        </w:tc>
      </w:tr>
    </w:tbl>
    <w:p>
      <w:pPr>
        <w:pStyle w:val="Normal"/>
        <w:spacing w:before="0" w:after="160"/>
        <w:rPr/>
      </w:pPr>
      <w:r>
        <w:rPr/>
      </w:r>
    </w:p>
    <w:p>
      <w:pPr>
        <w:pStyle w:val="Heading2"/>
        <w:rPr/>
      </w:pPr>
      <w:bookmarkStart w:id="123" w:name="__RefHeading___Toc5957_4193276671"/>
      <w:bookmarkStart w:id="124" w:name="_Toc100061"/>
      <w:bookmarkEnd w:id="123"/>
      <w:r>
        <w:rPr/>
        <w:t>6.3 Enterprise Agreement Structures</w:t>
      </w:r>
      <w:bookmarkEnd w:id="124"/>
    </w:p>
    <w:tbl>
      <w:tblPr>
        <w:tblW w:w="9746" w:type="dxa"/>
        <w:jc w:val="left"/>
        <w:tblInd w:w="0" w:type="dxa"/>
        <w:tblLayout w:type="fixed"/>
        <w:tblCellMar>
          <w:top w:w="55" w:type="dxa"/>
          <w:left w:w="100" w:type="dxa"/>
          <w:bottom w:w="55" w:type="dxa"/>
          <w:right w:w="100" w:type="dxa"/>
        </w:tblCellMar>
      </w:tblPr>
      <w:tblGrid>
        <w:gridCol w:w="1871"/>
        <w:gridCol w:w="1481"/>
        <w:gridCol w:w="1611"/>
        <w:gridCol w:w="2780"/>
        <w:gridCol w:w="2003"/>
      </w:tblGrid>
      <w:tr>
        <w:trPr>
          <w:tblHeader w:val="true"/>
          <w:cantSplit w:val="true"/>
        </w:trPr>
        <w:tc>
          <w:tcPr>
            <w:tcW w:w="187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Tier</w:t>
            </w:r>
          </w:p>
        </w:tc>
        <w:tc>
          <w:tcPr>
            <w:tcW w:w="148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Users</w:t>
            </w:r>
          </w:p>
        </w:tc>
        <w:tc>
          <w:tcPr>
            <w:tcW w:w="161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Commitment</w:t>
            </w:r>
          </w:p>
        </w:tc>
        <w:tc>
          <w:tcPr>
            <w:tcW w:w="278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Discount</w:t>
            </w:r>
          </w:p>
        </w:tc>
        <w:tc>
          <w:tcPr>
            <w:tcW w:w="200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SLA</w:t>
            </w:r>
          </w:p>
        </w:tc>
      </w:tr>
      <w:tr>
        <w:trPr>
          <w:cantSplit w:val="true"/>
        </w:trPr>
        <w:tc>
          <w:tcPr>
            <w:tcW w:w="18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Standard</w:t>
            </w:r>
          </w:p>
        </w:tc>
        <w:tc>
          <w:tcPr>
            <w:tcW w:w="14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Up to 100</w:t>
            </w:r>
          </w:p>
        </w:tc>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Annual</w:t>
            </w:r>
          </w:p>
        </w:tc>
        <w:tc>
          <w:tcPr>
            <w:tcW w:w="27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15%</w:t>
            </w:r>
          </w:p>
        </w:tc>
        <w:tc>
          <w:tcPr>
            <w:tcW w:w="2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99.5% uptime</w:t>
            </w:r>
          </w:p>
        </w:tc>
      </w:tr>
      <w:tr>
        <w:trPr>
          <w:cantSplit w:val="true"/>
        </w:trPr>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Professional</w:t>
            </w:r>
          </w:p>
        </w:tc>
        <w:tc>
          <w:tcPr>
            <w:tcW w:w="14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101–500</w:t>
            </w:r>
          </w:p>
        </w:tc>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Annual</w:t>
            </w:r>
          </w:p>
        </w:tc>
        <w:tc>
          <w:tcPr>
            <w:tcW w:w="27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20%</w:t>
            </w:r>
          </w:p>
        </w:tc>
        <w:tc>
          <w:tcPr>
            <w:tcW w:w="2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99.9% uptime</w:t>
            </w:r>
          </w:p>
        </w:tc>
      </w:tr>
      <w:tr>
        <w:trPr>
          <w:cantSplit w:val="true"/>
        </w:trPr>
        <w:tc>
          <w:tcPr>
            <w:tcW w:w="18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Enterprise</w:t>
            </w:r>
          </w:p>
        </w:tc>
        <w:tc>
          <w:tcPr>
            <w:tcW w:w="14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501–2,000</w:t>
            </w:r>
          </w:p>
        </w:tc>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3-year</w:t>
            </w:r>
          </w:p>
        </w:tc>
        <w:tc>
          <w:tcPr>
            <w:tcW w:w="27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25%</w:t>
            </w:r>
          </w:p>
        </w:tc>
        <w:tc>
          <w:tcPr>
            <w:tcW w:w="2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99.95% uptime</w:t>
            </w:r>
          </w:p>
        </w:tc>
      </w:tr>
      <w:tr>
        <w:trPr>
          <w:cantSplit w:val="true"/>
        </w:trPr>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Global</w:t>
            </w:r>
          </w:p>
        </w:tc>
        <w:tc>
          <w:tcPr>
            <w:tcW w:w="14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2,000+</w:t>
            </w:r>
          </w:p>
        </w:tc>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3-year</w:t>
            </w:r>
          </w:p>
        </w:tc>
        <w:tc>
          <w:tcPr>
            <w:tcW w:w="27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30% + dedicated CSM</w:t>
            </w:r>
          </w:p>
        </w:tc>
        <w:tc>
          <w:tcPr>
            <w:tcW w:w="2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99.99% uptime</w:t>
            </w:r>
          </w:p>
        </w:tc>
      </w:tr>
    </w:tbl>
    <w:p>
      <w:pPr>
        <w:pStyle w:val="Normal"/>
        <w:spacing w:before="0" w:after="160"/>
        <w:rPr/>
      </w:pPr>
      <w:r>
        <w:rPr/>
      </w:r>
      <w:r>
        <w:br w:type="page"/>
      </w:r>
    </w:p>
    <w:p>
      <w:pPr>
        <w:pStyle w:val="Heading1"/>
        <w:rPr/>
      </w:pPr>
      <w:bookmarkStart w:id="125" w:name="__RefHeading___Toc5959_4193276671"/>
      <w:bookmarkStart w:id="126" w:name="_Toc100062"/>
      <w:bookmarkEnd w:id="125"/>
      <w:r>
        <w:rPr/>
        <w:t>Part 7 — Customer Profile &amp; Value Fit</w:t>
      </w:r>
      <w:bookmarkEnd w:id="126"/>
    </w:p>
    <w:p>
      <w:pPr>
        <w:pStyle w:val="Heading2"/>
        <w:rPr/>
      </w:pPr>
      <w:bookmarkStart w:id="127" w:name="__RefHeading___Toc5961_4193276671"/>
      <w:bookmarkStart w:id="128" w:name="_Toc100063"/>
      <w:bookmarkEnd w:id="127"/>
      <w:r>
        <w:rPr/>
        <w:t>7.1 Customer Behavior, Pain Points &amp; Hopes per Segment Cluster</w:t>
      </w:r>
      <w:bookmarkEnd w:id="128"/>
    </w:p>
    <w:p>
      <w:pPr>
        <w:pStyle w:val="Heading3"/>
        <w:rPr/>
      </w:pPr>
      <w:bookmarkStart w:id="129" w:name="__RefHeading___Toc5963_4193276671"/>
      <w:bookmarkStart w:id="130" w:name="_Toc100064"/>
      <w:bookmarkEnd w:id="129"/>
      <w:r>
        <w:rPr/>
        <w:t>SME Cluster (V-30)</w:t>
      </w:r>
      <w:bookmarkEnd w:id="130"/>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Owner-operated; cost-conscious; multi-role employees; informal processes; growth-driven</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No QHSE staff; complex enterprise tools; manual compliance; fear of audits</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Fast certification; low cost; digital tribal knowledge; scale without breaking</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 at $40/mo with optional DMS-CERT and DMS-AI</w:t>
            </w:r>
          </w:p>
        </w:tc>
      </w:tr>
    </w:tbl>
    <w:p>
      <w:pPr>
        <w:pStyle w:val="Normal"/>
        <w:spacing w:before="0" w:after="160"/>
        <w:rPr/>
      </w:pPr>
      <w:r>
        <w:rPr/>
      </w:r>
    </w:p>
    <w:p>
      <w:pPr>
        <w:pStyle w:val="Heading3"/>
        <w:rPr/>
      </w:pPr>
      <w:bookmarkStart w:id="131" w:name="__RefHeading___Toc5965_4193276671"/>
      <w:bookmarkStart w:id="132" w:name="_Toc100065"/>
      <w:bookmarkEnd w:id="131"/>
      <w:r>
        <w:rPr/>
        <w:t>Professional Cluster (MFG, ELE, AEC, CON, RET, DST, LOG, RFA, TEL, SSE, PED, PUED)</w:t>
      </w:r>
      <w:bookmarkEnd w:id="132"/>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Process-driven; ISO-certified; multi-site; efficiency-focused</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Fragmented QHSE; disconnected standards; manual audits; high certification cost</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Unified IMS; real-time visibility; automated audit readiness</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at $399/mo + 1 Industry Pack + 1–2 Capability Packs</w:t>
            </w:r>
          </w:p>
        </w:tc>
      </w:tr>
    </w:tbl>
    <w:p>
      <w:pPr>
        <w:pStyle w:val="Normal"/>
        <w:spacing w:before="0" w:after="160"/>
        <w:rPr/>
      </w:pPr>
      <w:r>
        <w:rPr/>
      </w:r>
    </w:p>
    <w:p>
      <w:pPr>
        <w:pStyle w:val="Heading3"/>
        <w:rPr/>
      </w:pPr>
      <w:bookmarkStart w:id="133" w:name="__RefHeading___Toc5967_4193276671"/>
      <w:bookmarkStart w:id="134" w:name="_Toc100066"/>
      <w:bookmarkEnd w:id="133"/>
      <w:r>
        <w:rPr/>
        <w:t>Enterprise Regulated Cluster (AER, HLS, PHM, PHA, ENG, PCH, SHB, SEM, HCA)</w:t>
      </w:r>
      <w:bookmarkEnd w:id="134"/>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Highly regulated; multi-national; complex supply chains; audit-intensive</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Multiple certifications; regulatory scrutiny; enterprise system silos</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Single source of truth; predictive risk; regulatory foresight; full traceability</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at $1,999/mo + 1–2 Industry Packs + 2–3 Capability Packs</w:t>
            </w:r>
          </w:p>
        </w:tc>
      </w:tr>
    </w:tbl>
    <w:p>
      <w:pPr>
        <w:pStyle w:val="Normal"/>
        <w:spacing w:before="0" w:after="160"/>
        <w:rPr/>
      </w:pPr>
      <w:r>
        <w:rPr/>
      </w:r>
    </w:p>
    <w:p>
      <w:pPr>
        <w:pStyle w:val="Heading3"/>
        <w:rPr/>
      </w:pPr>
      <w:bookmarkStart w:id="135" w:name="__RefHeading___Toc5969_4193276671"/>
      <w:bookmarkStart w:id="136" w:name="_Toc100067"/>
      <w:bookmarkEnd w:id="135"/>
      <w:r>
        <w:rPr/>
        <w:t>Automotive Cluster (AUT, IND, SEM, FAB, MFG)</w:t>
      </w:r>
      <w:bookmarkEnd w:id="136"/>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Safety-critical; high-volume; IATF/ISO 26262-driven; PPM/OTD-obsessed</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Functional safety; ASPICE; supplier PPM; conflict minerals</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Zero defects; ASIL/SIL compliance; multi-tier visibility</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 DMS-AUTO + DMS-AI + ADD-03, ADD-06, ADD-12</w:t>
            </w:r>
          </w:p>
        </w:tc>
      </w:tr>
    </w:tbl>
    <w:p>
      <w:pPr>
        <w:pStyle w:val="Normal"/>
        <w:spacing w:before="0" w:after="160"/>
        <w:rPr/>
      </w:pPr>
      <w:r>
        <w:rPr/>
      </w:r>
    </w:p>
    <w:p>
      <w:pPr>
        <w:pStyle w:val="Heading3"/>
        <w:rPr/>
      </w:pPr>
      <w:bookmarkStart w:id="137" w:name="__RefHeading___Toc5971_4193276671"/>
      <w:bookmarkStart w:id="138" w:name="_Toc100068"/>
      <w:bookmarkEnd w:id="137"/>
      <w:r>
        <w:rPr/>
        <w:t>Life Sciences Cluster (HLS, PHM, PHA, HCA)</w:t>
      </w:r>
      <w:bookmarkEnd w:id="138"/>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FDA/MDR/JCI-driven; zero tolerance for patient risk; audit-intensive</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Data integrity; CSV; cleanroom; adverse events; OOS</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Always audit-ready; zero 483s; MDR compliance; patient safety</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 DMS-LSCI + DMS-AI + DMS-ESG + ADD-04, ADD-05</w:t>
            </w:r>
          </w:p>
        </w:tc>
      </w:tr>
    </w:tbl>
    <w:p>
      <w:pPr>
        <w:pStyle w:val="Normal"/>
        <w:spacing w:before="0" w:after="160"/>
        <w:rPr/>
      </w:pPr>
      <w:r>
        <w:rPr/>
      </w:r>
    </w:p>
    <w:p>
      <w:pPr>
        <w:pStyle w:val="Heading3"/>
        <w:rPr/>
      </w:pPr>
      <w:bookmarkStart w:id="139" w:name="__RefHeading___Toc5973_4193276671"/>
      <w:bookmarkStart w:id="140" w:name="_Toc100069"/>
      <w:bookmarkEnd w:id="139"/>
      <w:r>
        <w:rPr/>
        <w:t>Food &amp; CPG Cluster (FNB, CPG, PCI, PPG)</w:t>
      </w:r>
      <w:bookmarkEnd w:id="140"/>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HACCP/FSSC-driven; recall-sensitive; supply chain intensive</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Allergen; foreign body; supplier verification; FSMA/FSVP</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Zero recalls; full traceability; GFSI certification</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 + DMS-FOOD + DMS-ESG + ADD-01, ADD-06</w:t>
            </w:r>
          </w:p>
        </w:tc>
      </w:tr>
    </w:tbl>
    <w:p>
      <w:pPr>
        <w:pStyle w:val="Normal"/>
        <w:spacing w:before="0" w:after="160"/>
        <w:rPr/>
      </w:pPr>
      <w:r>
        <w:rPr/>
      </w:r>
    </w:p>
    <w:p>
      <w:pPr>
        <w:pStyle w:val="Heading3"/>
        <w:rPr/>
      </w:pPr>
      <w:bookmarkStart w:id="141" w:name="__RefHeading___Toc5975_4193276671"/>
      <w:bookmarkStart w:id="142" w:name="_Toc100070"/>
      <w:bookmarkEnd w:id="141"/>
      <w:r>
        <w:rPr/>
        <w:t>Process &amp; Energy Cluster (ENG, PCH, INF)</w:t>
      </w:r>
      <w:bookmarkEnd w:id="142"/>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OSHA PSM/NERC CIP-driven; asset-intensive; safety-critical</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PSM; mechanical integrity; NERC CIP; water efficiency</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Zero process safety incidents; asset reliability; ESG</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 DMS-PROC + DMS-AI + DMS-ESG + ADD-01, ADD-10, ADD-12</w:t>
            </w:r>
          </w:p>
        </w:tc>
      </w:tr>
    </w:tbl>
    <w:p>
      <w:pPr>
        <w:pStyle w:val="Normal"/>
        <w:spacing w:before="0" w:after="160"/>
        <w:rPr/>
      </w:pPr>
      <w:r>
        <w:rPr/>
      </w:r>
    </w:p>
    <w:p>
      <w:pPr>
        <w:pStyle w:val="Heading3"/>
        <w:rPr/>
      </w:pPr>
      <w:bookmarkStart w:id="143" w:name="__RefHeading___Toc5977_4193276671"/>
      <w:bookmarkStart w:id="144" w:name="_Toc100071"/>
      <w:bookmarkEnd w:id="143"/>
      <w:r>
        <w:rPr/>
        <w:t>Aerospace Cluster (AER)</w:t>
      </w:r>
      <w:bookmarkEnd w:id="144"/>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AS9100D/NADCAP-driven; ITAR-sensitive; national security</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ITAR/EAR; NADCAP audits; counterfeit parts; CMMC</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Zero non-conformances; ITAR compliance; certification dominance</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 DMS-AERO + DMS-AI + ADD-05, ADD-09</w:t>
            </w:r>
          </w:p>
        </w:tc>
      </w:tr>
    </w:tbl>
    <w:p>
      <w:pPr>
        <w:pStyle w:val="Normal"/>
        <w:spacing w:before="0" w:after="160"/>
        <w:rPr/>
      </w:pPr>
      <w:r>
        <w:rPr/>
      </w:r>
    </w:p>
    <w:p>
      <w:pPr>
        <w:pStyle w:val="Heading3"/>
        <w:rPr/>
      </w:pPr>
      <w:bookmarkStart w:id="145" w:name="__RefHeading___Toc5979_4193276671"/>
      <w:bookmarkStart w:id="146" w:name="_Toc100072"/>
      <w:bookmarkEnd w:id="145"/>
      <w:r>
        <w:rPr/>
        <w:t>Maritime Cluster (SHB)</w:t>
      </w:r>
      <w:bookmarkEnd w:id="146"/>
    </w:p>
    <w:tbl>
      <w:tblPr>
        <w:tblW w:w="9746" w:type="dxa"/>
        <w:jc w:val="left"/>
        <w:tblInd w:w="0" w:type="dxa"/>
        <w:tblLayout w:type="fixed"/>
        <w:tblCellMar>
          <w:top w:w="55" w:type="dxa"/>
          <w:left w:w="100" w:type="dxa"/>
          <w:bottom w:w="55" w:type="dxa"/>
          <w:right w:w="100" w:type="dxa"/>
        </w:tblCellMar>
      </w:tblPr>
      <w:tblGrid>
        <w:gridCol w:w="1600"/>
        <w:gridCol w:w="8145"/>
      </w:tblGrid>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Behavior</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SOLAS/MARPOL/IACS-driven; classification-society dependent</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Pain Points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IMO compliance; welding quality; marine pollution</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spacing w:lineRule="exact" w:line="240" w:before="0" w:after="0"/>
              <w:jc w:val="left"/>
              <w:rPr/>
            </w:pPr>
            <w:r>
              <w:rPr>
                <w:rFonts w:eastAsia="Times New Roman" w:cs="Times New Roman"/>
                <w:b/>
                <w:bCs/>
                <w:color w:val="3A3A3C"/>
                <w:sz w:val="19"/>
                <w:szCs w:val="19"/>
              </w:rPr>
              <w:t>Hopes</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lineRule="exact" w:line="240" w:before="0" w:after="0"/>
              <w:jc w:val="left"/>
              <w:rPr/>
            </w:pPr>
            <w:r>
              <w:rPr>
                <w:rFonts w:eastAsia="Times New Roman" w:cs="Times New Roman"/>
                <w:b w:val="false"/>
                <w:bCs w:val="false"/>
                <w:sz w:val="19"/>
                <w:szCs w:val="19"/>
              </w:rPr>
              <w:t>Zero detentions; IACS classification; on-time delivery</w:t>
            </w:r>
          </w:p>
        </w:tc>
      </w:tr>
      <w:tr>
        <w:trPr>
          <w:cantSplit w:val="true"/>
        </w:trPr>
        <w:tc>
          <w:tcPr>
            <w:tcW w:w="1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bCs/>
                <w:color w:val="3A3A3C"/>
                <w:sz w:val="19"/>
                <w:szCs w:val="19"/>
              </w:rPr>
              <w:t>Pack Fit</w:t>
            </w:r>
          </w:p>
        </w:tc>
        <w:tc>
          <w:tcPr>
            <w:tcW w:w="8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 + DMS-MARI + DMS-ESG + ADD-01</w:t>
            </w:r>
          </w:p>
        </w:tc>
      </w:tr>
    </w:tbl>
    <w:p>
      <w:pPr>
        <w:pStyle w:val="Normal"/>
        <w:spacing w:before="0" w:after="160"/>
        <w:rPr/>
      </w:pPr>
      <w:r>
        <w:rPr/>
      </w:r>
    </w:p>
    <w:p>
      <w:pPr>
        <w:pStyle w:val="Heading2"/>
        <w:rPr/>
      </w:pPr>
      <w:bookmarkStart w:id="147" w:name="__RefHeading___Toc5981_4193276671"/>
      <w:bookmarkStart w:id="148" w:name="_Toc100073"/>
      <w:bookmarkEnd w:id="147"/>
      <w:r>
        <w:rPr/>
        <w:t>7.2 Pack Fit Summary</w:t>
      </w:r>
      <w:bookmarkEnd w:id="148"/>
    </w:p>
    <w:tbl>
      <w:tblPr>
        <w:tblW w:w="9746" w:type="dxa"/>
        <w:jc w:val="left"/>
        <w:tblInd w:w="0" w:type="dxa"/>
        <w:tblLayout w:type="fixed"/>
        <w:tblCellMar>
          <w:top w:w="55" w:type="dxa"/>
          <w:left w:w="100" w:type="dxa"/>
          <w:bottom w:w="55" w:type="dxa"/>
          <w:right w:w="100" w:type="dxa"/>
        </w:tblCellMar>
      </w:tblPr>
      <w:tblGrid>
        <w:gridCol w:w="1163"/>
        <w:gridCol w:w="5518"/>
        <w:gridCol w:w="3065"/>
      </w:tblGrid>
      <w:tr>
        <w:trPr>
          <w:tblHeader w:val="true"/>
          <w:cantSplit w:val="true"/>
        </w:trPr>
        <w:tc>
          <w:tcPr>
            <w:tcW w:w="116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Pack</w:t>
            </w:r>
          </w:p>
        </w:tc>
        <w:tc>
          <w:tcPr>
            <w:tcW w:w="551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Best-Fit Customer Profile</w:t>
            </w:r>
          </w:p>
        </w:tc>
        <w:tc>
          <w:tcPr>
            <w:tcW w:w="306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Typical Deal Size (DEP-1)</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w:t>
            </w:r>
          </w:p>
        </w:tc>
        <w:tc>
          <w:tcPr>
            <w:tcW w:w="55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Owner-operated SMEs seeking first certification</w:t>
            </w:r>
          </w:p>
        </w:tc>
        <w:tc>
          <w:tcPr>
            <w:tcW w:w="3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$40–$200/mo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55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Multi-site, ISO-certified mid-market</w:t>
            </w:r>
          </w:p>
        </w:tc>
        <w:tc>
          <w:tcPr>
            <w:tcW w:w="3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$800–$2,500/mo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55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Regulated, multi-national enterprises</w:t>
            </w:r>
          </w:p>
        </w:tc>
        <w:tc>
          <w:tcPr>
            <w:tcW w:w="3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$3,500–$15,000/mo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55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Automotive, industrial, manufacturing</w:t>
            </w:r>
          </w:p>
        </w:tc>
        <w:tc>
          <w:tcPr>
            <w:tcW w:w="3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+$699/mo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w:t>
            </w:r>
          </w:p>
        </w:tc>
        <w:tc>
          <w:tcPr>
            <w:tcW w:w="55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Pharma, medical device, healthcare</w:t>
            </w:r>
          </w:p>
        </w:tc>
        <w:tc>
          <w:tcPr>
            <w:tcW w:w="3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+$1,299/mo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DMS-FOOD</w:t>
            </w:r>
          </w:p>
        </w:tc>
        <w:tc>
          <w:tcPr>
            <w:tcW w:w="55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Food, beverage, CPG</w:t>
            </w:r>
          </w:p>
        </w:tc>
        <w:tc>
          <w:tcPr>
            <w:tcW w:w="3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+$699/mo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DMS-PROC</w:t>
            </w:r>
          </w:p>
        </w:tc>
        <w:tc>
          <w:tcPr>
            <w:tcW w:w="55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Energy, petrochemical, infrastructure</w:t>
            </w:r>
          </w:p>
        </w:tc>
        <w:tc>
          <w:tcPr>
            <w:tcW w:w="3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+$1,299/mo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DMS-AERO</w:t>
            </w:r>
          </w:p>
        </w:tc>
        <w:tc>
          <w:tcPr>
            <w:tcW w:w="55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Aerospace, defense</w:t>
            </w:r>
          </w:p>
        </w:tc>
        <w:tc>
          <w:tcPr>
            <w:tcW w:w="3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+$1,999/mo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DMS-MARI</w:t>
            </w:r>
          </w:p>
        </w:tc>
        <w:tc>
          <w:tcPr>
            <w:tcW w:w="55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Shipbuilding, maritime</w:t>
            </w:r>
          </w:p>
        </w:tc>
        <w:tc>
          <w:tcPr>
            <w:tcW w:w="3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+$999/mo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w:t>
            </w:r>
          </w:p>
        </w:tc>
        <w:tc>
          <w:tcPr>
            <w:tcW w:w="55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Any segment seeking certification</w:t>
            </w:r>
          </w:p>
        </w:tc>
        <w:tc>
          <w:tcPr>
            <w:tcW w:w="3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+$399/mo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DMS-AI</w:t>
            </w:r>
          </w:p>
        </w:tc>
        <w:tc>
          <w:tcPr>
            <w:tcW w:w="55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Data-driven, innovation-focused</w:t>
            </w:r>
          </w:p>
        </w:tc>
        <w:tc>
          <w:tcPr>
            <w:tcW w:w="3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+$799/mo</w:t>
            </w:r>
          </w:p>
        </w:tc>
      </w:tr>
      <w:tr>
        <w:trPr>
          <w:cantSplit w:val="true"/>
        </w:trPr>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DMS-ESG</w:t>
            </w:r>
          </w:p>
        </w:tc>
        <w:tc>
          <w:tcPr>
            <w:tcW w:w="55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Investor/customer-driven ESG</w:t>
            </w:r>
          </w:p>
        </w:tc>
        <w:tc>
          <w:tcPr>
            <w:tcW w:w="3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+$599/mo</w:t>
            </w:r>
          </w:p>
        </w:tc>
      </w:tr>
    </w:tbl>
    <w:p>
      <w:pPr>
        <w:pStyle w:val="Normal"/>
        <w:spacing w:before="0" w:after="160"/>
        <w:rPr/>
      </w:pPr>
      <w:r>
        <w:rPr/>
      </w:r>
      <w:r>
        <w:br w:type="page"/>
      </w:r>
    </w:p>
    <w:p>
      <w:pPr>
        <w:pStyle w:val="Heading1"/>
        <w:rPr/>
      </w:pPr>
      <w:bookmarkStart w:id="149" w:name="__RefHeading___Toc5983_4193276671"/>
      <w:bookmarkEnd w:id="149"/>
      <w:r>
        <w:rPr/>
        <w:t>Part 8 — Entitlements as Implemented in DynamicMS 2026.10</w:t>
      </w:r>
    </w:p>
    <w:p>
      <w:pPr>
        <w:pStyle w:val="BodyTextPOWERACT"/>
        <w:rPr/>
      </w:pPr>
      <w:r>
        <w:rPr>
          <w:rFonts w:eastAsia="Times New Roman" w:cs="Times New Roman"/>
          <w:b w:val="false"/>
          <w:bCs w:val="false"/>
        </w:rPr>
        <w:t>This part records how release 2026.10 of DynamicMS applies the commercial architecture of Parts 1 to 7. The packs, prices, integrations, add-ons, deployment modes and bundles are implemented as published; the application adds the rules below.</w:t>
      </w:r>
    </w:p>
    <w:p>
      <w:pPr>
        <w:pStyle w:val="Heading2"/>
        <w:rPr/>
      </w:pPr>
      <w:bookmarkStart w:id="150" w:name="__RefHeading___Toc5985_4193276671"/>
      <w:bookmarkEnd w:id="150"/>
      <w:r>
        <w:rPr/>
        <w:t>8.1 Principles</w:t>
      </w:r>
    </w:p>
    <w:p>
      <w:pPr>
        <w:pStyle w:val="ListBodyPOWERACT"/>
        <w:numPr>
          <w:ilvl w:val="0"/>
          <w:numId w:val="1"/>
        </w:numPr>
        <w:rPr/>
      </w:pPr>
      <w:r>
        <w:rPr>
          <w:rFonts w:eastAsia="Times New Roman" w:cs="Times New Roman"/>
          <w:b/>
          <w:bCs/>
          <w:color w:val="3A3A3C"/>
        </w:rPr>
        <w:t>Licence content.</w:t>
      </w:r>
      <w:r>
        <w:rPr>
          <w:rFonts w:eastAsia="Times New Roman" w:cs="Times New Roman"/>
          <w:color w:val="3A3A3C"/>
        </w:rPr>
        <w:t xml:space="preserve"> An organization holds one base pack, any industry and capability packs, add-ons and Compliance &amp; Security Standards, and one deployment mode.</w:t>
      </w:r>
    </w:p>
    <w:p>
      <w:pPr>
        <w:pStyle w:val="ListBodyPOWERACT"/>
        <w:numPr>
          <w:ilvl w:val="0"/>
          <w:numId w:val="1"/>
        </w:numPr>
        <w:rPr/>
      </w:pPr>
      <w:r>
        <w:rPr>
          <w:rFonts w:eastAsia="Times New Roman" w:cs="Times New Roman"/>
          <w:b/>
          <w:bCs/>
          <w:color w:val="3A3A3C"/>
        </w:rPr>
        <w:t>Features add up.</w:t>
      </w:r>
      <w:r>
        <w:rPr>
          <w:rFonts w:eastAsia="Times New Roman" w:cs="Times New Roman"/>
          <w:color w:val="3A3A3C"/>
        </w:rPr>
        <w:t xml:space="preserve"> The base pack gives a set of features; capability packs and add-ons add theirs. Industry and capability packs also license their macro processes (8.3).</w:t>
      </w:r>
    </w:p>
    <w:p>
      <w:pPr>
        <w:pStyle w:val="ListBodyPOWERACT"/>
        <w:numPr>
          <w:ilvl w:val="0"/>
          <w:numId w:val="1"/>
        </w:numPr>
        <w:rPr/>
      </w:pPr>
      <w:r>
        <w:rPr>
          <w:rFonts w:eastAsia="Times New Roman" w:cs="Times New Roman"/>
          <w:b/>
          <w:bCs/>
          <w:color w:val="3A3A3C"/>
        </w:rPr>
        <w:t>Quotas.</w:t>
      </w:r>
      <w:r>
        <w:rPr>
          <w:rFonts w:eastAsia="Times New Roman" w:cs="Times New Roman"/>
          <w:color w:val="3A3A3C"/>
        </w:rPr>
        <w:t xml:space="preserve"> Ceilings (users, projects, organization-chart nodes, custom AI use cases, rows per table) come from the base pack.</w:t>
      </w:r>
    </w:p>
    <w:p>
      <w:pPr>
        <w:pStyle w:val="ListBodyPOWERACT"/>
        <w:numPr>
          <w:ilvl w:val="0"/>
          <w:numId w:val="1"/>
        </w:numPr>
        <w:rPr/>
      </w:pPr>
      <w:r>
        <w:rPr>
          <w:rFonts w:eastAsia="Times New Roman" w:cs="Times New Roman"/>
          <w:b/>
          <w:bCs/>
          <w:color w:val="3A3A3C"/>
        </w:rPr>
        <w:t>Enforcement.</w:t>
      </w:r>
      <w:r>
        <w:rPr>
          <w:rFonts w:eastAsia="Times New Roman" w:cs="Times New Roman"/>
          <w:color w:val="3A3A3C"/>
        </w:rPr>
        <w:t xml:space="preserve"> Entitlement is checked on the server, independently of user roles. A screen that is not licensed is hidden from the menu, and the server refuses the action with the message “This feature is not included in the organization’s configuration.”</w:t>
      </w:r>
    </w:p>
    <w:p>
      <w:pPr>
        <w:pStyle w:val="Normal"/>
        <w:spacing w:before="0" w:after="160"/>
        <w:rPr/>
      </w:pPr>
      <w:r>
        <w:rPr/>
      </w:r>
    </w:p>
    <w:p>
      <w:pPr>
        <w:pStyle w:val="Heading2"/>
        <w:rPr/>
      </w:pPr>
      <w:bookmarkStart w:id="151" w:name="__RefHeading___Toc5987_4193276671"/>
      <w:bookmarkEnd w:id="151"/>
      <w:r>
        <w:rPr/>
        <w:t>8.2 Base Packs: Features and Quotas</w:t>
      </w:r>
    </w:p>
    <w:tbl>
      <w:tblPr>
        <w:tblW w:w="9745" w:type="dxa"/>
        <w:jc w:val="left"/>
        <w:tblInd w:w="0" w:type="dxa"/>
        <w:tblLayout w:type="fixed"/>
        <w:tblCellMar>
          <w:top w:w="55" w:type="dxa"/>
          <w:left w:w="100" w:type="dxa"/>
          <w:bottom w:w="55" w:type="dxa"/>
          <w:right w:w="100" w:type="dxa"/>
        </w:tblCellMar>
      </w:tblPr>
      <w:tblGrid>
        <w:gridCol w:w="1074"/>
        <w:gridCol w:w="3070"/>
        <w:gridCol w:w="1075"/>
        <w:gridCol w:w="690"/>
        <w:gridCol w:w="998"/>
        <w:gridCol w:w="920"/>
        <w:gridCol w:w="998"/>
        <w:gridCol w:w="918"/>
      </w:tblGrid>
      <w:tr>
        <w:trPr>
          <w:tblHeader w:val="true"/>
          <w:cantSplit w:val="true"/>
        </w:trPr>
        <w:tc>
          <w:tcPr>
            <w:tcW w:w="107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Pack</w:t>
            </w:r>
          </w:p>
        </w:tc>
        <w:tc>
          <w:tcPr>
            <w:tcW w:w="307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Features</w:t>
            </w:r>
          </w:p>
        </w:tc>
        <w:tc>
          <w:tcPr>
            <w:tcW w:w="107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AI tier</w:t>
            </w:r>
          </w:p>
        </w:tc>
        <w:tc>
          <w:tcPr>
            <w:tcW w:w="69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Users</w:t>
            </w:r>
          </w:p>
        </w:tc>
        <w:tc>
          <w:tcPr>
            <w:tcW w:w="9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Projects</w:t>
            </w:r>
          </w:p>
        </w:tc>
        <w:tc>
          <w:tcPr>
            <w:tcW w:w="92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OBS nodes</w:t>
            </w:r>
          </w:p>
        </w:tc>
        <w:tc>
          <w:tcPr>
            <w:tcW w:w="9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Custom AI use cases</w:t>
            </w:r>
          </w:p>
        </w:tc>
        <w:tc>
          <w:tcPr>
            <w:tcW w:w="91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Rows per table</w:t>
            </w:r>
          </w:p>
        </w:tc>
      </w:tr>
      <w:tr>
        <w:trPr>
          <w:cantSplit w:val="true"/>
        </w:trPr>
        <w:tc>
          <w:tcPr>
            <w:tcW w:w="10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w:t>
            </w:r>
          </w:p>
        </w:tc>
        <w:tc>
          <w:tcPr>
            <w:tcW w:w="3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Core IMS workspace; Governance (rules, controls, risks, RACSI); Assistive AI; AI Assistant; Internal benchmarking; WBS and Gantt planning</w:t>
            </w:r>
          </w:p>
        </w:tc>
        <w:tc>
          <w:tcPr>
            <w:tcW w:w="10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Assistive</w:t>
            </w:r>
          </w:p>
        </w:tc>
        <w:tc>
          <w:tcPr>
            <w:tcW w:w="6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25</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10</w:t>
            </w:r>
          </w:p>
        </w:tc>
        <w:tc>
          <w:tcPr>
            <w:tcW w:w="9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80</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w:t>
            </w:r>
          </w:p>
        </w:tc>
        <w:tc>
          <w:tcPr>
            <w:tcW w:w="9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2,000</w:t>
            </w:r>
          </w:p>
        </w:tc>
      </w:tr>
      <w:tr>
        <w:trPr>
          <w:cantSplit w:val="true"/>
        </w:trPr>
        <w:tc>
          <w:tcPr>
            <w:tcW w:w="10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30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Core IMS workspace; Governance (rules, controls, risks, RACSI); Full BPMN editing; Assistive AI; AI Assistant; Internal benchmarking; Group benchmarking; WBS and Gantt planning; External integrations; Vertical management; Multi-site operations</w:t>
            </w:r>
          </w:p>
        </w:tc>
        <w:tc>
          <w:tcPr>
            <w:tcW w:w="1075"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Assistive</w:t>
            </w:r>
          </w:p>
        </w:tc>
        <w:tc>
          <w:tcPr>
            <w:tcW w:w="6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100</w:t>
            </w:r>
          </w:p>
        </w:tc>
        <w:tc>
          <w:tcPr>
            <w:tcW w:w="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60</w:t>
            </w:r>
          </w:p>
        </w:tc>
        <w:tc>
          <w:tcPr>
            <w:tcW w:w="9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600</w:t>
            </w:r>
          </w:p>
        </w:tc>
        <w:tc>
          <w:tcPr>
            <w:tcW w:w="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10</w:t>
            </w:r>
          </w:p>
        </w:tc>
        <w:tc>
          <w:tcPr>
            <w:tcW w:w="9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10,000</w:t>
            </w:r>
          </w:p>
        </w:tc>
      </w:tr>
      <w:tr>
        <w:trPr>
          <w:cantSplit w:val="true"/>
        </w:trPr>
        <w:tc>
          <w:tcPr>
            <w:tcW w:w="10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30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Core IMS workspace; Governance (rules, controls, risks, RACSI); Full BPMN editing; Assistive AI; Augmented AI; AI Assistant; Internal benchmarking; Group benchmarking; WBS and Gantt planning; External integrations; Vertical management; Multi-site operations</w:t>
            </w:r>
          </w:p>
        </w:tc>
        <w:tc>
          <w:tcPr>
            <w:tcW w:w="1075"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Assistive + Augmented</w:t>
            </w:r>
          </w:p>
        </w:tc>
        <w:tc>
          <w:tcPr>
            <w:tcW w:w="6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500</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500</w:t>
            </w:r>
          </w:p>
        </w:tc>
        <w:tc>
          <w:tcPr>
            <w:tcW w:w="9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5,000</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50</w:t>
            </w:r>
          </w:p>
        </w:tc>
        <w:tc>
          <w:tcPr>
            <w:tcW w:w="9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50,000</w:t>
            </w:r>
          </w:p>
        </w:tc>
      </w:tr>
    </w:tbl>
    <w:p>
      <w:pPr>
        <w:pStyle w:val="Normal"/>
        <w:spacing w:before="0" w:after="160"/>
        <w:rPr/>
      </w:pPr>
      <w:r>
        <w:rPr/>
      </w:r>
    </w:p>
    <w:p>
      <w:pPr>
        <w:pStyle w:val="Heading2"/>
        <w:rPr/>
      </w:pPr>
      <w:bookmarkStart w:id="152" w:name="__RefHeading___Toc5989_4193276671"/>
      <w:bookmarkEnd w:id="152"/>
      <w:r>
        <w:rPr/>
        <w:t>8.3 Industry Packs, Capability Packs and Add-Ons</w:t>
      </w:r>
    </w:p>
    <w:tbl>
      <w:tblPr>
        <w:tblW w:w="9746" w:type="dxa"/>
        <w:jc w:val="left"/>
        <w:tblInd w:w="0" w:type="dxa"/>
        <w:tblLayout w:type="fixed"/>
        <w:tblCellMar>
          <w:top w:w="55" w:type="dxa"/>
          <w:left w:w="100" w:type="dxa"/>
          <w:bottom w:w="55" w:type="dxa"/>
          <w:right w:w="100" w:type="dxa"/>
        </w:tblCellMar>
      </w:tblPr>
      <w:tblGrid>
        <w:gridCol w:w="1188"/>
        <w:gridCol w:w="3328"/>
        <w:gridCol w:w="2377"/>
        <w:gridCol w:w="2852"/>
      </w:tblGrid>
      <w:tr>
        <w:trPr>
          <w:tblHeader w:val="true"/>
          <w:cantSplit w:val="true"/>
        </w:trPr>
        <w:tc>
          <w:tcPr>
            <w:tcW w:w="118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Item</w:t>
            </w:r>
          </w:p>
        </w:tc>
        <w:tc>
          <w:tcPr>
            <w:tcW w:w="332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What it licenses</w:t>
            </w:r>
          </w:p>
        </w:tc>
        <w:tc>
          <w:tcPr>
            <w:tcW w:w="237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Feature added</w:t>
            </w:r>
          </w:p>
        </w:tc>
        <w:tc>
          <w:tcPr>
            <w:tcW w:w="28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Status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9 macro processes (Tier 6 and related)</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Licensed</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DMS-LSCI</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8 macro processes (Tier 6 and related)</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Licensed</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DMS-FOOD</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7 macro processes (Tier 6 and related)</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Licensed</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DMS-PROC</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12 macro processes (Tier 6 and related)</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Licensed</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DMS-AERO</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3 macro processes (Tier 6 and related)</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Licensed</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DMS-MARI</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3 macro processes (Tier 6 and related)</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Licensed</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DMS-CERT</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7 macro processes</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Certification &amp; audit accelerator</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Licensed; feature flag recorded</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DMS-AI</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18 macro processes</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Augmented AI; AI Assistant</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Licensed; 20,000 AI requests per month</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DMS-ESG</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10 macro processes</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ESG &amp; sustainability</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Licensed; feature flag recorded</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ADD-01</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Mobile Field Operations</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Mobile field operations</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ADD-02</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Voice-to-Text Reporting</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Voice-to-text reporting</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ADD-03</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Augmented Reality Audits</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Augmented reality audits</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ADD-04</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Digital Signatures (eIDAS)</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Digital signatures</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ADD-05</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Blockchain Audit Trail</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Blockchain audit trail</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ADD-06</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Supplier Collaboration Portal</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Supplier collaboration portal</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ADD-07</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Customer Feedback Portal</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Customer feedback portal</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ADD-08</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Low-Code Process Builder</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Low-code process builder</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ADD-09</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Marketplace Access</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Marketplace access</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ADD-10</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Digital Twin Simulation</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Digital twin simulation</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ADD-11</w:t>
            </w:r>
          </w:p>
        </w:tc>
        <w:tc>
          <w:tcPr>
            <w:tcW w:w="33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Voice of Customer Analytics</w:t>
            </w:r>
          </w:p>
        </w:tc>
        <w:tc>
          <w:tcPr>
            <w:tcW w:w="23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Voice of customer analytics</w:t>
            </w:r>
          </w:p>
        </w:tc>
        <w:tc>
          <w:tcPr>
            <w:tcW w:w="28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r>
        <w:trPr>
          <w:cantSplit w:val="true"/>
        </w:trPr>
        <w:tc>
          <w:tcPr>
            <w:tcW w:w="11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ADD-12</w:t>
            </w:r>
          </w:p>
        </w:tc>
        <w:tc>
          <w:tcPr>
            <w:tcW w:w="33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IoT Sensor Integration</w:t>
            </w:r>
          </w:p>
        </w:tc>
        <w:tc>
          <w:tcPr>
            <w:tcW w:w="2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IoT sensor integration</w:t>
            </w:r>
          </w:p>
        </w:tc>
        <w:tc>
          <w:tcPr>
            <w:tcW w:w="28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Entitlement recorded; no dedicated screen in 2026.10</w:t>
            </w:r>
          </w:p>
        </w:tc>
      </w:tr>
    </w:tbl>
    <w:p>
      <w:pPr>
        <w:pStyle w:val="Normal"/>
        <w:spacing w:before="0" w:after="160"/>
        <w:rPr/>
      </w:pPr>
      <w:r>
        <w:rPr/>
      </w:r>
    </w:p>
    <w:p>
      <w:pPr>
        <w:pStyle w:val="BodyTextPOWERACT"/>
        <w:rPr/>
      </w:pPr>
      <w:r>
        <w:rPr>
          <w:rFonts w:eastAsia="Times New Roman" w:cs="Times New Roman"/>
          <w:b w:val="false"/>
          <w:bCs w:val="false"/>
        </w:rPr>
        <w:t>An SME organization that belongs to a vertical also receives the Tier 6 macro processes activated for that vertical (SME + vertical bundle).</w:t>
      </w:r>
    </w:p>
    <w:p>
      <w:pPr>
        <w:pStyle w:val="Normal"/>
        <w:spacing w:before="0" w:after="160"/>
        <w:rPr/>
      </w:pPr>
      <w:r>
        <w:rPr/>
      </w:r>
    </w:p>
    <w:p>
      <w:pPr>
        <w:pStyle w:val="Heading2"/>
        <w:rPr/>
      </w:pPr>
      <w:bookmarkStart w:id="153" w:name="__RefHeading___Toc5991_4193276671"/>
      <w:bookmarkEnd w:id="153"/>
      <w:r>
        <w:rPr/>
        <w:t>8.4 Macro Processes Licensed by Pack</w:t>
      </w:r>
    </w:p>
    <w:tbl>
      <w:tblPr>
        <w:tblW w:w="9746" w:type="dxa"/>
        <w:jc w:val="left"/>
        <w:tblInd w:w="0" w:type="dxa"/>
        <w:tblLayout w:type="fixed"/>
        <w:tblCellMar>
          <w:top w:w="55" w:type="dxa"/>
          <w:left w:w="100" w:type="dxa"/>
          <w:bottom w:w="55" w:type="dxa"/>
          <w:right w:w="100" w:type="dxa"/>
        </w:tblCellMar>
      </w:tblPr>
      <w:tblGrid>
        <w:gridCol w:w="1474"/>
        <w:gridCol w:w="1228"/>
        <w:gridCol w:w="1310"/>
        <w:gridCol w:w="5733"/>
      </w:tblGrid>
      <w:tr>
        <w:trPr>
          <w:tblHeader w:val="true"/>
          <w:cantSplit w:val="true"/>
        </w:trPr>
        <w:tc>
          <w:tcPr>
            <w:tcW w:w="147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Pack</w:t>
            </w:r>
          </w:p>
        </w:tc>
        <w:tc>
          <w:tcPr>
            <w:tcW w:w="122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Type</w:t>
            </w:r>
          </w:p>
        </w:tc>
        <w:tc>
          <w:tcPr>
            <w:tcW w:w="131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Macro processes</w:t>
            </w:r>
          </w:p>
        </w:tc>
        <w:tc>
          <w:tcPr>
            <w:tcW w:w="573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DMS-SME</w:t>
            </w:r>
          </w:p>
        </w:tc>
        <w:tc>
          <w:tcPr>
            <w:tcW w:w="12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Base</w:t>
            </w:r>
          </w:p>
        </w:tc>
        <w:tc>
          <w:tcPr>
            <w:tcW w:w="1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50</w:t>
            </w:r>
          </w:p>
        </w:tc>
        <w:tc>
          <w:tcPr>
            <w:tcW w:w="57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Up to 25 users; 25 GB; 500 generated files/month; hierarchy up to Level 4</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DMS-PRO</w:t>
            </w:r>
          </w:p>
        </w:tc>
        <w:tc>
          <w:tcPr>
            <w:tcW w:w="12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Base</w:t>
            </w:r>
          </w:p>
        </w:tc>
        <w:tc>
          <w:tcPr>
            <w:tcW w:w="1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64</w:t>
            </w:r>
          </w:p>
        </w:tc>
        <w:tc>
          <w:tcPr>
            <w:tcW w:w="57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Up to 100 users; 250 GB; 5,000 generated files/month; hierarchy up to Level 6</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DMS-ENT</w:t>
            </w:r>
          </w:p>
        </w:tc>
        <w:tc>
          <w:tcPr>
            <w:tcW w:w="12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Base</w:t>
            </w:r>
          </w:p>
        </w:tc>
        <w:tc>
          <w:tcPr>
            <w:tcW w:w="1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135</w:t>
            </w:r>
          </w:p>
        </w:tc>
        <w:tc>
          <w:tcPr>
            <w:tcW w:w="57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Up to 500 users; 2 TB; 50,000 generated files/month; hierarchy up to Level 9</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DMS-AUTO</w:t>
            </w:r>
          </w:p>
        </w:tc>
        <w:tc>
          <w:tcPr>
            <w:tcW w:w="12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1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9</w:t>
            </w:r>
          </w:p>
        </w:tc>
        <w:tc>
          <w:tcPr>
            <w:tcW w:w="57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Inherits base pack 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DMS-LSCI</w:t>
            </w:r>
          </w:p>
        </w:tc>
        <w:tc>
          <w:tcPr>
            <w:tcW w:w="12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1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8</w:t>
            </w:r>
          </w:p>
        </w:tc>
        <w:tc>
          <w:tcPr>
            <w:tcW w:w="57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Inherits base pack 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DMS-FOOD</w:t>
            </w:r>
          </w:p>
        </w:tc>
        <w:tc>
          <w:tcPr>
            <w:tcW w:w="12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1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7</w:t>
            </w:r>
          </w:p>
        </w:tc>
        <w:tc>
          <w:tcPr>
            <w:tcW w:w="57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Inherits base pack 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DMS-PROC</w:t>
            </w:r>
          </w:p>
        </w:tc>
        <w:tc>
          <w:tcPr>
            <w:tcW w:w="12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1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12</w:t>
            </w:r>
          </w:p>
        </w:tc>
        <w:tc>
          <w:tcPr>
            <w:tcW w:w="57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Inherits base pack 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DMS-AERO</w:t>
            </w:r>
          </w:p>
        </w:tc>
        <w:tc>
          <w:tcPr>
            <w:tcW w:w="12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1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3</w:t>
            </w:r>
          </w:p>
        </w:tc>
        <w:tc>
          <w:tcPr>
            <w:tcW w:w="57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Inherits base pack 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DMS-MARI</w:t>
            </w:r>
          </w:p>
        </w:tc>
        <w:tc>
          <w:tcPr>
            <w:tcW w:w="12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Industry</w:t>
            </w:r>
          </w:p>
        </w:tc>
        <w:tc>
          <w:tcPr>
            <w:tcW w:w="1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3</w:t>
            </w:r>
          </w:p>
        </w:tc>
        <w:tc>
          <w:tcPr>
            <w:tcW w:w="57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Inherits base pack 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DMS-CERT</w:t>
            </w:r>
          </w:p>
        </w:tc>
        <w:tc>
          <w:tcPr>
            <w:tcW w:w="12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Capability</w:t>
            </w:r>
          </w:p>
        </w:tc>
        <w:tc>
          <w:tcPr>
            <w:tcW w:w="1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7</w:t>
            </w:r>
          </w:p>
        </w:tc>
        <w:tc>
          <w:tcPr>
            <w:tcW w:w="57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Inherits base pack 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DMS-AI</w:t>
            </w:r>
          </w:p>
        </w:tc>
        <w:tc>
          <w:tcPr>
            <w:tcW w:w="12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Capability</w:t>
            </w:r>
          </w:p>
        </w:tc>
        <w:tc>
          <w:tcPr>
            <w:tcW w:w="1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18</w:t>
            </w:r>
          </w:p>
        </w:tc>
        <w:tc>
          <w:tcPr>
            <w:tcW w:w="57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20,000 AI requests/month; inherits base pack limits</w:t>
            </w:r>
          </w:p>
        </w:tc>
      </w:tr>
      <w:tr>
        <w:trPr>
          <w:cantSplit w:val="true"/>
        </w:trPr>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DMS-ESG</w:t>
            </w:r>
          </w:p>
        </w:tc>
        <w:tc>
          <w:tcPr>
            <w:tcW w:w="12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Capability</w:t>
            </w:r>
          </w:p>
        </w:tc>
        <w:tc>
          <w:tcPr>
            <w:tcW w:w="1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10</w:t>
            </w:r>
          </w:p>
        </w:tc>
        <w:tc>
          <w:tcPr>
            <w:tcW w:w="57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Inherits base pack limits</w:t>
            </w:r>
          </w:p>
        </w:tc>
      </w:tr>
    </w:tbl>
    <w:p>
      <w:pPr>
        <w:pStyle w:val="Normal"/>
        <w:spacing w:before="0" w:after="160"/>
        <w:rPr/>
      </w:pPr>
      <w:r>
        <w:rPr/>
      </w:r>
    </w:p>
    <w:p>
      <w:pPr>
        <w:pStyle w:val="Heading2"/>
        <w:rPr/>
      </w:pPr>
      <w:bookmarkStart w:id="154" w:name="__RefHeading___Toc5993_4193276671"/>
      <w:bookmarkEnd w:id="154"/>
      <w:r>
        <w:rPr/>
        <w:t>8.5 Compliance &amp; Security Standards</w:t>
      </w:r>
    </w:p>
    <w:p>
      <w:pPr>
        <w:pStyle w:val="BodyTextPOWERACT"/>
        <w:rPr/>
      </w:pPr>
      <w:r>
        <w:rPr>
          <w:rFonts w:eastAsia="Times New Roman" w:cs="Times New Roman"/>
          <w:b w:val="false"/>
          <w:bCs w:val="false"/>
        </w:rPr>
        <w:t>Five standards can be activated independently of the packs. Each seeds a starting set of controls in the organization’s register and is priced per month, whatever the deployment mode.</w:t>
      </w:r>
    </w:p>
    <w:tbl>
      <w:tblPr>
        <w:tblW w:w="9746" w:type="dxa"/>
        <w:jc w:val="left"/>
        <w:tblInd w:w="0" w:type="dxa"/>
        <w:tblLayout w:type="fixed"/>
        <w:tblCellMar>
          <w:top w:w="55" w:type="dxa"/>
          <w:left w:w="100" w:type="dxa"/>
          <w:bottom w:w="55" w:type="dxa"/>
          <w:right w:w="100" w:type="dxa"/>
        </w:tblCellMar>
      </w:tblPr>
      <w:tblGrid>
        <w:gridCol w:w="1081"/>
        <w:gridCol w:w="1857"/>
        <w:gridCol w:w="1393"/>
        <w:gridCol w:w="5414"/>
      </w:tblGrid>
      <w:tr>
        <w:trPr>
          <w:tblHeader w:val="true"/>
          <w:cantSplit w:val="true"/>
        </w:trPr>
        <w:tc>
          <w:tcPr>
            <w:tcW w:w="108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ID</w:t>
            </w:r>
          </w:p>
        </w:tc>
        <w:tc>
          <w:tcPr>
            <w:tcW w:w="185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Standard</w:t>
            </w:r>
          </w:p>
        </w:tc>
        <w:tc>
          <w:tcPr>
            <w:tcW w:w="139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Price (USD/month)</w:t>
            </w:r>
          </w:p>
        </w:tc>
        <w:tc>
          <w:tcPr>
            <w:tcW w:w="541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Controls seeded</w:t>
            </w:r>
          </w:p>
        </w:tc>
      </w:tr>
      <w:tr>
        <w:trPr>
          <w:cantSplit w:val="true"/>
        </w:trPr>
        <w:tc>
          <w:tcPr>
            <w:tcW w:w="10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GDPR</w:t>
            </w:r>
          </w:p>
        </w:tc>
        <w:tc>
          <w:tcPr>
            <w:tcW w:w="18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GDPR</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$149</w:t>
            </w:r>
          </w:p>
        </w:tc>
        <w:tc>
          <w:tcPr>
            <w:tcW w:w="54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Records of processing activities maintained</w:t>
              <w:br/>
              <w:t>Data subject requests answered within 30 days</w:t>
              <w:br/>
              <w:t>Personal data breach notified within 72 hours</w:t>
            </w:r>
          </w:p>
        </w:tc>
      </w:tr>
      <w:tr>
        <w:trPr>
          <w:cantSplit w:val="true"/>
        </w:trPr>
        <w:tc>
          <w:tcPr>
            <w:tcW w:w="10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ISO27001</w:t>
            </w:r>
          </w:p>
        </w:tc>
        <w:tc>
          <w:tcPr>
            <w:tcW w:w="18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ISO/IEC 27001</w:t>
            </w:r>
          </w:p>
        </w:tc>
        <w:tc>
          <w:tcPr>
            <w:tcW w:w="13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$199</w:t>
            </w:r>
          </w:p>
        </w:tc>
        <w:tc>
          <w:tcPr>
            <w:tcW w:w="54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Information security policy approved</w:t>
              <w:br/>
              <w:t>Access rights reviewed quarterly</w:t>
              <w:br/>
              <w:t>Backups tested at least once per release</w:t>
            </w:r>
          </w:p>
        </w:tc>
      </w:tr>
      <w:tr>
        <w:trPr>
          <w:cantSplit w:val="true"/>
        </w:trPr>
        <w:tc>
          <w:tcPr>
            <w:tcW w:w="10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SOC2</w:t>
            </w:r>
          </w:p>
        </w:tc>
        <w:tc>
          <w:tcPr>
            <w:tcW w:w="18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SOC 2</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$199</w:t>
            </w:r>
          </w:p>
        </w:tc>
        <w:tc>
          <w:tcPr>
            <w:tcW w:w="54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Change management approvals recorded</w:t>
              <w:br/>
              <w:t>Logical access monitored</w:t>
            </w:r>
          </w:p>
        </w:tc>
      </w:tr>
      <w:tr>
        <w:trPr>
          <w:cantSplit w:val="true"/>
        </w:trPr>
        <w:tc>
          <w:tcPr>
            <w:tcW w:w="10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ISO9001</w:t>
            </w:r>
          </w:p>
        </w:tc>
        <w:tc>
          <w:tcPr>
            <w:tcW w:w="18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ISO 9001 scaffold</w:t>
            </w:r>
          </w:p>
        </w:tc>
        <w:tc>
          <w:tcPr>
            <w:tcW w:w="13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$99</w:t>
            </w:r>
          </w:p>
        </w:tc>
        <w:tc>
          <w:tcPr>
            <w:tcW w:w="54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Quality objectives reviewed at management review</w:t>
            </w:r>
          </w:p>
        </w:tc>
      </w:tr>
      <w:tr>
        <w:trPr>
          <w:cantSplit w:val="true"/>
        </w:trPr>
        <w:tc>
          <w:tcPr>
            <w:tcW w:w="10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HIPAA</w:t>
            </w:r>
          </w:p>
        </w:tc>
        <w:tc>
          <w:tcPr>
            <w:tcW w:w="18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HIPAA</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$149</w:t>
            </w:r>
          </w:p>
        </w:tc>
        <w:tc>
          <w:tcPr>
            <w:tcW w:w="54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PHI access logged</w:t>
            </w:r>
          </w:p>
        </w:tc>
      </w:tr>
    </w:tbl>
    <w:p>
      <w:pPr>
        <w:pStyle w:val="Normal"/>
        <w:spacing w:before="0" w:after="160"/>
        <w:rPr/>
      </w:pPr>
      <w:r>
        <w:rPr/>
      </w:r>
    </w:p>
    <w:p>
      <w:pPr>
        <w:pStyle w:val="BodyTextPOWERACT"/>
        <w:rPr/>
      </w:pPr>
      <w:r>
        <w:rPr>
          <w:rFonts w:eastAsia="Times New Roman" w:cs="Times New Roman"/>
          <w:b w:val="false"/>
          <w:bCs w:val="false"/>
        </w:rPr>
        <w:t>Activating a Compliance &amp; Security Standard seeds a starting scaffold of controls. It is not a certification, an external audit or a legal attestation of compliance.</w:t>
      </w:r>
    </w:p>
    <w:p>
      <w:pPr>
        <w:pStyle w:val="Normal"/>
        <w:spacing w:before="0" w:after="160"/>
        <w:rPr/>
      </w:pPr>
      <w:r>
        <w:rPr/>
      </w:r>
    </w:p>
    <w:p>
      <w:pPr>
        <w:pStyle w:val="Heading2"/>
        <w:rPr/>
      </w:pPr>
      <w:bookmarkStart w:id="155" w:name="__RefHeading___Toc5995_4193276671"/>
      <w:bookmarkEnd w:id="155"/>
      <w:r>
        <w:rPr/>
        <w:t>8.6 Price Calculation in the Application</w:t>
      </w:r>
    </w:p>
    <w:p>
      <w:pPr>
        <w:pStyle w:val="ListBodyPOWERACT"/>
        <w:numPr>
          <w:ilvl w:val="0"/>
          <w:numId w:val="1"/>
        </w:numPr>
        <w:rPr/>
      </w:pPr>
      <w:r>
        <w:rPr>
          <w:rFonts w:eastAsia="Times New Roman" w:cs="Times New Roman"/>
          <w:b/>
          <w:bCs/>
          <w:color w:val="3A3A3C"/>
        </w:rPr>
        <w:t>Lines.</w:t>
      </w:r>
      <w:r>
        <w:rPr>
          <w:rFonts w:eastAsia="Times New Roman" w:cs="Times New Roman"/>
          <w:color w:val="3A3A3C"/>
        </w:rPr>
        <w:t xml:space="preserve"> Each pack and add-on is priced at its deployment-mode price (5.3); each Compliance &amp; Security Standard at its flat price.</w:t>
      </w:r>
    </w:p>
    <w:p>
      <w:pPr>
        <w:pStyle w:val="ListBodyPOWERACT"/>
        <w:numPr>
          <w:ilvl w:val="0"/>
          <w:numId w:val="1"/>
        </w:numPr>
        <w:rPr/>
      </w:pPr>
      <w:r>
        <w:rPr>
          <w:rFonts w:eastAsia="Times New Roman" w:cs="Times New Roman"/>
          <w:b/>
          <w:bCs/>
          <w:color w:val="3A3A3C"/>
        </w:rPr>
        <w:t>Bundle discount.</w:t>
      </w:r>
      <w:r>
        <w:rPr>
          <w:rFonts w:eastAsia="Times New Roman" w:cs="Times New Roman"/>
          <w:color w:val="3A3A3C"/>
        </w:rPr>
        <w:t xml:space="preserve"> Applied automatically from the number of packs: 5% (1 industry), 10% (1 industry + 1 capability), 15% (1 industry + 2 capabilities), 20% (2 industry + 2 capabilities).</w:t>
      </w:r>
    </w:p>
    <w:p>
      <w:pPr>
        <w:pStyle w:val="ListBodyPOWERACT"/>
        <w:numPr>
          <w:ilvl w:val="0"/>
          <w:numId w:val="1"/>
        </w:numPr>
        <w:rPr/>
      </w:pPr>
      <w:r>
        <w:rPr>
          <w:rFonts w:eastAsia="Times New Roman" w:cs="Times New Roman"/>
          <w:b/>
          <w:bCs/>
          <w:color w:val="3A3A3C"/>
        </w:rPr>
        <w:t>Commitment.</w:t>
      </w:r>
      <w:r>
        <w:rPr>
          <w:rFonts w:eastAsia="Times New Roman" w:cs="Times New Roman"/>
          <w:color w:val="3A3A3C"/>
        </w:rPr>
        <w:t xml:space="preserve"> Annual commitment: 15% after the bundle discount. The 3-year rate (25%) and the Enterprise Agreement tiers of 6.3 are applied by contract; the application does not compute them.</w:t>
      </w:r>
    </w:p>
    <w:p>
      <w:pPr>
        <w:pStyle w:val="ListBodyPOWERACT"/>
        <w:numPr>
          <w:ilvl w:val="0"/>
          <w:numId w:val="1"/>
        </w:numPr>
        <w:rPr/>
      </w:pPr>
      <w:r>
        <w:rPr>
          <w:rFonts w:eastAsia="Times New Roman" w:cs="Times New Roman"/>
          <w:b/>
          <w:bCs/>
          <w:color w:val="3A3A3C"/>
        </w:rPr>
        <w:t>Currency.</w:t>
      </w:r>
      <w:r>
        <w:rPr>
          <w:rFonts w:eastAsia="Times New Roman" w:cs="Times New Roman"/>
          <w:color w:val="3A3A3C"/>
        </w:rPr>
        <w:t xml:space="preserve"> Subscription prices are in USD. The currencies enabled for an organization (for example MAD by default in Morocco) apply to the amounts recorded in the management system, such as nonconformity costs, not to subscription prices.</w:t>
      </w:r>
    </w:p>
    <w:p>
      <w:pPr>
        <w:pStyle w:val="Normal"/>
        <w:spacing w:before="0" w:after="160"/>
        <w:rPr/>
      </w:pPr>
      <w:r>
        <w:rPr/>
      </w:r>
    </w:p>
    <w:p>
      <w:pPr>
        <w:pStyle w:val="Heading2"/>
        <w:rPr/>
      </w:pPr>
      <w:bookmarkStart w:id="156" w:name="__RefHeading___Toc5997_4193276671"/>
      <w:bookmarkEnd w:id="156"/>
      <w:r>
        <w:rPr/>
        <w:t>8.7 Integrations in the Application</w:t>
      </w:r>
    </w:p>
    <w:p>
      <w:pPr>
        <w:pStyle w:val="ListBodyPOWERACT"/>
        <w:numPr>
          <w:ilvl w:val="0"/>
          <w:numId w:val="1"/>
        </w:numPr>
        <w:rPr/>
      </w:pPr>
      <w:r>
        <w:rPr>
          <w:rFonts w:eastAsia="Times New Roman" w:cs="Times New Roman"/>
          <w:b/>
          <w:bCs/>
          <w:color w:val="3A3A3C"/>
        </w:rPr>
        <w:t>Console.</w:t>
      </w:r>
      <w:r>
        <w:rPr>
          <w:rFonts w:eastAsia="Times New Roman" w:cs="Times New Roman"/>
          <w:color w:val="3A3A3C"/>
        </w:rPr>
        <w:t xml:space="preserve"> Administration › Integrations lists the 12 connectors for each organization. For each: enable, endpoint, field mapping and credential. The credential is stored as a vault reference and never shown again.</w:t>
      </w:r>
    </w:p>
    <w:p>
      <w:pPr>
        <w:pStyle w:val="ListBodyPOWERACT"/>
        <w:numPr>
          <w:ilvl w:val="0"/>
          <w:numId w:val="1"/>
        </w:numPr>
        <w:rPr/>
      </w:pPr>
      <w:r>
        <w:rPr>
          <w:rFonts w:eastAsia="Times New Roman" w:cs="Times New Roman"/>
          <w:b/>
          <w:bCs/>
          <w:color w:val="3A3A3C"/>
        </w:rPr>
        <w:t>Health check.</w:t>
      </w:r>
      <w:r>
        <w:rPr>
          <w:rFonts w:eastAsia="Times New Roman" w:cs="Times New Roman"/>
          <w:color w:val="3A3A3C"/>
        </w:rPr>
        <w:t xml:space="preserve"> Test marks the connector OK or Failed and keeps its last five log entries. Release 2026.10 checks that a connector is configured (enabled, endpoint and credential); data exchange with the external system is not part of this release.</w:t>
      </w:r>
    </w:p>
    <w:p>
      <w:pPr>
        <w:pStyle w:val="ListBodyPOWERACT"/>
        <w:numPr>
          <w:ilvl w:val="0"/>
          <w:numId w:val="1"/>
        </w:numPr>
        <w:rPr/>
      </w:pPr>
      <w:r>
        <w:rPr>
          <w:rFonts w:eastAsia="Times New Roman" w:cs="Times New Roman"/>
          <w:b/>
          <w:bCs/>
          <w:color w:val="3A3A3C"/>
        </w:rPr>
        <w:t>Entitlement.</w:t>
      </w:r>
      <w:r>
        <w:rPr>
          <w:rFonts w:eastAsia="Times New Roman" w:cs="Times New Roman"/>
          <w:color w:val="3A3A3C"/>
        </w:rPr>
        <w:t xml:space="preserve"> The console requires the External integrations feature, included in DMS-PRO and DMS-ENT. Integrations listed for DMS-SME in Part 3 (INT-01, INT-03, INT-04, INT-05, INT-11, INT-12) therefore need DMS-PRO or DMS-ENT in the application.</w:t>
      </w:r>
    </w:p>
    <w:p>
      <w:pPr>
        <w:pStyle w:val="Normal"/>
        <w:spacing w:before="0" w:after="160"/>
        <w:rPr/>
      </w:pPr>
      <w:r>
        <w:rPr/>
      </w:r>
    </w:p>
    <w:p>
      <w:pPr>
        <w:pStyle w:val="Heading2"/>
        <w:rPr/>
      </w:pPr>
      <w:bookmarkStart w:id="157" w:name="__RefHeading___Toc5999_4193276671"/>
      <w:bookmarkEnd w:id="157"/>
      <w:r>
        <w:rPr/>
        <w:t>8.8 Deployment Modes and Licence Files</w:t>
      </w:r>
    </w:p>
    <w:p>
      <w:pPr>
        <w:pStyle w:val="ListBodyPOWERACT"/>
        <w:numPr>
          <w:ilvl w:val="0"/>
          <w:numId w:val="1"/>
        </w:numPr>
        <w:rPr/>
      </w:pPr>
      <w:r>
        <w:rPr>
          <w:rFonts w:eastAsia="Times New Roman" w:cs="Times New Roman"/>
          <w:b/>
          <w:bCs/>
          <w:color w:val="3A3A3C"/>
        </w:rPr>
        <w:t>SaaS and public cloud (DEP-1 to DEP-3).</w:t>
      </w:r>
      <w:r>
        <w:rPr>
          <w:rFonts w:eastAsia="Times New Roman" w:cs="Times New Roman"/>
          <w:color w:val="3A3A3C"/>
        </w:rPr>
        <w:t xml:space="preserve"> Entitlements come from the platform configuration of each organization.</w:t>
      </w:r>
    </w:p>
    <w:p>
      <w:pPr>
        <w:pStyle w:val="ListBodyPOWERACT"/>
        <w:numPr>
          <w:ilvl w:val="0"/>
          <w:numId w:val="1"/>
        </w:numPr>
        <w:rPr/>
      </w:pPr>
      <w:r>
        <w:rPr>
          <w:rFonts w:eastAsia="Times New Roman" w:cs="Times New Roman"/>
          <w:b/>
          <w:bCs/>
          <w:color w:val="3A3A3C"/>
        </w:rPr>
        <w:t>Private cloud, on-premises and air-gapped (DEP-4 to DEP-7).</w:t>
      </w:r>
      <w:r>
        <w:rPr>
          <w:rFonts w:eastAsia="Times New Roman" w:cs="Times New Roman"/>
          <w:color w:val="3A3A3C"/>
        </w:rPr>
        <w:t xml:space="preserve"> The server reads a licence file signed with Ed25519 (customer, seats, expiry, packs). It checks the signature, the expiry date and that active users do not exceed the licensed seats. An administrator installs the file in Administration; no internet connection is needed.</w:t>
      </w:r>
    </w:p>
    <w:p>
      <w:pPr>
        <w:pStyle w:val="Normal"/>
        <w:spacing w:before="0" w:after="160"/>
        <w:rPr/>
      </w:pPr>
      <w:r>
        <w:rPr/>
      </w:r>
    </w:p>
    <w:p>
      <w:pPr>
        <w:pStyle w:val="Heading2"/>
        <w:rPr/>
      </w:pPr>
      <w:bookmarkStart w:id="158" w:name="__RefHeading___Toc6001_4193276671"/>
      <w:bookmarkEnd w:id="158"/>
      <w:r>
        <w:rPr/>
        <w:t>8.9 Points to Confirm</w:t>
      </w:r>
    </w:p>
    <w:tbl>
      <w:tblPr>
        <w:tblW w:w="9746" w:type="dxa"/>
        <w:jc w:val="left"/>
        <w:tblInd w:w="0" w:type="dxa"/>
        <w:tblLayout w:type="fixed"/>
        <w:tblCellMar>
          <w:top w:w="55" w:type="dxa"/>
          <w:left w:w="100" w:type="dxa"/>
          <w:bottom w:w="55" w:type="dxa"/>
          <w:right w:w="100" w:type="dxa"/>
        </w:tblCellMar>
      </w:tblPr>
      <w:tblGrid>
        <w:gridCol w:w="1757"/>
        <w:gridCol w:w="4793"/>
        <w:gridCol w:w="3196"/>
      </w:tblGrid>
      <w:tr>
        <w:trPr>
          <w:tblHeader w:val="true"/>
          <w:cantSplit w:val="true"/>
        </w:trPr>
        <w:tc>
          <w:tcPr>
            <w:tcW w:w="175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Reference</w:t>
            </w:r>
          </w:p>
        </w:tc>
        <w:tc>
          <w:tcPr>
            <w:tcW w:w="479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Finding</w:t>
            </w:r>
          </w:p>
        </w:tc>
        <w:tc>
          <w:tcPr>
            <w:tcW w:w="319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keepNext w:val="false"/>
              <w:spacing w:lineRule="exact" w:line="240" w:before="0" w:after="0"/>
              <w:jc w:val="left"/>
              <w:rPr/>
            </w:pPr>
            <w:r>
              <w:rPr>
                <w:rFonts w:eastAsia="Times New Roman" w:cs="Times New Roman"/>
                <w:b/>
                <w:bCs/>
                <w:color w:val="FFFFFF"/>
                <w:sz w:val="19"/>
                <w:szCs w:val="19"/>
              </w:rPr>
              <w:t>Proposed action</w:t>
            </w:r>
          </w:p>
        </w:tc>
      </w:tr>
      <w:tr>
        <w:trPr>
          <w:cantSplit w:val="true"/>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4.2 ADD-03</w:t>
            </w:r>
          </w:p>
        </w:tc>
        <w:tc>
          <w:tcPr>
            <w:tcW w:w="4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Related packs list “DMS-PCH”, which is not a pack (PCH is a segment covered by DMS-PROC).</w:t>
            </w:r>
          </w:p>
        </w:tc>
        <w:tc>
          <w:tcPr>
            <w:tcW w:w="31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Replace with DMS-PROC or remove.</w:t>
            </w:r>
          </w:p>
        </w:tc>
      </w:tr>
      <w:tr>
        <w:trPr>
          <w:cantSplit w:val="true"/>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4.2 ADD-07, ADD-11</w:t>
            </w:r>
          </w:p>
        </w:tc>
        <w:tc>
          <w:tcPr>
            <w:tcW w:w="4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Related packs list “DMS-RC”, which is not a pack.</w:t>
            </w:r>
          </w:p>
        </w:tc>
        <w:tc>
          <w:tcPr>
            <w:tcW w:w="31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Confirm the intended pack or remove.</w:t>
            </w:r>
          </w:p>
        </w:tc>
      </w:tr>
      <w:tr>
        <w:trPr>
          <w:cantSplit w:val="true"/>
        </w:trPr>
        <w:tc>
          <w:tcPr>
            <w:tcW w:w="17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3.1–3.3</w:t>
            </w:r>
          </w:p>
        </w:tc>
        <w:tc>
          <w:tcPr>
            <w:tcW w:w="47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Integrations are listed for DMS-SME, but the application includes External integrations from DMS-PRO only.</w:t>
            </w:r>
          </w:p>
        </w:tc>
        <w:tc>
          <w:tcPr>
            <w:tcW w:w="31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false"/>
              <w:spacing w:lineRule="exact" w:line="240" w:before="0" w:after="0"/>
              <w:jc w:val="left"/>
              <w:rPr/>
            </w:pPr>
            <w:r>
              <w:rPr>
                <w:rFonts w:eastAsia="Times New Roman" w:cs="Times New Roman"/>
                <w:b w:val="false"/>
                <w:bCs w:val="false"/>
                <w:sz w:val="19"/>
                <w:szCs w:val="19"/>
              </w:rPr>
              <w:t>Either add the feature to DMS-SME or remove DMS-SME from these integrations.</w:t>
            </w:r>
          </w:p>
        </w:tc>
      </w:tr>
      <w:tr>
        <w:trPr>
          <w:cantSplit w:val="true"/>
        </w:trPr>
        <w:tc>
          <w:tcPr>
            <w:tcW w:w="17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6.2, 6.3</w:t>
            </w:r>
          </w:p>
        </w:tc>
        <w:tc>
          <w:tcPr>
            <w:tcW w:w="47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Enterprise Agreement and 3-year discounts are not computed by the application.</w:t>
            </w:r>
          </w:p>
        </w:tc>
        <w:tc>
          <w:tcPr>
            <w:tcW w:w="31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false"/>
              <w:spacing w:lineRule="exact" w:line="240" w:before="0" w:after="0"/>
              <w:jc w:val="left"/>
              <w:rPr/>
            </w:pPr>
            <w:r>
              <w:rPr>
                <w:rFonts w:eastAsia="Times New Roman" w:cs="Times New Roman"/>
                <w:b w:val="false"/>
                <w:bCs w:val="false"/>
                <w:sz w:val="19"/>
                <w:szCs w:val="19"/>
              </w:rPr>
              <w:t>Keep as contractual terms, or add them to the price calculation.</w:t>
            </w:r>
          </w:p>
        </w:tc>
      </w:tr>
    </w:tbl>
    <w:p>
      <w:pPr>
        <w:pStyle w:val="Normal"/>
        <w:spacing w:before="0" w:after="160"/>
        <w:rPr/>
      </w:pPr>
      <w:r>
        <w:rPr/>
      </w:r>
    </w:p>
    <w:p>
      <w:pPr>
        <w:pStyle w:val="Normal"/>
        <w:spacing w:before="0" w:after="160"/>
        <w:rPr/>
      </w:pPr>
      <w:r>
        <w:rPr/>
      </w:r>
    </w:p>
    <w:p>
      <w:pPr>
        <w:pStyle w:val="Normal"/>
        <w:spacing w:before="240" w:after="0"/>
        <w:rPr/>
      </w:pPr>
      <w:r>
        <w:rPr/>
      </w:r>
    </w:p>
    <w:tbl>
      <w:tblPr>
        <w:tblW w:w="9746" w:type="dxa"/>
        <w:jc w:val="left"/>
        <w:tblInd w:w="0" w:type="dxa"/>
        <w:tblLayout w:type="fixed"/>
        <w:tblCellMar>
          <w:top w:w="240" w:type="dxa"/>
          <w:left w:w="300" w:type="dxa"/>
          <w:bottom w:w="240" w:type="dxa"/>
          <w:right w:w="300" w:type="dxa"/>
        </w:tblCellMar>
      </w:tblPr>
      <w:tblGrid>
        <w:gridCol w:w="9746"/>
      </w:tblGrid>
      <w:tr>
        <w:trPr/>
        <w:tc>
          <w:tcPr>
            <w:tcW w:w="9746" w:type="dxa"/>
            <w:tcBorders>
              <w:top w:val="single" w:sz="18" w:space="0" w:color="F8931D"/>
            </w:tcBorders>
            <w:shd w:color="auto" w:fill="FDEEDA" w:val="clear"/>
          </w:tcPr>
          <w:p>
            <w:pPr>
              <w:pStyle w:val="Normal"/>
              <w:spacing w:before="0" w:after="100"/>
              <w:jc w:val="center"/>
              <w:rPr/>
            </w:pPr>
            <w:r>
              <w:rPr>
                <w:rFonts w:eastAsia="Times New Roman" w:cs="Times New Roman"/>
                <w:b/>
                <w:bCs/>
                <w:color w:val="E07B00"/>
                <w:sz w:val="28"/>
                <w:szCs w:val="28"/>
              </w:rPr>
              <w:t>DynamicMS Commercial Architecture — Version 1.1</w:t>
            </w:r>
          </w:p>
          <w:p>
            <w:pPr>
              <w:pStyle w:val="Normal"/>
              <w:jc w:val="center"/>
              <w:rPr/>
            </w:pPr>
            <w:r>
              <w:rPr>
                <w:rFonts w:eastAsia="Times New Roman" w:cs="Times New Roman"/>
                <w:color w:val="3A3A3C"/>
                <w:sz w:val="22"/>
                <w:szCs w:val="22"/>
              </w:rPr>
              <w:t>12 Packs. 12 Integrations. 12 Add-Ons. 7 Deployment Modes. 30 Segments. The #1 IMS Platform.</w:t>
            </w:r>
          </w:p>
        </w:tc>
      </w:tr>
    </w:tbl>
    <w:sectPr>
      <w:headerReference w:type="default" r:id="rId8"/>
      <w:headerReference w:type="first" r:id="rId9"/>
      <w:footerReference w:type="default" r:id="rId10"/>
      <w:footerReference w:type="first" r:id="rId11"/>
      <w:type w:val="nextPage"/>
      <w:pgSz w:w="11906" w:h="16838"/>
      <w:pgMar w:left="1080" w:right="1080" w:gutter="0" w:header="540" w:top="1080" w:footer="54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POWERACT"/>
      <w:pBdr>
        <w:top w:val="single" w:sz="4" w:space="4" w:color="E3E3E4"/>
      </w:pBdr>
      <w:tabs>
        <w:tab w:val="clear" w:pos="720"/>
        <w:tab w:val="right" w:pos="9746" w:leader="none"/>
      </w:tabs>
      <w:rPr/>
    </w:pPr>
    <w:r>
      <w:rPr/>
      <w:t>POWERACT Consulting  ·  DynamicMS Commercial Catalog v1.1  ·  Confidential</w:t>
      <w:tab/>
      <w:t xml:space="preserve">Page </w:t>
    </w:r>
    <w:r>
      <w:rPr/>
      <w:fldChar w:fldCharType="begin"/>
    </w:r>
    <w:r>
      <w:rPr/>
      <w:instrText xml:space="preserve"> PAGE </w:instrText>
    </w:r>
    <w:r>
      <w:rPr/>
      <w:fldChar w:fldCharType="separate"/>
    </w:r>
    <w:r>
      <w:rPr/>
      <w:t>31</w:t>
    </w:r>
    <w:r>
      <w:rPr/>
      <w:fldChar w:fldCharType="end"/>
    </w:r>
    <w:r>
      <w:rPr/>
      <w:t xml:space="preserve"> of </w:t>
    </w:r>
    <w:r>
      <w:rPr/>
      <w:fldChar w:fldCharType="begin"/>
    </w:r>
    <w:r>
      <w:rPr/>
      <w:instrText xml:space="preserve"> NUMPAGES </w:instrText>
    </w:r>
    <w:r>
      <w:rPr/>
      <w:fldChar w:fldCharType="separate"/>
    </w:r>
    <w:r>
      <w:rPr/>
      <w:t>31</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pPr>
    <w:r>
      <w:rPr>
        <w:rFonts w:eastAsia="Times New Roman" w:cs="Times New Roman"/>
        <w:b/>
        <w:bCs/>
        <w:color w:val="E07B00"/>
        <w:sz w:val="17"/>
        <w:szCs w:val="17"/>
      </w:rPr>
      <w:t>DynamicMS</w:t>
    </w:r>
    <w:r>
      <w:rPr>
        <w:rFonts w:eastAsia="Times New Roman" w:cs="Times New Roman"/>
        <w:color w:val="808184"/>
        <w:sz w:val="17"/>
        <w:szCs w:val="17"/>
      </w:rPr>
      <w:t xml:space="preserve">   |   Packs, Integrations &amp; Add-Ons Catalog · v1.1</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00"/>
      </w:pPr>
      <w:rPr>
        <w:rFonts w:ascii="OpenSymbol" w:hAnsi="OpenSymbol" w:cs="OpenSymbol" w:hint="default"/>
        <w:color w:val="F8931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58595B"/>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58595B"/>
      <w:kern w:val="0"/>
      <w:sz w:val="24"/>
      <w:szCs w:val="24"/>
      <w:lang w:val="en-US" w:eastAsia="zh-CN" w:bidi="hi-IN"/>
    </w:rPr>
  </w:style>
  <w:style w:type="paragraph" w:styleId="Heading1">
    <w:name w:val="Heading 1"/>
    <w:basedOn w:val="Heading"/>
    <w:qFormat/>
    <w:pPr>
      <w:keepNext w:val="true"/>
      <w:pBdr>
        <w:bottom w:val="single" w:sz="8" w:space="4" w:color="F8931D"/>
      </w:pBdr>
      <w:spacing w:before="0" w:after="240"/>
      <w:outlineLvl w:val="0"/>
    </w:pPr>
    <w:rPr>
      <w:rFonts w:ascii="Times New Roman" w:hAnsi="Times New Roman" w:eastAsia="Times New Roman" w:cs="Times New Roman"/>
      <w:b/>
      <w:bCs/>
      <w:color w:val="E07B00"/>
      <w:sz w:val="34"/>
      <w:szCs w:val="34"/>
    </w:rPr>
  </w:style>
  <w:style w:type="paragraph" w:styleId="Heading2">
    <w:name w:val="Heading 2"/>
    <w:basedOn w:val="Heading"/>
    <w:qFormat/>
    <w:pPr>
      <w:keepNext w:val="true"/>
      <w:keepLines/>
      <w:spacing w:before="360" w:after="140"/>
      <w:outlineLvl w:val="1"/>
    </w:pPr>
    <w:rPr>
      <w:rFonts w:ascii="Times New Roman" w:hAnsi="Times New Roman" w:eastAsia="Times New Roman" w:cs="Times New Roman"/>
      <w:b/>
      <w:bCs/>
      <w:color w:val="3A3A3C"/>
      <w:sz w:val="27"/>
      <w:szCs w:val="27"/>
    </w:rPr>
  </w:style>
  <w:style w:type="paragraph" w:styleId="Heading3">
    <w:name w:val="Heading 3"/>
    <w:basedOn w:val="Heading"/>
    <w:qFormat/>
    <w:pPr>
      <w:keepNext w:val="true"/>
      <w:keepLines/>
      <w:spacing w:before="280" w:after="100"/>
      <w:outlineLvl w:val="2"/>
    </w:pPr>
    <w:rPr>
      <w:rFonts w:ascii="Times New Roman" w:hAnsi="Times New Roman" w:eastAsia="Times New Roman" w:cs="Times New Roman"/>
      <w:b/>
      <w:bCs/>
      <w:color w:val="E07B00"/>
      <w:sz w:val="24"/>
      <w:szCs w:val="24"/>
    </w:rPr>
  </w:style>
  <w:style w:type="paragraph" w:styleId="Heading4">
    <w:name w:val="Heading 4"/>
    <w:basedOn w:val="Heading"/>
    <w:qFormat/>
    <w:pPr>
      <w:keepNext w:val="true"/>
      <w:keepLines/>
      <w:pBdr>
        <w:left w:val="single" w:sz="18" w:space="6" w:color="F8931D"/>
      </w:pBdr>
      <w:spacing w:before="220" w:after="60"/>
      <w:ind w:left="140"/>
      <w:outlineLvl w:val="3"/>
    </w:pPr>
    <w:rPr>
      <w:rFonts w:ascii="Times New Roman" w:hAnsi="Times New Roman" w:eastAsia="Times New Roman" w:cs="Times New Roman"/>
      <w:b/>
      <w:bCs/>
      <w:color w:val="3A3A3C"/>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58595B"/>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58595B"/>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BodyTextPOWERACT">
    <w:name w:val="Body Text POWERACT"/>
    <w:qFormat/>
    <w:pPr>
      <w:widowControl/>
      <w:bidi w:val="0"/>
      <w:spacing w:lineRule="exact" w:line="276" w:before="0" w:after="160"/>
      <w:jc w:val="both"/>
    </w:pPr>
    <w:rPr>
      <w:rFonts w:ascii="Times New Roman" w:hAnsi="Times New Roman" w:eastAsia="Times New Roman" w:cs="Times New Roman"/>
      <w:color w:val="58595B"/>
      <w:kern w:val="0"/>
      <w:sz w:val="24"/>
      <w:szCs w:val="24"/>
      <w:lang w:val="en-US" w:eastAsia="zh-CN" w:bidi="hi-IN"/>
    </w:rPr>
  </w:style>
  <w:style w:type="paragraph" w:styleId="ListBodyPOWERACT">
    <w:name w:val="List Body POWERACT"/>
    <w:qFormat/>
    <w:pPr>
      <w:widowControl/>
      <w:bidi w:val="0"/>
      <w:spacing w:lineRule="exact" w:line="276" w:before="0" w:after="100"/>
      <w:jc w:val="both"/>
    </w:pPr>
    <w:rPr>
      <w:rFonts w:ascii="Times New Roman" w:hAnsi="Times New Roman" w:eastAsia="Times New Roman" w:cs="Times New Roman"/>
      <w:color w:val="58595B"/>
      <w:kern w:val="0"/>
      <w:sz w:val="24"/>
      <w:szCs w:val="24"/>
      <w:lang w:val="en-US" w:eastAsia="zh-CN" w:bidi="hi-IN"/>
    </w:rPr>
  </w:style>
  <w:style w:type="paragraph" w:styleId="MPGoal">
    <w:name w:val="MP Goal"/>
    <w:qFormat/>
    <w:pPr>
      <w:keepNext w:val="true"/>
      <w:widowControl/>
      <w:bidi w:val="0"/>
      <w:spacing w:lineRule="exact" w:line="260" w:before="0" w:after="80"/>
      <w:ind w:left="140"/>
      <w:jc w:val="left"/>
    </w:pPr>
    <w:rPr>
      <w:rFonts w:ascii="Times New Roman" w:hAnsi="Times New Roman" w:eastAsia="Times New Roman" w:cs="Times New Roman"/>
      <w:color w:val="58595B"/>
      <w:kern w:val="0"/>
      <w:sz w:val="21"/>
      <w:szCs w:val="21"/>
      <w:lang w:val="en-US" w:eastAsia="zh-CN" w:bidi="hi-IN"/>
    </w:rPr>
  </w:style>
  <w:style w:type="paragraph" w:styleId="CalloutPOWERACT">
    <w:name w:val="Callout POWERACT"/>
    <w:qFormat/>
    <w:pPr>
      <w:widowControl/>
      <w:pBdr>
        <w:left w:val="single" w:sz="24" w:space="8" w:color="F8931D"/>
      </w:pBdr>
      <w:shd w:val="clear" w:color="auto" w:fill="FDEEDA"/>
      <w:bidi w:val="0"/>
      <w:spacing w:lineRule="exact" w:line="276" w:before="120" w:after="200"/>
      <w:ind w:left="200" w:right="200"/>
      <w:jc w:val="left"/>
    </w:pPr>
    <w:rPr>
      <w:rFonts w:ascii="Times New Roman" w:hAnsi="Times New Roman" w:eastAsia="Times New Roman" w:cs="Times New Roman"/>
      <w:color w:val="3A3A3C"/>
      <w:kern w:val="0"/>
      <w:sz w:val="23"/>
      <w:szCs w:val="23"/>
      <w:lang w:val="en-US" w:eastAsia="zh-CN" w:bidi="hi-IN"/>
    </w:rPr>
  </w:style>
  <w:style w:type="paragraph" w:styleId="NotePOWERACT">
    <w:name w:val="Note POWERACT"/>
    <w:qFormat/>
    <w:pPr>
      <w:widowControl/>
      <w:pBdr>
        <w:left w:val="single" w:sz="18" w:space="8" w:color="58595B"/>
      </w:pBdr>
      <w:shd w:val="clear" w:color="auto" w:fill="F2F2F3"/>
      <w:bidi w:val="0"/>
      <w:spacing w:lineRule="exact" w:line="260" w:before="80" w:after="200"/>
      <w:ind w:left="200" w:right="200"/>
      <w:jc w:val="left"/>
    </w:pPr>
    <w:rPr>
      <w:rFonts w:ascii="Times New Roman" w:hAnsi="Times New Roman" w:eastAsia="Times New Roman" w:cs="Times New Roman"/>
      <w:color w:val="58595B"/>
      <w:kern w:val="0"/>
      <w:sz w:val="20"/>
      <w:szCs w:val="20"/>
      <w:lang w:val="en-US" w:eastAsia="zh-CN" w:bidi="hi-IN"/>
    </w:rPr>
  </w:style>
  <w:style w:type="paragraph" w:styleId="CaptionPOWERACT">
    <w:name w:val="Caption POWERACT"/>
    <w:qFormat/>
    <w:pPr>
      <w:widowControl/>
      <w:bidi w:val="0"/>
      <w:spacing w:before="0" w:after="200"/>
      <w:jc w:val="left"/>
    </w:pPr>
    <w:rPr>
      <w:rFonts w:ascii="Times New Roman" w:hAnsi="Times New Roman" w:eastAsia="Times New Roman" w:cs="Times New Roman"/>
      <w:i/>
      <w:iCs/>
      <w:color w:val="58595B"/>
      <w:kern w:val="0"/>
      <w:sz w:val="19"/>
      <w:szCs w:val="19"/>
      <w:lang w:val="en-US" w:eastAsia="zh-CN" w:bidi="hi-IN"/>
    </w:rPr>
  </w:style>
  <w:style w:type="paragraph" w:styleId="FooterPOWERACT">
    <w:name w:val="Footer POWERACT"/>
    <w:qFormat/>
    <w:pPr>
      <w:widowControl/>
      <w:bidi w:val="0"/>
      <w:spacing w:before="0" w:after="0"/>
      <w:jc w:val="left"/>
    </w:pPr>
    <w:rPr>
      <w:rFonts w:ascii="Times New Roman" w:hAnsi="Times New Roman" w:eastAsia="Times New Roman" w:cs="Times New Roman"/>
      <w:color w:val="808184"/>
      <w:kern w:val="0"/>
      <w:sz w:val="16"/>
      <w:szCs w:val="16"/>
      <w:lang w:val="en-US" w:eastAsia="zh-CN" w:bidi="hi-IN"/>
    </w:rPr>
  </w:style>
  <w:style w:type="paragraph" w:styleId="TOC1">
    <w:name w:val="TOC 1"/>
    <w:basedOn w:val="Index"/>
    <w:pPr>
      <w:tabs>
        <w:tab w:val="clear" w:pos="720"/>
        <w:tab w:val="right" w:pos="9746" w:leader="dot"/>
      </w:tabs>
      <w:spacing w:before="160" w:after="40"/>
    </w:pPr>
    <w:rPr>
      <w:rFonts w:ascii="Times New Roman" w:hAnsi="Times New Roman" w:eastAsia="Times New Roman" w:cs="Times New Roman"/>
      <w:b/>
      <w:bCs/>
      <w:color w:val="3A3A3C"/>
      <w:sz w:val="23"/>
      <w:szCs w:val="23"/>
    </w:rPr>
  </w:style>
  <w:style w:type="paragraph" w:styleId="TOC2">
    <w:name w:val="TOC 2"/>
    <w:basedOn w:val="Index"/>
    <w:pPr>
      <w:tabs>
        <w:tab w:val="clear" w:pos="720"/>
        <w:tab w:val="right" w:pos="9746" w:leader="dot"/>
      </w:tabs>
      <w:spacing w:before="0" w:after="20"/>
      <w:ind w:left="300"/>
    </w:pPr>
    <w:rPr>
      <w:rFonts w:ascii="Times New Roman" w:hAnsi="Times New Roman" w:eastAsia="Times New Roman" w:cs="Times New Roman"/>
      <w:color w:val="58595B"/>
      <w:sz w:val="21"/>
      <w:szCs w:val="21"/>
    </w:rPr>
  </w:style>
  <w:style w:type="paragraph" w:styleId="TOC3">
    <w:name w:val="TOC 3"/>
    <w:basedOn w:val="Index"/>
    <w:pPr>
      <w:tabs>
        <w:tab w:val="clear" w:pos="720"/>
        <w:tab w:val="right" w:pos="9746" w:leader="dot"/>
      </w:tabs>
      <w:spacing w:before="0" w:after="0"/>
      <w:ind w:left="600"/>
    </w:pPr>
    <w:rPr>
      <w:rFonts w:ascii="Times New Roman" w:hAnsi="Times New Roman" w:eastAsia="Times New Roman" w:cs="Times New Roman"/>
      <w:color w:val="808184"/>
      <w:sz w:val="19"/>
      <w:szCs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31</Pages>
  <Words>6638</Words>
  <Characters>42351</Characters>
  <CharactersWithSpaces>47314</CharactersWithSpaces>
  <Paragraphs>1753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2026-09-28T10:55:52Z</dcterms:created>
  <dc:creator>POWERACT Consulting</dc:creator>
  <dc:description/>
  <dc:language>en-US</dc:language>
  <cp:lastModifiedBy/>
  <dcterms:modified xsi:type="dcterms:W3CDTF">2026-10-16T06:10:42Z</dcterms:modified>
  <cp:revision>2</cp:revision>
  <dc:subject/>
  <dc:title>DynamicMS Packs, Integrations &amp; Add-Ons Catalog — v1.1</dc:title>
</cp:coreProperties>
</file>