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i w:val="0"/>
          <w:color w:val="1F4B45"/>
          <w:sz w:val="60"/>
        </w:rPr>
        <w:t xml:space="preserve">journi</w:t>
      </w:r>
    </w:p>
    <w:p>
      <w:pPr>
        <w:pStyle w:val="BodyText"/>
        <w:jc w:val="center"/>
      </w:pPr>
      <w:r>
        <w:rPr>
          <w:bCs/>
          <w:b w:val="0"/>
          <w:i w:val="0"/>
          <w:color w:val="333333"/>
          <w:sz w:val="30"/>
        </w:rPr>
        <w:t xml:space="preserve">The Complete User Guide</w:t>
      </w:r>
    </w:p>
    <w:p>
      <w:pPr>
        <w:pStyle w:val="BodyText"/>
        <w:jc w:val="center"/>
      </w:pPr>
      <w:r>
        <w:rPr>
          <w:iCs/>
          <w:b w:val="0"/>
          <w:i/>
          <w:color w:val="333333"/>
          <w:sz w:val="23"/>
        </w:rPr>
        <w:t xml:space="preserve">Tenant Setup · All 20 Modules · All 16 End-to-End Processes · A Change Management Scenario Library</w:t>
      </w:r>
    </w:p>
    <w:p>
      <w:pPr>
        <w:pStyle w:val="BodyText"/>
        <w:jc w:val="center"/>
      </w:pPr>
      <w:r>
        <w:rPr>
          <w:iCs/>
          <w:b w:val="0"/>
          <w:i/>
          <w:color w:val="333333"/>
          <w:sz w:val="23"/>
        </w:rPr>
        <w:t xml:space="preserve">A Single Running Organization, Followed From Tenant Creation to Sustainment</w:t>
      </w:r>
    </w:p>
    <w:p>
      <w:pPr>
        <w:pStyle w:val="BodyText"/>
        <w:jc w:val="center"/>
      </w:pPr>
      <w:r>
        <w:rPr>
          <w:b w:val="0"/>
          <w:i w:val="0"/>
          <w:color w:val="333333"/>
          <w:sz w:val="22"/>
        </w:rPr>
        <w:t xml:space="preserve">Version 1.0 (Draft — Part 1 of 5) · August 2026 · Confidential</w:t>
      </w:r>
    </w:p>
    <w:p>
      <w:r>
        <w:pict>
          <v:rect style="width:0;height:1.5pt" o:hralign="center" o:hrstd="t" o:hr="t"/>
        </w:pict>
      </w:r>
    </w:p>
    <w:bookmarkStart w:id="20" w:name="table-of-contents"/>
    <w:p>
      <w:pPr>
        <w:pStyle w:val="Heading2"/>
      </w:pPr>
      <w:r>
        <w:rPr>
          <w:b/>
          <w:color w:val="275650"/>
        </w:rPr>
        <w:t xml:space="preserve">Table of Contents</w:t>
      </w:r>
    </w:p>
    <w:p>
      <w:pPr>
        <w:numPr>
          <w:ilvl w:val="0"/>
          <w:numId w:val="1001"/>
        </w:numPr>
        <w:pStyle w:val="Compact"/>
      </w:pPr>
      <w:hyperlink w:anchor="part-0">
        <w:r>
          <w:rPr>
            <w:rStyle w:val="Hyperlink"/>
          </w:rPr>
          <w:t xml:space="preserve">Part 0 — Purpose and How to Use This Guide</w:t>
        </w:r>
      </w:hyperlink>
    </w:p>
    <w:p>
      <w:pPr>
        <w:numPr>
          <w:ilvl w:val="0"/>
          <w:numId w:val="1001"/>
        </w:numPr>
        <w:pStyle w:val="Compact"/>
      </w:pPr>
      <w:hyperlink w:anchor="part-1">
        <w:r>
          <w:rPr>
            <w:rStyle w:val="Hyperlink"/>
          </w:rPr>
          <w:t xml:space="preserve">Part 1 — Tenant and Admin Setup</w:t>
        </w:r>
      </w:hyperlink>
    </w:p>
    <w:p>
      <w:pPr>
        <w:numPr>
          <w:ilvl w:val="1"/>
          <w:numId w:val="1002"/>
        </w:numPr>
        <w:pStyle w:val="Compact"/>
      </w:pPr>
      <w:hyperlink w:anchor="p1-1">
        <w:r>
          <w:rPr>
            <w:rStyle w:val="Hyperlink"/>
          </w:rPr>
          <w:t xml:space="preserve">1.1 journi’s Tenant Model</w:t>
        </w:r>
      </w:hyperlink>
    </w:p>
    <w:p>
      <w:pPr>
        <w:numPr>
          <w:ilvl w:val="1"/>
          <w:numId w:val="1002"/>
        </w:numPr>
        <w:pStyle w:val="Compact"/>
      </w:pPr>
      <w:hyperlink w:anchor="p1-2">
        <w:r>
          <w:rPr>
            <w:rStyle w:val="Hyperlink"/>
          </w:rPr>
          <w:t xml:space="preserve">1.2 The Scenario Organization: Veyra Group</w:t>
        </w:r>
      </w:hyperlink>
    </w:p>
    <w:p>
      <w:pPr>
        <w:numPr>
          <w:ilvl w:val="1"/>
          <w:numId w:val="1002"/>
        </w:numPr>
        <w:pStyle w:val="Compact"/>
      </w:pPr>
      <w:hyperlink w:anchor="p1-3">
        <w:r>
          <w:rPr>
            <w:rStyle w:val="Hyperlink"/>
          </w:rPr>
          <w:t xml:space="preserve">1.3 Step 1 — First Access and the License Record (M2)</w:t>
        </w:r>
      </w:hyperlink>
    </w:p>
    <w:p>
      <w:pPr>
        <w:numPr>
          <w:ilvl w:val="1"/>
          <w:numId w:val="1002"/>
        </w:numPr>
        <w:pStyle w:val="Compact"/>
      </w:pPr>
      <w:hyperlink w:anchor="p1-4">
        <w:r>
          <w:rPr>
            <w:rStyle w:val="Hyperlink"/>
          </w:rPr>
          <w:t xml:space="preserve">1.4 Step 2 — Building the Group / Organization Hierarchy (M1)</w:t>
        </w:r>
      </w:hyperlink>
    </w:p>
    <w:p>
      <w:pPr>
        <w:numPr>
          <w:ilvl w:val="1"/>
          <w:numId w:val="1002"/>
        </w:numPr>
        <w:pStyle w:val="Compact"/>
      </w:pPr>
      <w:hyperlink w:anchor="p1-5">
        <w:r>
          <w:rPr>
            <w:rStyle w:val="Hyperlink"/>
          </w:rPr>
          <w:t xml:space="preserve">1.5 Step 3 — Creating User Accounts and Scopes (M2)</w:t>
        </w:r>
      </w:hyperlink>
    </w:p>
    <w:p>
      <w:pPr>
        <w:numPr>
          <w:ilvl w:val="1"/>
          <w:numId w:val="1002"/>
        </w:numPr>
        <w:pStyle w:val="Compact"/>
      </w:pPr>
      <w:hyperlink w:anchor="p1-6">
        <w:r>
          <w:rPr>
            <w:rStyle w:val="Hyperlink"/>
          </w:rPr>
          <w:t xml:space="preserve">1.6 Step 4 — The Permission Matrix (M2)</w:t>
        </w:r>
      </w:hyperlink>
    </w:p>
    <w:p>
      <w:pPr>
        <w:numPr>
          <w:ilvl w:val="1"/>
          <w:numId w:val="1002"/>
        </w:numPr>
        <w:pStyle w:val="Compact"/>
      </w:pPr>
      <w:hyperlink w:anchor="p1-7">
        <w:r>
          <w:rPr>
            <w:rStyle w:val="Hyperlink"/>
          </w:rPr>
          <w:t xml:space="preserve">1.7 Step 5 — Governance Settings (M2)</w:t>
        </w:r>
      </w:hyperlink>
    </w:p>
    <w:p>
      <w:pPr>
        <w:numPr>
          <w:ilvl w:val="1"/>
          <w:numId w:val="1002"/>
        </w:numPr>
        <w:pStyle w:val="Compact"/>
      </w:pPr>
      <w:hyperlink w:anchor="p1-8">
        <w:r>
          <w:rPr>
            <w:rStyle w:val="Hyperlink"/>
          </w:rPr>
          <w:t xml:space="preserve">1.8 Step 6 — Creating the First Main Project and CM Project (M1)</w:t>
        </w:r>
      </w:hyperlink>
    </w:p>
    <w:p>
      <w:pPr>
        <w:numPr>
          <w:ilvl w:val="1"/>
          <w:numId w:val="1002"/>
        </w:numPr>
        <w:pStyle w:val="Compact"/>
      </w:pPr>
      <w:hyperlink w:anchor="p1-9">
        <w:r>
          <w:rPr>
            <w:rStyle w:val="Hyperlink"/>
          </w:rPr>
          <w:t xml:space="preserve">1.9 Tenant Setup Checklist</w:t>
        </w:r>
      </w:hyperlink>
    </w:p>
    <w:p>
      <w:pPr>
        <w:numPr>
          <w:ilvl w:val="0"/>
          <w:numId w:val="1001"/>
        </w:numPr>
        <w:pStyle w:val="Compact"/>
      </w:pPr>
      <w:r>
        <w:rPr>
          <w:iCs/>
          <w:i/>
        </w:rPr>
        <w:t xml:space="preserve">Part 2 — Module-by-Module Feature Tour (all 20 modules) — in progress, next installment</w:t>
      </w:r>
    </w:p>
    <w:p>
      <w:pPr>
        <w:numPr>
          <w:ilvl w:val="0"/>
          <w:numId w:val="1001"/>
        </w:numPr>
        <w:pStyle w:val="Compact"/>
      </w:pPr>
      <w:r>
        <w:rPr>
          <w:iCs/>
          <w:i/>
        </w:rPr>
        <w:t xml:space="preserve">Part 3 — All 16 End-to-End Process Walkthroughs — planned</w:t>
      </w:r>
    </w:p>
    <w:p>
      <w:pPr>
        <w:numPr>
          <w:ilvl w:val="0"/>
          <w:numId w:val="1001"/>
        </w:numPr>
        <w:pStyle w:val="Compact"/>
      </w:pPr>
      <w:r>
        <w:rPr>
          <w:iCs/>
          <w:i/>
        </w:rPr>
        <w:t xml:space="preserve">Part 4 — Change Management Scenario Library — planned</w:t>
      </w:r>
    </w:p>
    <w:p>
      <w:pPr>
        <w:numPr>
          <w:ilvl w:val="0"/>
          <w:numId w:val="1001"/>
        </w:numPr>
        <w:pStyle w:val="Compact"/>
      </w:pPr>
      <w:r>
        <w:rPr>
          <w:iCs/>
          <w:i/>
        </w:rPr>
        <w:t xml:space="preserve">Part 5 — Alerts and Analytics Reference — planned</w:t>
      </w:r>
    </w:p>
    <w:p>
      <w:r>
        <w:pict>
          <v:rect style="width:0;height:1.5pt" o:hralign="center" o:hrstd="t" o:hr="t"/>
        </w:pict>
      </w:r>
    </w:p>
    <w:p>
      <w:pPr>
        <w:pStyle w:val="FirstParagraph"/>
      </w:pPr>
    </w:p>
    <w:bookmarkEnd w:id="20"/>
    <w:bookmarkStart w:id="24" w:name="part-0-purpose-and-how-to-use-this-guide"/>
    <w:p>
      <w:pPr>
        <w:pStyle w:val="Heading2"/>
      </w:pPr>
      <w:r>
        <w:rPr>
          <w:b/>
          <w:color w:val="275650"/>
        </w:rPr>
        <w:t xml:space="preserve">Part 0 — Purpose and How to Use This Guide</w:t>
      </w:r>
    </w:p>
    <w:bookmarkStart w:id="21" w:name="what-this-guide-is"/>
    <w:p>
      <w:pPr>
        <w:pStyle w:val="Heading3"/>
      </w:pPr>
      <w:r>
        <w:rPr>
          <w:b/>
          <w:color w:val="3F827B"/>
        </w:rPr>
        <w:t xml:space="preserve">What this guide is</w:t>
      </w:r>
    </w:p>
    <w:p>
      <w:pPr>
        <w:pStyle w:val="FirstParagraph"/>
      </w:pPr>
      <w:r>
        <w:t xml:space="preserve">This is journi’s single comprehensive reference: one guide that starts at a genuinely empty tenant, walks through every one of journi’s 20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pPr>
      <w:r>
        <w:t xml:space="preserve">It is organized in five parts, delivered as staged installments given its size:</w:t>
      </w:r>
    </w:p>
    <w:p>
      <w:pPr>
        <w:numPr>
          <w:ilvl w:val="0"/>
          <w:numId w:val="1003"/>
        </w:numPr>
        <w:pStyle w:val="Compact"/>
      </w:pPr>
      <w:r>
        <w:rPr>
          <w:bCs/>
          <w:b/>
        </w:rPr>
        <w:t xml:space="preserve">Part 1 (this installment) — Tenant and Admin Setup.</w:t>
      </w:r>
      <w:r>
        <w:t xml:space="preserve"> </w:t>
      </w:r>
      <w:r>
        <w:t xml:space="preserve">How a brand-new journi tenant is actually built, from the License record through the first Change Management Project, using a new scenario organization created for this guide:</w:t>
      </w:r>
      <w:r>
        <w:t xml:space="preserve"> </w:t>
      </w:r>
      <w:r>
        <w:rPr>
          <w:bCs/>
          <w:b/>
        </w:rPr>
        <w:t xml:space="preserve">Veyra Group</w:t>
      </w:r>
      <w:r>
        <w:t xml:space="preserve">.</w:t>
      </w:r>
    </w:p>
    <w:p>
      <w:pPr>
        <w:numPr>
          <w:ilvl w:val="0"/>
          <w:numId w:val="1003"/>
        </w:numPr>
        <w:pStyle w:val="Compact"/>
      </w:pPr>
      <w:r>
        <w:rPr>
          <w:bCs/>
          <w:b/>
        </w:rPr>
        <w:t xml:space="preserve">Part 2 — Module-by-Module Feature Tour.</w:t>
      </w:r>
      <w:r>
        <w:t xml:space="preserve"> </w:t>
      </w:r>
      <w:r>
        <w:t xml:space="preserve">All 20 modules, each demonstrated against Veyra Group’s real, growing data set, with CRUD and RBAC behavior called out per role.</w:t>
      </w:r>
    </w:p>
    <w:p>
      <w:pPr>
        <w:numPr>
          <w:ilvl w:val="0"/>
          <w:numId w:val="1003"/>
        </w:numPr>
        <w:pStyle w:val="Compact"/>
      </w:pPr>
      <w:r>
        <w:rPr>
          <w:bCs/>
          <w:b/>
        </w:rPr>
        <w:t xml:space="preserve">Part 3 — All 16 End-to-End Process Walkthroughs.</w:t>
      </w:r>
      <w:r>
        <w:t xml:space="preserve"> </w:t>
      </w:r>
      <w:r>
        <w:t xml:space="preserve">Every process in the End-to-End Process Catalogue — the 4 core Change Management chains, the 4 cross-cutting loops, and the 8 transformation-type lifecycles — each walked through step by step against Veyra Group’s data.</w:t>
      </w:r>
    </w:p>
    <w:p>
      <w:pPr>
        <w:numPr>
          <w:ilvl w:val="0"/>
          <w:numId w:val="1003"/>
        </w:numPr>
        <w:pStyle w:val="Compact"/>
      </w:pPr>
      <w:r>
        <w:rPr>
          <w:bCs/>
          <w:b/>
        </w:rPr>
        <w:t xml:space="preserve">Part 4 — Change Management Scenario Library.</w:t>
      </w:r>
      <w:r>
        <w:t xml:space="preserve"> </w:t>
      </w:r>
      <w:r>
        <w:t xml:space="preserve">Several distinct Change Management Projects under the same tenant, each a different archetype (technology, structural, cultural, compliance) and a different readiness pattern, so the guide shows more than one way a program can actually unfold.</w:t>
      </w:r>
    </w:p>
    <w:p>
      <w:pPr>
        <w:numPr>
          <w:ilvl w:val="0"/>
          <w:numId w:val="1003"/>
        </w:numPr>
        <w:pStyle w:val="Compact"/>
      </w:pPr>
      <w:r>
        <w:rPr>
          <w:bCs/>
          <w:b/>
        </w:rPr>
        <w:t xml:space="preserve">Part 5 — Alerts and Analytics Reference.</w:t>
      </w:r>
      <w:r>
        <w:t xml:space="preserve"> </w:t>
      </w:r>
      <w:r>
        <w:t xml:space="preserve">All of journi’s live-computed alerts and dashboards, what triggers each, and where to find them.</w:t>
      </w:r>
    </w:p>
    <w:bookmarkEnd w:id="21"/>
    <w:bookmarkStart w:id="22" w:name="how-to-use-it"/>
    <w:p>
      <w:pPr>
        <w:pStyle w:val="Heading3"/>
      </w:pPr>
      <w:r>
        <w:rPr>
          <w:b/>
          <w:color w:val="3F827B"/>
        </w:rPr>
        <w:t xml:space="preserve">How to use it</w:t>
      </w:r>
    </w:p>
    <w:p>
      <w:pPr>
        <w:pStyle w:val="FirstParagraph"/>
      </w:pPr>
      <w:r>
        <w:t xml:space="preserve">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p>
    <w:bookmarkEnd w:id="22"/>
    <w:bookmarkStart w:id="23" w:name="a-note-on-fidelity"/>
    <w:p>
      <w:pPr>
        <w:pStyle w:val="Heading3"/>
      </w:pPr>
      <w:r>
        <w:rPr>
          <w:b/>
          <w:color w:val="3F827B"/>
        </w:rPr>
        <w:t xml:space="preserve">A note on fidelity</w:t>
      </w:r>
    </w:p>
    <w:p>
      <w:pPr>
        <w:pStyle w:val="FirstParagraph"/>
      </w:pPr>
      <w:r>
        <w:t xml:space="preserve">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p>
    <w:p>
      <w:r>
        <w:pict>
          <v:rect style="width:0;height:1.5pt" o:hralign="center" o:hrstd="t" o:hr="t"/>
        </w:pict>
      </w:r>
    </w:p>
    <w:p>
      <w:pPr>
        <w:pStyle w:val="FirstParagraph"/>
      </w:pPr>
    </w:p>
    <w:bookmarkEnd w:id="23"/>
    <w:bookmarkEnd w:id="24"/>
    <w:bookmarkStart w:id="34" w:name="part-1-tenant-and-admin-setup"/>
    <w:p>
      <w:pPr>
        <w:pStyle w:val="Heading2"/>
      </w:pPr>
      <w:r>
        <w:rPr>
          <w:b/>
          <w:color w:val="275650"/>
        </w:rPr>
        <w:t xml:space="preserve">Part 1 — Tenant and Admin Setup</w:t>
      </w:r>
    </w:p>
    <w:p>
      <w:pPr>
        <w:pStyle w:val="FirstParagraph"/>
      </w:pPr>
    </w:p>
    <w:bookmarkStart w:id="25" w:name="journis-tenant-model"/>
    <w:p>
      <w:pPr>
        <w:pStyle w:val="Heading3"/>
      </w:pPr>
      <w:r>
        <w:rPr>
          <w:b/>
          <w:color w:val="3F827B"/>
        </w:rPr>
        <w:t xml:space="preserve">1.1 journi’s Tenant Model</w:t>
      </w:r>
    </w:p>
    <w:p>
      <w:pPr>
        <w:pStyle w:val="FirstParagraph"/>
      </w:pPr>
      <w:r>
        <w:t xml:space="preserve">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rPr>
        <w:t xml:space="preserve">journi.state.v1</w:t>
      </w:r>
      <w:r>
        <w:t xml:space="preserve">) and, in a real deployment, in that tenant’s own database. There is no in-app</w:t>
      </w:r>
      <w:r>
        <w:t xml:space="preserve"> </w:t>
      </w:r>
      <w:r>
        <w:t xml:space="preserve">“</w:t>
      </w:r>
      <w:r>
        <w:t xml:space="preserve">switch tenant</w:t>
      </w:r>
      <w:r>
        <w:t xml:space="preserve">”</w:t>
      </w:r>
      <w:r>
        <w:t xml:space="preserve"> </w:t>
      </w:r>
      <w:r>
        <w:t xml:space="preserve">control, because there is nothing to switch between: one journi deployment is one tenant, in the same way one browser profile is one tenant in this demo build.</w:t>
      </w:r>
    </w:p>
    <w:p>
      <w:pPr>
        <w:pStyle w:val="BodyText"/>
      </w:pPr>
      <w:r>
        <w:t xml:space="preserve">Two consequences follow directly from this model, and this guide states them plainly rather than gloss over them:</w:t>
      </w:r>
    </w:p>
    <w:p>
      <w:pPr>
        <w:numPr>
          <w:ilvl w:val="0"/>
          <w:numId w:val="1004"/>
        </w:numPr>
        <w:pStyle w:val="Compact"/>
      </w:pPr>
      <w:r>
        <w:rPr>
          <w:bCs/>
          <w:b/>
        </w:rPr>
        <w:t xml:space="preserve">Creating a new tenant means starting from a blank deployment</w:t>
      </w:r>
      <w:r>
        <w:t xml:space="preserve">, not filling out a</w:t>
      </w:r>
      <w:r>
        <w:t xml:space="preserve"> </w:t>
      </w:r>
      <w:r>
        <w:t xml:space="preserve">“</w:t>
      </w:r>
      <w:r>
        <w:t xml:space="preserve">New Tenant</w:t>
      </w:r>
      <w:r>
        <w:t xml:space="preserve">”</w:t>
      </w:r>
      <w:r>
        <w:t xml:space="preserve"> </w:t>
      </w:r>
      <w:r>
        <w:t xml:space="preserve">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w:t>
      </w:r>
      <w:r>
        <w:t xml:space="preserve"> </w:t>
      </w:r>
      <w:r>
        <w:rPr>
          <w:iCs/>
          <w:i/>
        </w:rPr>
        <w:t xml:space="preserve">steps</w:t>
      </w:r>
      <w:r>
        <w:t xml:space="preserve"> </w:t>
      </w:r>
      <w:r>
        <w:t xml:space="preserve">a Super Admin then takes are identical, and those steps are what this Part walks through.</w:t>
      </w:r>
    </w:p>
    <w:p>
      <w:pPr>
        <w:numPr>
          <w:ilvl w:val="0"/>
          <w:numId w:val="1004"/>
        </w:numPr>
        <w:pStyle w:val="Compact"/>
      </w:pPr>
      <w:r>
        <w:rPr>
          <w:bCs/>
          <w:b/>
        </w:rPr>
        <w:t xml:space="preserve">A tenant can hold more than one Organization.</w:t>
      </w:r>
      <w:r>
        <w:t xml:space="preserve"> </w:t>
      </w:r>
      <w:r>
        <w:t xml:space="preserve">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pPr>
    </w:p>
    <w:bookmarkEnd w:id="25"/>
    <w:bookmarkStart w:id="26" w:name="the-scenario-organization-veyra-group"/>
    <w:p>
      <w:pPr>
        <w:pStyle w:val="Heading3"/>
      </w:pPr>
      <w:r>
        <w:rPr>
          <w:b/>
          <w:color w:val="3F827B"/>
        </w:rPr>
        <w:t xml:space="preserve">1.2 The Scenario Organization: Veyra Group</w:t>
      </w:r>
    </w:p>
    <w:p>
      <w:pPr>
        <w:pStyle w:val="FirstParagraph"/>
      </w:pPr>
      <w:r>
        <w:t xml:space="preserve">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type="pct" w:w="5000"/>
        <w:tblLook w:firstRow="1" w:lastRow="0" w:firstColumn="0" w:lastColumn="0" w:noHBand="0" w:noVBand="0" w:val="0020"/>
        <w:jc w:val="start"/>
      </w:tblPr>
      <w:tblGrid>
        <w:gridCol w:w="3960"/>
        <w:gridCol w:w="3960"/>
      </w:tblGrid>
      <w:tr>
        <w:trPr>
          <w:tblHeader w:val="true"/>
        </w:trPr>
        <w:tc>
          <w:tcPr>
            <w:shd w:val="clear" w:fill="1F4B45"/>
          </w:tcPr>
          <w:p>
            <w:pPr>
              <w:pStyle w:val="Compact"/>
              <w:jc w:val="left"/>
            </w:pPr>
            <w:r>
              <w:rPr>
                <w:b/>
                <w:color w:val="FFFFFF"/>
              </w:rPr>
              <w:t xml:space="preserve">Element</w:t>
            </w:r>
          </w:p>
        </w:tc>
        <w:tc>
          <w:tcPr>
            <w:shd w:val="clear" w:fill="1F4B45"/>
          </w:tcPr>
          <w:p>
            <w:pPr>
              <w:pStyle w:val="Compact"/>
              <w:jc w:val="left"/>
            </w:pPr>
            <w:r>
              <w:rPr>
                <w:b/>
                <w:color w:val="FFFFFF"/>
              </w:rPr>
              <w:t xml:space="preserve">Value</w:t>
            </w:r>
          </w:p>
        </w:tc>
      </w:tr>
      <w:tr>
        <w:tc>
          <w:tcPr/>
          <w:p>
            <w:pPr>
              <w:pStyle w:val="Compact"/>
              <w:jc w:val="left"/>
            </w:pPr>
            <w:r>
              <w:t xml:space="preserve">Group</w:t>
            </w:r>
          </w:p>
        </w:tc>
        <w:tc>
          <w:tcPr/>
          <w:p>
            <w:pPr>
              <w:pStyle w:val="Compact"/>
              <w:jc w:val="left"/>
            </w:pPr>
            <w:r>
              <w:t xml:space="preserve">Veyra Group</w:t>
            </w:r>
          </w:p>
        </w:tc>
      </w:tr>
      <w:tr>
        <w:tc>
          <w:tcPr/>
          <w:p>
            <w:pPr>
              <w:pStyle w:val="Compact"/>
              <w:jc w:val="left"/>
            </w:pPr>
            <w:r>
              <w:t xml:space="preserve">Organization</w:t>
            </w:r>
          </w:p>
        </w:tc>
        <w:tc>
          <w:tcPr/>
          <w:p>
            <w:pPr>
              <w:pStyle w:val="Compact"/>
              <w:jc w:val="left"/>
            </w:pPr>
            <w:r>
              <w:t xml:space="preserve">Veyra Manufacturing Europe</w:t>
            </w:r>
          </w:p>
        </w:tc>
      </w:tr>
      <w:tr>
        <w:tc>
          <w:tcPr/>
          <w:p>
            <w:pPr>
              <w:pStyle w:val="Compact"/>
              <w:jc w:val="left"/>
            </w:pPr>
            <w:r>
              <w:t xml:space="preserve">Sector</w:t>
            </w:r>
          </w:p>
        </w:tc>
        <w:tc>
          <w:tcPr/>
          <w:p>
            <w:pPr>
              <w:pStyle w:val="Compact"/>
              <w:jc w:val="left"/>
            </w:pPr>
            <w:r>
              <w:t xml:space="preserve">Manufacturing (journi’s Organization sector is one of exactly three values: Manufacturing, Logistics, or Health — this guide uses Manufacturing)</w:t>
            </w:r>
          </w:p>
        </w:tc>
      </w:tr>
      <w:tr>
        <w:tc>
          <w:tcPr/>
          <w:p>
            <w:pPr>
              <w:pStyle w:val="Compact"/>
              <w:jc w:val="left"/>
            </w:pPr>
            <w:r>
              <w:t xml:space="preserve">Employees</w:t>
            </w:r>
          </w:p>
        </w:tc>
        <w:tc>
          <w:tcPr/>
          <w:p>
            <w:pPr>
              <w:pStyle w:val="Compact"/>
              <w:jc w:val="left"/>
            </w:pPr>
            <w:r>
              <w:t xml:space="preserve">3,200</w:t>
            </w:r>
          </w:p>
        </w:tc>
      </w:tr>
      <w:tr>
        <w:tc>
          <w:tcPr/>
          <w:p>
            <w:pPr>
              <w:pStyle w:val="Compact"/>
              <w:jc w:val="left"/>
            </w:pPr>
            <w:r>
              <w:t xml:space="preserve">Sites</w:t>
            </w:r>
          </w:p>
        </w:tc>
        <w:tc>
          <w:tcPr/>
          <w:p>
            <w:pPr>
              <w:pStyle w:val="Compact"/>
              <w:jc w:val="left"/>
            </w:pPr>
            <w:r>
              <w:t xml:space="preserve">Porto Plant; Valencia Plant; Lisbon HQ</w:t>
            </w:r>
          </w:p>
        </w:tc>
      </w:tr>
      <w:tr>
        <w:tc>
          <w:tcPr/>
          <w:p>
            <w:pPr>
              <w:pStyle w:val="Compact"/>
              <w:jc w:val="left"/>
            </w:pPr>
            <w:r>
              <w:t xml:space="preserve">Languages</w:t>
            </w:r>
          </w:p>
        </w:tc>
        <w:tc>
          <w:tcPr/>
          <w:p>
            <w:pPr>
              <w:pStyle w:val="Compact"/>
              <w:jc w:val="left"/>
            </w:pPr>
            <w:r>
              <w:t xml:space="preserve">English, French</w:t>
            </w:r>
          </w:p>
        </w:tc>
      </w:tr>
      <w:tr>
        <w:tc>
          <w:tcPr/>
          <w:p>
            <w:pPr>
              <w:pStyle w:val="Compact"/>
              <w:jc w:val="left"/>
            </w:pPr>
            <w:r>
              <w:t xml:space="preserve">Default language</w:t>
            </w:r>
          </w:p>
        </w:tc>
        <w:tc>
          <w:tcPr/>
          <w:p>
            <w:pPr>
              <w:pStyle w:val="Compact"/>
              <w:jc w:val="left"/>
            </w:pPr>
            <w:r>
              <w:t xml:space="preserve">English</w:t>
            </w:r>
          </w:p>
        </w:tc>
      </w:tr>
      <w:tr>
        <w:tc>
          <w:tcPr/>
          <w:p>
            <w:pPr>
              <w:pStyle w:val="Compact"/>
              <w:jc w:val="left"/>
            </w:pPr>
            <w:r>
              <w:t xml:space="preserve">License plan</w:t>
            </w:r>
          </w:p>
        </w:tc>
        <w:tc>
          <w:tcPr/>
          <w:p>
            <w:pPr>
              <w:pStyle w:val="Compact"/>
              <w:jc w:val="left"/>
            </w:pPr>
            <w:r>
              <w:t xml:space="preserve">Professional</w:t>
            </w:r>
          </w:p>
        </w:tc>
      </w:tr>
      <w:tr>
        <w:tc>
          <w:tcPr/>
          <w:p>
            <w:pPr>
              <w:pStyle w:val="Compact"/>
              <w:jc w:val="left"/>
            </w:pPr>
            <w:r>
              <w:t xml:space="preserve">License user cap</w:t>
            </w:r>
          </w:p>
        </w:tc>
        <w:tc>
          <w:tcPr/>
          <w:p>
            <w:pPr>
              <w:pStyle w:val="Compact"/>
              <w:jc w:val="left"/>
            </w:pPr>
            <w:r>
              <w:t xml:space="preserve">60</w:t>
            </w:r>
          </w:p>
        </w:tc>
      </w:tr>
    </w:tbl>
    <w:p>
      <w:pPr>
        <w:pStyle w:val="BodyText"/>
      </w:pPr>
      <w:r>
        <w:t xml:space="preserve">Veyra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pPr>
    </w:p>
    <w:bookmarkEnd w:id="26"/>
    <w:bookmarkStart w:id="27" w:name="X4ef9d59d8f039c310ee1c609126d15686708077"/>
    <w:p>
      <w:pPr>
        <w:pStyle w:val="Heading3"/>
      </w:pPr>
      <w:r>
        <w:rPr>
          <w:b/>
          <w:color w:val="3F827B"/>
        </w:rPr>
        <w:t xml:space="preserve">1.3 Step 1 — First Access and the License Record (M2)</w:t>
      </w:r>
    </w:p>
    <w:p>
      <w:pPr>
        <w:pStyle w:val="FirstParagraph"/>
      </w:pPr>
      <w:r>
        <w:t xml:space="preserve">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numPr>
          <w:ilvl w:val="0"/>
          <w:numId w:val="1005"/>
        </w:numPr>
        <w:pStyle w:val="Compact"/>
      </w:pPr>
      <w:r>
        <w:t xml:space="preserve">Sign in as Super Admin.</w:t>
      </w:r>
    </w:p>
    <w:p>
      <w:pPr>
        <w:numPr>
          <w:ilvl w:val="0"/>
          <w:numId w:val="1005"/>
        </w:numPr>
        <w:pStyle w:val="Compact"/>
      </w:pPr>
      <w:r>
        <w:t xml:space="preserve">Open</w:t>
      </w:r>
      <w:r>
        <w:t xml:space="preserve"> </w:t>
      </w:r>
      <w:r>
        <w:rPr>
          <w:bCs/>
          <w:b/>
        </w:rPr>
        <w:t xml:space="preserve">Module 2 — Users &amp; Roles</w:t>
      </w:r>
      <w:r>
        <w:t xml:space="preserve">, then the</w:t>
      </w:r>
      <w:r>
        <w:t xml:space="preserve"> </w:t>
      </w:r>
      <w:r>
        <w:rPr>
          <w:bCs/>
          <w:b/>
        </w:rPr>
        <w:t xml:space="preserve">License &amp; Plan</w:t>
      </w:r>
      <w:r>
        <w:t xml:space="preserve"> </w:t>
      </w:r>
      <w:r>
        <w:t xml:space="preserve">tab. Only a Super Admin can edit this tab; every other role sees it read-only.</w:t>
      </w:r>
    </w:p>
    <w:p>
      <w:pPr>
        <w:numPr>
          <w:ilvl w:val="0"/>
          <w:numId w:val="1005"/>
        </w:numPr>
        <w:pStyle w:val="Compact"/>
      </w:pPr>
      <w:r>
        <w:t xml:space="preserve">journi runs entirely client-side, so this tab reflects the license record a real deployment keeps:</w:t>
      </w:r>
      <w:r>
        <w:t xml:space="preserve"> </w:t>
      </w:r>
      <w:r>
        <w:rPr>
          <w:bCs/>
          <w:b/>
        </w:rPr>
        <w:t xml:space="preserve">SaaS mode</w:t>
      </w:r>
      <w:r>
        <w:t xml:space="preserve"> </w:t>
      </w:r>
      <w:r>
        <w:t xml:space="preserve">by default, or</w:t>
      </w:r>
      <w:r>
        <w:t xml:space="preserve"> </w:t>
      </w:r>
      <w:r>
        <w:rPr>
          <w:bCs/>
          <w:b/>
        </w:rPr>
        <w:t xml:space="preserve">OnPrem mode</w:t>
      </w:r>
      <w:r>
        <w:t xml:space="preserve"> </w:t>
      </w:r>
      <w:r>
        <w:t xml:space="preserve">once a signed</w:t>
      </w:r>
      <w:r>
        <w:t xml:space="preserve"> </w:t>
      </w:r>
      <w:r>
        <w:rPr>
          <w:rStyle w:val="VerbatimChar"/>
        </w:rPr>
        <w:t xml:space="preserve">.lic</w:t>
      </w:r>
      <w:r>
        <w:t xml:space="preserve"> </w:t>
      </w:r>
      <w:r>
        <w:t xml:space="preserve">file is uploaded. Leave the deployment in SaaS mode for this walkthrough.</w:t>
      </w:r>
    </w:p>
    <w:p>
      <w:pPr>
        <w:numPr>
          <w:ilvl w:val="0"/>
          <w:numId w:val="1005"/>
        </w:numPr>
        <w:pStyle w:val="Compact"/>
      </w:pPr>
      <w:r>
        <w:t xml:space="preserve">There is no inline edit form for the License fields — the panel is populated either by the platform default or by uploading a</w:t>
      </w:r>
      <w:r>
        <w:t xml:space="preserve"> </w:t>
      </w:r>
      <w:r>
        <w:rPr>
          <w:rStyle w:val="VerbatimChar"/>
        </w:rPr>
        <w:t xml:space="preserve">.lic</w:t>
      </w:r>
      <w:r>
        <w:t xml:space="preserve"> </w:t>
      </w:r>
      <w:r>
        <w:t xml:space="preserve">file (a JSON file carrying</w:t>
      </w:r>
      <w:r>
        <w:t xml:space="preserve"> </w:t>
      </w:r>
      <w:r>
        <w:rPr>
          <w:rStyle w:val="VerbatimChar"/>
        </w:rPr>
        <w:t xml:space="preserve">version</w:t>
      </w:r>
      <w:r>
        <w:t xml:space="preserve">,</w:t>
      </w:r>
      <w:r>
        <w:t xml:space="preserve"> </w:t>
      </w:r>
      <w:r>
        <w:rPr>
          <w:rStyle w:val="VerbatimChar"/>
        </w:rPr>
        <w:t xml:space="preserve">companyId</w:t>
      </w:r>
      <w:r>
        <w:t xml:space="preserve">,</w:t>
      </w:r>
      <w:r>
        <w:t xml:space="preserve"> </w:t>
      </w:r>
      <w:r>
        <w:rPr>
          <w:rStyle w:val="VerbatimChar"/>
        </w:rPr>
        <w:t xml:space="preserve">companyName</w:t>
      </w:r>
      <w:r>
        <w:t xml:space="preserve">,</w:t>
      </w:r>
      <w:r>
        <w:t xml:space="preserve"> </w:t>
      </w:r>
      <w:r>
        <w:rPr>
          <w:rStyle w:val="VerbatimChar"/>
        </w:rPr>
        <w:t xml:space="preserve">hardwareId</w:t>
      </w:r>
      <w:r>
        <w:t xml:space="preserve">,</w:t>
      </w:r>
      <w:r>
        <w:t xml:space="preserve"> </w:t>
      </w:r>
      <w:r>
        <w:rPr>
          <w:rStyle w:val="VerbatimChar"/>
        </w:rPr>
        <w:t xml:space="preserve">expiryDate</w:t>
      </w:r>
      <w:r>
        <w:t xml:space="preserve">,</w:t>
      </w:r>
      <w:r>
        <w:t xml:space="preserve"> </w:t>
      </w:r>
      <w:r>
        <w:rPr>
          <w:rStyle w:val="VerbatimChar"/>
        </w:rPr>
        <w:t xml:space="preserve">maxUsers</w:t>
      </w:r>
      <w:r>
        <w:t xml:space="preserve">,</w:t>
      </w:r>
      <w:r>
        <w:t xml:space="preserve"> </w:t>
      </w:r>
      <w:r>
        <w:rPr>
          <w:rStyle w:val="VerbatimChar"/>
        </w:rPr>
        <w:t xml:space="preserve">plan</w:t>
      </w:r>
      <w:r>
        <w:t xml:space="preserve">,</w:t>
      </w:r>
      <w:r>
        <w:t xml:space="preserve"> </w:t>
      </w:r>
      <w:r>
        <w:rPr>
          <w:rStyle w:val="VerbatimChar"/>
        </w:rPr>
        <w:t xml:space="preserve">features</w:t>
      </w:r>
      <w:r>
        <w:t xml:space="preserve">,</w:t>
      </w:r>
      <w:r>
        <w:t xml:space="preserve"> </w:t>
      </w:r>
      <w:r>
        <w:rPr>
          <w:rStyle w:val="VerbatimChar"/>
        </w:rPr>
        <w:t xml:space="preserve">issueDate</w:t>
      </w:r>
      <w:r>
        <w:t xml:space="preserve">, and</w:t>
      </w:r>
      <w:r>
        <w:t xml:space="preserve"> </w:t>
      </w:r>
      <w:r>
        <w:rPr>
          <w:rStyle w:val="VerbatimChar"/>
        </w:rPr>
        <w:t xml:space="preserve">signature</w:t>
      </w:r>
      <w:r>
        <w:t xml:space="preserve">). For Veyra Group, the Super Admin uploads a</w:t>
      </w:r>
      <w:r>
        <w:t xml:space="preserve"> </w:t>
      </w:r>
      <w:r>
        <w:rPr>
          <w:rStyle w:val="VerbatimChar"/>
        </w:rPr>
        <w:t xml:space="preserve">.lic</w:t>
      </w:r>
      <w:r>
        <w:t xml:space="preserve"> </w:t>
      </w:r>
      <w:r>
        <w:t xml:space="preserve">file with:</w:t>
      </w:r>
    </w:p>
    <w:p>
      <w:pPr>
        <w:numPr>
          <w:ilvl w:val="1"/>
          <w:numId w:val="1006"/>
        </w:numPr>
        <w:pStyle w:val="Compact"/>
      </w:pPr>
      <w:r>
        <w:rPr>
          <w:rStyle w:val="VerbatimChar"/>
        </w:rPr>
        <w:t xml:space="preserve">companyName</w:t>
      </w:r>
      <w:r>
        <w:t xml:space="preserve">:</w:t>
      </w:r>
      <w:r>
        <w:t xml:space="preserve"> </w:t>
      </w:r>
      <w:r>
        <w:t xml:space="preserve">“</w:t>
      </w:r>
      <w:r>
        <w:t xml:space="preserve">Veyra Group</w:t>
      </w:r>
      <w:r>
        <w:t xml:space="preserve">”</w:t>
      </w:r>
    </w:p>
    <w:p>
      <w:pPr>
        <w:numPr>
          <w:ilvl w:val="1"/>
          <w:numId w:val="1006"/>
        </w:numPr>
        <w:pStyle w:val="Compact"/>
      </w:pPr>
      <w:r>
        <w:rPr>
          <w:rStyle w:val="VerbatimChar"/>
        </w:rPr>
        <w:t xml:space="preserve">plan</w:t>
      </w:r>
      <w:r>
        <w:t xml:space="preserve">:</w:t>
      </w:r>
      <w:r>
        <w:t xml:space="preserve"> </w:t>
      </w:r>
      <w:r>
        <w:t xml:space="preserve">“</w:t>
      </w:r>
      <w:r>
        <w:t xml:space="preserve">professional</w:t>
      </w:r>
      <w:r>
        <w:t xml:space="preserve">”</w:t>
      </w:r>
    </w:p>
    <w:p>
      <w:pPr>
        <w:numPr>
          <w:ilvl w:val="1"/>
          <w:numId w:val="1006"/>
        </w:numPr>
        <w:pStyle w:val="Compact"/>
      </w:pPr>
      <w:r>
        <w:rPr>
          <w:rStyle w:val="VerbatimChar"/>
        </w:rPr>
        <w:t xml:space="preserve">maxUsers</w:t>
      </w:r>
      <w:r>
        <w:t xml:space="preserve">: 60</w:t>
      </w:r>
    </w:p>
    <w:p>
      <w:pPr>
        <w:numPr>
          <w:ilvl w:val="1"/>
          <w:numId w:val="1006"/>
        </w:numPr>
        <w:pStyle w:val="Compact"/>
      </w:pPr>
      <w:r>
        <w:rPr>
          <w:rStyle w:val="VerbatimChar"/>
        </w:rPr>
        <w:t xml:space="preserve">features</w:t>
      </w:r>
      <w:r>
        <w:t xml:space="preserve">: the feature flags Veyra Group’s contract enables (for example</w:t>
      </w:r>
      <w:r>
        <w:t xml:space="preserve"> </w:t>
      </w:r>
      <w:r>
        <w:rPr>
          <w:rStyle w:val="VerbatimChar"/>
        </w:rPr>
        <w:t xml:space="preserve">core_cm_modules</w:t>
      </w:r>
      <w:r>
        <w:t xml:space="preserve">,</w:t>
      </w:r>
      <w:r>
        <w:t xml:space="preserve"> </w:t>
      </w:r>
      <w:r>
        <w:rPr>
          <w:rStyle w:val="VerbatimChar"/>
        </w:rPr>
        <w:t xml:space="preserve">wbs_gantt</w:t>
      </w:r>
      <w:r>
        <w:t xml:space="preserve">,</w:t>
      </w:r>
      <w:r>
        <w:t xml:space="preserve"> </w:t>
      </w:r>
      <w:r>
        <w:rPr>
          <w:rStyle w:val="VerbatimChar"/>
        </w:rPr>
        <w:t xml:space="preserve">ai_use_case_library</w:t>
      </w:r>
      <w:r>
        <w:t xml:space="preserve">,</w:t>
      </w:r>
      <w:r>
        <w:t xml:space="preserve"> </w:t>
      </w:r>
      <w:r>
        <w:rPr>
          <w:rStyle w:val="VerbatimChar"/>
        </w:rPr>
        <w:t xml:space="preserve">process_registry_m18</w:t>
      </w:r>
      <w:r>
        <w:t xml:space="preserve">)</w:t>
      </w:r>
    </w:p>
    <w:p>
      <w:pPr>
        <w:numPr>
          <w:ilvl w:val="0"/>
          <w:numId w:val="1005"/>
        </w:numPr>
        <w:pStyle w:val="Compact"/>
      </w:pPr>
      <w:r>
        <w:t xml:space="preserve">journi checks that the required fields are present before accepting the file. It does</w:t>
      </w:r>
      <w:r>
        <w:t xml:space="preserve"> </w:t>
      </w:r>
      <w:r>
        <w:rPr>
          <w:bCs/>
          <w:b/>
        </w:rPr>
        <w:t xml:space="preserve">not</w:t>
      </w:r>
      <w:r>
        <w:t xml:space="preserve"> </w:t>
      </w:r>
      <w:r>
        <w:t xml:space="preserve">verify the cryptographic signature in this demo build — a production deployment would verify</w:t>
      </w:r>
      <w:r>
        <w:t xml:space="preserve"> </w:t>
      </w:r>
      <w:r>
        <w:rPr>
          <w:rStyle w:val="VerbatimChar"/>
        </w:rPr>
        <w:t xml:space="preserve">signature</w:t>
      </w:r>
      <w:r>
        <w:t xml:space="preserve"> </w:t>
      </w:r>
      <w:r>
        <w:t xml:space="preserve">against the issuer’s public key before accepting it. This is stated plainly here rather than implied to be more secure than it is.</w:t>
      </w:r>
    </w:p>
    <w:p>
      <w:pPr>
        <w:numPr>
          <w:ilvl w:val="0"/>
          <w:numId w:val="1005"/>
        </w:numPr>
        <w:pStyle w:val="Compact"/>
      </w:pPr>
      <w:r>
        <w:t xml:space="preserve">Once accepted, the License panel shows Veyra Group’s company name, plan badge, user count against the 60-seat cap, issue and expiry dates, and the feature-flag list — this is the tenant’s identity from this point forward.</w:t>
      </w:r>
    </w:p>
    <w:p>
      <w:pPr>
        <w:pStyle w:val="FirstParagraph"/>
      </w:pPr>
    </w:p>
    <w:bookmarkEnd w:id="27"/>
    <w:bookmarkStart w:id="28" w:name="Xd0460c171f3c5b5b04ecfac3c8336dbf214ee7f"/>
    <w:p>
      <w:pPr>
        <w:pStyle w:val="Heading3"/>
      </w:pPr>
      <w:r>
        <w:rPr>
          <w:b/>
          <w:color w:val="3F827B"/>
        </w:rPr>
        <w:t xml:space="preserve">1.4 Step 2 — Building the Group / Organization Hierarchy (M1)</w:t>
      </w:r>
    </w:p>
    <w:p>
      <w:pPr>
        <w:numPr>
          <w:ilvl w:val="0"/>
          <w:numId w:val="1007"/>
        </w:numPr>
        <w:pStyle w:val="Compact"/>
      </w:pPr>
      <w:r>
        <w:t xml:space="preserve">Open</w:t>
      </w:r>
      <w:r>
        <w:t xml:space="preserve"> </w:t>
      </w:r>
      <w:r>
        <w:rPr>
          <w:bCs/>
          <w:b/>
        </w:rPr>
        <w:t xml:space="preserve">Module 1 — Group / Organization / Projects</w:t>
      </w:r>
      <w:r>
        <w:t xml:space="preserve">.</w:t>
      </w:r>
    </w:p>
    <w:p>
      <w:pPr>
        <w:numPr>
          <w:ilvl w:val="0"/>
          <w:numId w:val="1007"/>
        </w:numPr>
        <w:pStyle w:val="Compact"/>
      </w:pPr>
      <w:r>
        <w:t xml:space="preserve">Click</w:t>
      </w:r>
      <w:r>
        <w:t xml:space="preserve"> </w:t>
      </w:r>
      <w:r>
        <w:rPr>
          <w:bCs/>
          <w:b/>
        </w:rPr>
        <w:t xml:space="preserve">+ Group</w:t>
      </w:r>
      <w:r>
        <w:t xml:space="preserve">, name it</w:t>
      </w:r>
      <w:r>
        <w:t xml:space="preserve"> </w:t>
      </w:r>
      <w:r>
        <w:t xml:space="preserve">“</w:t>
      </w:r>
      <w:r>
        <w:t xml:space="preserve">Veyra Group</w:t>
      </w:r>
      <w:r>
        <w:t xml:space="preserve">”</w:t>
      </w:r>
      <w:r>
        <w:t xml:space="preserve">, save.</w:t>
      </w:r>
    </w:p>
    <w:p>
      <w:pPr>
        <w:numPr>
          <w:ilvl w:val="0"/>
          <w:numId w:val="1007"/>
        </w:numPr>
        <w:pStyle w:val="Compact"/>
      </w:pPr>
      <w:r>
        <w:t xml:space="preserve">Click</w:t>
      </w:r>
      <w:r>
        <w:t xml:space="preserve"> </w:t>
      </w:r>
      <w:r>
        <w:rPr>
          <w:bCs/>
          <w:b/>
        </w:rPr>
        <w:t xml:space="preserve">+ Organization</w:t>
      </w:r>
      <w:r>
        <w:t xml:space="preserve">. Fill in:</w:t>
      </w:r>
    </w:p>
    <w:p>
      <w:pPr>
        <w:numPr>
          <w:ilvl w:val="1"/>
          <w:numId w:val="1008"/>
        </w:numPr>
        <w:pStyle w:val="Compact"/>
      </w:pPr>
      <w:r>
        <w:t xml:space="preserve">Name:</w:t>
      </w:r>
      <w:r>
        <w:t xml:space="preserve"> </w:t>
      </w:r>
      <w:r>
        <w:t xml:space="preserve">“</w:t>
      </w:r>
      <w:r>
        <w:t xml:space="preserve">Veyra Manufacturing Europe</w:t>
      </w:r>
      <w:r>
        <w:t xml:space="preserve">”</w:t>
      </w:r>
    </w:p>
    <w:p>
      <w:pPr>
        <w:numPr>
          <w:ilvl w:val="1"/>
          <w:numId w:val="1008"/>
        </w:numPr>
        <w:pStyle w:val="Compact"/>
      </w:pPr>
      <w:r>
        <w:t xml:space="preserve">Group: Veyra Group</w:t>
      </w:r>
    </w:p>
    <w:p>
      <w:pPr>
        <w:numPr>
          <w:ilvl w:val="1"/>
          <w:numId w:val="1008"/>
        </w:numPr>
        <w:pStyle w:val="Compact"/>
      </w:pPr>
      <w:r>
        <w:t xml:space="preserve">Type (sector): Manufacturing</w:t>
      </w:r>
    </w:p>
    <w:p>
      <w:pPr>
        <w:numPr>
          <w:ilvl w:val="1"/>
          <w:numId w:val="1008"/>
        </w:numPr>
        <w:pStyle w:val="Compact"/>
      </w:pPr>
      <w:r>
        <w:t xml:space="preserve">Employees: 3200</w:t>
      </w:r>
    </w:p>
    <w:p>
      <w:pPr>
        <w:numPr>
          <w:ilvl w:val="1"/>
          <w:numId w:val="1008"/>
        </w:numPr>
        <w:pStyle w:val="Compact"/>
      </w:pPr>
      <w:r>
        <w:t xml:space="preserve">Sites (comma-separated):</w:t>
      </w:r>
      <w:r>
        <w:t xml:space="preserve"> </w:t>
      </w:r>
      <w:r>
        <w:t xml:space="preserve">“</w:t>
      </w:r>
      <w:r>
        <w:t xml:space="preserve">Porto Plant, Valencia Plant, Lisbon HQ</w:t>
      </w:r>
      <w:r>
        <w:t xml:space="preserve">”</w:t>
      </w:r>
    </w:p>
    <w:p>
      <w:pPr>
        <w:numPr>
          <w:ilvl w:val="1"/>
          <w:numId w:val="1008"/>
        </w:numPr>
        <w:pStyle w:val="Compact"/>
      </w:pPr>
      <w:r>
        <w:t xml:space="preserve">Language(s):</w:t>
      </w:r>
      <w:r>
        <w:t xml:space="preserve"> </w:t>
      </w:r>
      <w:r>
        <w:t xml:space="preserve">“</w:t>
      </w:r>
      <w:r>
        <w:t xml:space="preserve">en, fr</w:t>
      </w:r>
      <w:r>
        <w:t xml:space="preserve">”</w:t>
      </w:r>
    </w:p>
    <w:p>
      <w:pPr>
        <w:numPr>
          <w:ilvl w:val="1"/>
          <w:numId w:val="1008"/>
        </w:numPr>
        <w:pStyle w:val="Compact"/>
      </w:pPr>
      <w:r>
        <w:t xml:space="preserve">Default language: English</w:t>
      </w:r>
    </w:p>
    <w:p>
      <w:pPr>
        <w:numPr>
          <w:ilvl w:val="0"/>
          <w:numId w:val="1007"/>
        </w:numPr>
        <w:pStyle w:val="Compact"/>
      </w:pPr>
      <w:r>
        <w:t xml:space="preserve">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pPr>
    </w:p>
    <w:bookmarkEnd w:id="28"/>
    <w:bookmarkStart w:id="29" w:name="Xeb1d9bd2cb34f0ffd6c6af41bad30fb01857eec"/>
    <w:p>
      <w:pPr>
        <w:pStyle w:val="Heading3"/>
      </w:pPr>
      <w:r>
        <w:rPr>
          <w:b/>
          <w:color w:val="3F827B"/>
        </w:rPr>
        <w:t xml:space="preserve">1.5 Step 3 — Creating User Accounts and Scopes (M2)</w:t>
      </w:r>
    </w:p>
    <w:p>
      <w:pPr>
        <w:pStyle w:val="FirstParagraph"/>
      </w:pPr>
      <w:r>
        <w:t xml:space="preserve">Every journi user carries exactly three things beyond name, email, and language: a</w:t>
      </w:r>
      <w:r>
        <w:t xml:space="preserve"> </w:t>
      </w:r>
      <w:r>
        <w:rPr>
          <w:bCs/>
          <w:b/>
        </w:rPr>
        <w:t xml:space="preserve">role</w:t>
      </w:r>
      <w:r>
        <w:t xml:space="preserve"> </w:t>
      </w:r>
      <w:r>
        <w:t xml:space="preserve">(one of nine), a</w:t>
      </w:r>
      <w:r>
        <w:t xml:space="preserve"> </w:t>
      </w:r>
      <w:r>
        <w:rPr>
          <w:bCs/>
          <w:b/>
        </w:rPr>
        <w:t xml:space="preserve">scope type</w:t>
      </w:r>
      <w:r>
        <w:t xml:space="preserve"> </w:t>
      </w:r>
      <w:r>
        <w:t xml:space="preserve">(</w:t>
      </w:r>
      <w:r>
        <w:rPr>
          <w:rStyle w:val="VerbatimChar"/>
        </w:rPr>
        <w:t xml:space="preserve">platform</w:t>
      </w:r>
      <w:r>
        <w:t xml:space="preserve">,</w:t>
      </w:r>
      <w:r>
        <w:t xml:space="preserve"> </w:t>
      </w:r>
      <w:r>
        <w:rPr>
          <w:rStyle w:val="VerbatimChar"/>
        </w:rPr>
        <w:t xml:space="preserve">group</w:t>
      </w:r>
      <w:r>
        <w:t xml:space="preserve">,</w:t>
      </w:r>
      <w:r>
        <w:t xml:space="preserve"> </w:t>
      </w:r>
      <w:r>
        <w:rPr>
          <w:rStyle w:val="VerbatimChar"/>
        </w:rPr>
        <w:t xml:space="preserve">organization</w:t>
      </w:r>
      <w:r>
        <w:t xml:space="preserve">, or</w:t>
      </w:r>
      <w:r>
        <w:t xml:space="preserve"> </w:t>
      </w:r>
      <w:r>
        <w:rPr>
          <w:rStyle w:val="VerbatimChar"/>
        </w:rPr>
        <w:t xml:space="preserve">project</w:t>
      </w:r>
      <w:r>
        <w:t xml:space="preserve">), and a</w:t>
      </w:r>
      <w:r>
        <w:t xml:space="preserve"> </w:t>
      </w:r>
      <w:r>
        <w:rPr>
          <w:bCs/>
          <w:b/>
        </w:rPr>
        <w:t xml:space="preserve">scope ID</w:t>
      </w:r>
      <w:r>
        <w:t xml:space="preserve"> </w:t>
      </w:r>
      <w:r>
        <w:t xml:space="preserve">(which Group, Organization, or Project that scope resolves to). Scope is what actually limits what a user sees — role determines</w:t>
      </w:r>
      <w:r>
        <w:t xml:space="preserve"> </w:t>
      </w:r>
      <w:r>
        <w:rPr>
          <w:iCs/>
          <w:i/>
        </w:rPr>
        <w:t xml:space="preserve">capability</w:t>
      </w:r>
      <w:r>
        <w:t xml:space="preserve"> </w:t>
      </w:r>
      <w:r>
        <w:t xml:space="preserve">(can this person edit the Permission Matrix), scope determines</w:t>
      </w:r>
      <w:r>
        <w:t xml:space="preserve"> </w:t>
      </w:r>
      <w:r>
        <w:rPr>
          <w:iCs/>
          <w:i/>
        </w:rPr>
        <w:t xml:space="preserve">reach</w:t>
      </w:r>
      <w:r>
        <w:t xml:space="preserve"> </w:t>
      </w:r>
      <w:r>
        <w:t xml:space="preserve">(which Organizations’ and Projects’ data this person’s role applies to).</w:t>
      </w:r>
    </w:p>
    <w:p>
      <w:pPr>
        <w:pStyle w:val="BodyText"/>
      </w:pPr>
      <w:r>
        <w:t xml:space="preserve">Open</w:t>
      </w:r>
      <w:r>
        <w:t xml:space="preserve"> </w:t>
      </w:r>
      <w:r>
        <w:rPr>
          <w:bCs/>
          <w:b/>
        </w:rPr>
        <w:t xml:space="preserve">Module 2 — Users &amp; Roles</w:t>
      </w:r>
      <w:r>
        <w:t xml:space="preserve">,</w:t>
      </w:r>
      <w:r>
        <w:t xml:space="preserve"> </w:t>
      </w:r>
      <w:r>
        <w:rPr>
          <w:bCs/>
          <w:b/>
        </w:rPr>
        <w:t xml:space="preserve">Users &amp; Scope</w:t>
      </w:r>
      <w:r>
        <w:t xml:space="preserve"> </w:t>
      </w:r>
      <w:r>
        <w:t xml:space="preserve">tab, and click</w:t>
      </w:r>
      <w:r>
        <w:t xml:space="preserve"> </w:t>
      </w:r>
      <w:r>
        <w:rPr>
          <w:bCs/>
          <w:b/>
        </w:rPr>
        <w:t xml:space="preserve">+ Add</w:t>
      </w:r>
      <w:r>
        <w:t xml:space="preserve"> </w:t>
      </w:r>
      <w:r>
        <w:t xml:space="preserve">for each of the following, seeding Veyra Group’s initial team: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fill="1F4B45"/>
          </w:tcPr>
          <w:p>
            <w:pPr>
              <w:pStyle w:val="Compact"/>
              <w:jc w:val="left"/>
            </w:pPr>
            <w:r>
              <w:rPr>
                <w:b/>
                <w:color w:val="FFFFFF"/>
              </w:rPr>
              <w:t xml:space="preserve">Name</w:t>
            </w:r>
          </w:p>
        </w:tc>
        <w:tc>
          <w:tcPr>
            <w:shd w:val="clear" w:fill="1F4B45"/>
          </w:tcPr>
          <w:p>
            <w:pPr>
              <w:pStyle w:val="Compact"/>
              <w:jc w:val="left"/>
            </w:pPr>
            <w:r>
              <w:rPr>
                <w:b/>
                <w:color w:val="FFFFFF"/>
              </w:rPr>
              <w:t xml:space="preserve">Role</w:t>
            </w:r>
          </w:p>
        </w:tc>
        <w:tc>
          <w:tcPr>
            <w:shd w:val="clear" w:fill="1F4B45"/>
          </w:tcPr>
          <w:p>
            <w:pPr>
              <w:pStyle w:val="Compact"/>
              <w:jc w:val="left"/>
            </w:pPr>
            <w:r>
              <w:rPr>
                <w:b/>
                <w:color w:val="FFFFFF"/>
              </w:rPr>
              <w:t xml:space="preserve">Scope type</w:t>
            </w:r>
          </w:p>
        </w:tc>
        <w:tc>
          <w:tcPr>
            <w:shd w:val="clear" w:fill="1F4B45"/>
          </w:tcPr>
          <w:p>
            <w:pPr>
              <w:pStyle w:val="Compact"/>
              <w:jc w:val="left"/>
            </w:pPr>
            <w:r>
              <w:rPr>
                <w:b/>
                <w:color w:val="FFFFFF"/>
              </w:rPr>
              <w:t xml:space="preserve">Scope</w:t>
            </w:r>
          </w:p>
        </w:tc>
        <w:tc>
          <w:tcPr>
            <w:shd w:val="clear" w:fill="1F4B45"/>
          </w:tcPr>
          <w:p>
            <w:pPr>
              <w:pStyle w:val="Compact"/>
              <w:jc w:val="left"/>
            </w:pPr>
            <w:r>
              <w:rPr>
                <w:b/>
                <w:color w:val="FFFFFF"/>
              </w:rPr>
              <w:t xml:space="preserve">Language</w:t>
            </w:r>
          </w:p>
        </w:tc>
      </w:tr>
      <w:tr>
        <w:tc>
          <w:tcPr/>
          <w:p>
            <w:pPr>
              <w:pStyle w:val="Compact"/>
              <w:jc w:val="left"/>
            </w:pPr>
            <w:r>
              <w:t xml:space="preserve">Elena Cardoso</w:t>
            </w:r>
          </w:p>
        </w:tc>
        <w:tc>
          <w:tcPr/>
          <w:p>
            <w:pPr>
              <w:pStyle w:val="Compact"/>
              <w:jc w:val="left"/>
            </w:pPr>
            <w:r>
              <w:t xml:space="preserve">Super Admin</w:t>
            </w:r>
          </w:p>
        </w:tc>
        <w:tc>
          <w:tcPr/>
          <w:p>
            <w:pPr>
              <w:pStyle w:val="Compact"/>
              <w:jc w:val="left"/>
            </w:pPr>
            <w:r>
              <w:t xml:space="preserve">Platform</w:t>
            </w:r>
          </w:p>
        </w:tc>
        <w:tc>
          <w:tcPr/>
          <w:p>
            <w:pPr>
              <w:pStyle w:val="Compact"/>
              <w:jc w:val="left"/>
            </w:pPr>
            <w:r>
              <w:t xml:space="preserve">(whole deployment)</w:t>
            </w:r>
          </w:p>
        </w:tc>
        <w:tc>
          <w:tcPr/>
          <w:p>
            <w:pPr>
              <w:pStyle w:val="Compact"/>
              <w:jc w:val="left"/>
            </w:pPr>
            <w:r>
              <w:t xml:space="preserve">English</w:t>
            </w:r>
          </w:p>
        </w:tc>
      </w:tr>
      <w:tr>
        <w:tc>
          <w:tcPr/>
          <w:p>
            <w:pPr>
              <w:pStyle w:val="Compact"/>
              <w:jc w:val="left"/>
            </w:pPr>
            <w:r>
              <w:t xml:space="preserve">Rui Teixeira</w:t>
            </w:r>
          </w:p>
        </w:tc>
        <w:tc>
          <w:tcPr/>
          <w:p>
            <w:pPr>
              <w:pStyle w:val="Compact"/>
              <w:jc w:val="left"/>
            </w:pPr>
            <w:r>
              <w:t xml:space="preserve">Group Admin</w:t>
            </w:r>
          </w:p>
        </w:tc>
        <w:tc>
          <w:tcPr/>
          <w:p>
            <w:pPr>
              <w:pStyle w:val="Compact"/>
              <w:jc w:val="left"/>
            </w:pPr>
            <w:r>
              <w:t xml:space="preserve">Group</w:t>
            </w:r>
          </w:p>
        </w:tc>
        <w:tc>
          <w:tcPr/>
          <w:p>
            <w:pPr>
              <w:pStyle w:val="Compact"/>
              <w:jc w:val="left"/>
            </w:pPr>
            <w:r>
              <w:t xml:space="preserve">Veyra Group</w:t>
            </w:r>
          </w:p>
        </w:tc>
        <w:tc>
          <w:tcPr/>
          <w:p>
            <w:pPr>
              <w:pStyle w:val="Compact"/>
              <w:jc w:val="left"/>
            </w:pPr>
            <w:r>
              <w:t xml:space="preserve">English</w:t>
            </w:r>
          </w:p>
        </w:tc>
      </w:tr>
      <w:tr>
        <w:tc>
          <w:tcPr/>
          <w:p>
            <w:pPr>
              <w:pStyle w:val="Compact"/>
              <w:jc w:val="left"/>
            </w:pPr>
            <w:r>
              <w:t xml:space="preserve">Marta Sousa</w:t>
            </w:r>
          </w:p>
        </w:tc>
        <w:tc>
          <w:tcPr/>
          <w:p>
            <w:pPr>
              <w:pStyle w:val="Compact"/>
              <w:jc w:val="left"/>
            </w:pPr>
            <w:r>
              <w:t xml:space="preserve">Org Admin</w:t>
            </w:r>
          </w:p>
        </w:tc>
        <w:tc>
          <w:tcPr/>
          <w:p>
            <w:pPr>
              <w:pStyle w:val="Compact"/>
              <w:jc w:val="left"/>
            </w:pPr>
            <w:r>
              <w:t xml:space="preserve">Organization</w:t>
            </w:r>
          </w:p>
        </w:tc>
        <w:tc>
          <w:tcPr/>
          <w:p>
            <w:pPr>
              <w:pStyle w:val="Compact"/>
              <w:jc w:val="left"/>
            </w:pPr>
            <w:r>
              <w:t xml:space="preserve">Veyra Manufacturing Europe</w:t>
            </w:r>
          </w:p>
        </w:tc>
        <w:tc>
          <w:tcPr/>
          <w:p>
            <w:pPr>
              <w:pStyle w:val="Compact"/>
              <w:jc w:val="left"/>
            </w:pPr>
            <w:r>
              <w:t xml:space="preserve">English</w:t>
            </w:r>
          </w:p>
        </w:tc>
      </w:tr>
      <w:tr>
        <w:tc>
          <w:tcPr/>
          <w:p>
            <w:pPr>
              <w:pStyle w:val="Compact"/>
              <w:jc w:val="left"/>
            </w:pPr>
            <w:r>
              <w:t xml:space="preserve">Diego Fontes</w:t>
            </w:r>
          </w:p>
        </w:tc>
        <w:tc>
          <w:tcPr/>
          <w:p>
            <w:pPr>
              <w:pStyle w:val="Compact"/>
              <w:jc w:val="left"/>
            </w:pPr>
            <w:r>
              <w:t xml:space="preserve">Change Manager</w:t>
            </w:r>
          </w:p>
        </w:tc>
        <w:tc>
          <w:tcPr/>
          <w:p>
            <w:pPr>
              <w:pStyle w:val="Compact"/>
              <w:jc w:val="left"/>
            </w:pPr>
            <w:r>
              <w:t xml:space="preserve">Project</w:t>
            </w:r>
          </w:p>
        </w:tc>
        <w:tc>
          <w:tcPr/>
          <w:p>
            <w:pPr>
              <w:pStyle w:val="Compact"/>
              <w:jc w:val="left"/>
            </w:pPr>
            <w:r>
              <w:t xml:space="preserve">Veyra ERP Adoption Program</w:t>
            </w:r>
            <w:r>
              <w:t xml:space="preserve"> </w:t>
            </w:r>
            <w:r>
              <w:rPr>
                <w:iCs/>
                <w:i/>
              </w:rPr>
              <w:t xml:space="preserve">(created in Step 6 below)</w:t>
            </w:r>
          </w:p>
        </w:tc>
        <w:tc>
          <w:tcPr/>
          <w:p>
            <w:pPr>
              <w:pStyle w:val="Compact"/>
              <w:jc w:val="left"/>
            </w:pPr>
            <w:r>
              <w:t xml:space="preserve">English</w:t>
            </w:r>
          </w:p>
        </w:tc>
      </w:tr>
      <w:tr>
        <w:tc>
          <w:tcPr/>
          <w:p>
            <w:pPr>
              <w:pStyle w:val="Compact"/>
              <w:jc w:val="left"/>
            </w:pPr>
            <w:r>
              <w:t xml:space="preserve">Inês Cabral</w:t>
            </w:r>
          </w:p>
        </w:tc>
        <w:tc>
          <w:tcPr/>
          <w:p>
            <w:pPr>
              <w:pStyle w:val="Compact"/>
              <w:jc w:val="left"/>
            </w:pPr>
            <w:r>
              <w:t xml:space="preserve">People Manager</w:t>
            </w:r>
          </w:p>
        </w:tc>
        <w:tc>
          <w:tcPr/>
          <w:p>
            <w:pPr>
              <w:pStyle w:val="Compact"/>
              <w:jc w:val="left"/>
            </w:pPr>
            <w:r>
              <w:t xml:space="preserve">Project</w:t>
            </w:r>
          </w:p>
        </w:tc>
        <w:tc>
          <w:tcPr/>
          <w:p>
            <w:pPr>
              <w:pStyle w:val="Compact"/>
              <w:jc w:val="left"/>
            </w:pPr>
            <w:r>
              <w:t xml:space="preserve">Veyra ERP Adoption Program</w:t>
            </w:r>
          </w:p>
        </w:tc>
        <w:tc>
          <w:tcPr/>
          <w:p>
            <w:pPr>
              <w:pStyle w:val="Compact"/>
              <w:jc w:val="left"/>
            </w:pPr>
            <w:r>
              <w:t xml:space="preserve">French</w:t>
            </w:r>
          </w:p>
        </w:tc>
      </w:tr>
      <w:tr>
        <w:tc>
          <w:tcPr/>
          <w:p>
            <w:pPr>
              <w:pStyle w:val="Compact"/>
              <w:jc w:val="left"/>
            </w:pPr>
            <w:r>
              <w:t xml:space="preserve">CFO, Veyra Group</w:t>
            </w:r>
          </w:p>
        </w:tc>
        <w:tc>
          <w:tcPr/>
          <w:p>
            <w:pPr>
              <w:pStyle w:val="Compact"/>
              <w:jc w:val="left"/>
            </w:pPr>
            <w:r>
              <w:t xml:space="preserve">Sponsor</w:t>
            </w:r>
          </w:p>
        </w:tc>
        <w:tc>
          <w:tcPr/>
          <w:p>
            <w:pPr>
              <w:pStyle w:val="Compact"/>
              <w:jc w:val="left"/>
            </w:pPr>
            <w:r>
              <w:t xml:space="preserve">Project</w:t>
            </w:r>
          </w:p>
        </w:tc>
        <w:tc>
          <w:tcPr/>
          <w:p>
            <w:pPr>
              <w:pStyle w:val="Compact"/>
              <w:jc w:val="left"/>
            </w:pPr>
            <w:r>
              <w:t xml:space="preserve">Veyra ERP Adoption Program</w:t>
            </w:r>
          </w:p>
        </w:tc>
        <w:tc>
          <w:tcPr/>
          <w:p>
            <w:pPr>
              <w:pStyle w:val="Compact"/>
              <w:jc w:val="left"/>
            </w:pPr>
            <w:r>
              <w:t xml:space="preserve">English</w:t>
            </w:r>
          </w:p>
        </w:tc>
      </w:tr>
      <w:tr>
        <w:tc>
          <w:tcPr/>
          <w:p>
            <w:pPr>
              <w:pStyle w:val="Compact"/>
              <w:jc w:val="left"/>
            </w:pPr>
            <w:r>
              <w:t xml:space="preserve">Board Executive Viewer</w:t>
            </w:r>
          </w:p>
        </w:tc>
        <w:tc>
          <w:tcPr/>
          <w:p>
            <w:pPr>
              <w:pStyle w:val="Compact"/>
              <w:jc w:val="left"/>
            </w:pPr>
            <w:r>
              <w:t xml:space="preserve">Executive</w:t>
            </w:r>
          </w:p>
        </w:tc>
        <w:tc>
          <w:tcPr/>
          <w:p>
            <w:pPr>
              <w:pStyle w:val="Compact"/>
              <w:jc w:val="left"/>
            </w:pPr>
            <w:r>
              <w:t xml:space="preserve">Organization</w:t>
            </w:r>
          </w:p>
        </w:tc>
        <w:tc>
          <w:tcPr/>
          <w:p>
            <w:pPr>
              <w:pStyle w:val="Compact"/>
              <w:jc w:val="left"/>
            </w:pPr>
            <w:r>
              <w:t xml:space="preserve">Veyra Manufacturing Europe</w:t>
            </w:r>
          </w:p>
        </w:tc>
        <w:tc>
          <w:tcPr/>
          <w:p>
            <w:pPr>
              <w:pStyle w:val="Compact"/>
              <w:jc w:val="left"/>
            </w:pPr>
            <w:r>
              <w:t xml:space="preserve">English</w:t>
            </w:r>
          </w:p>
        </w:tc>
      </w:tr>
      <w:tr>
        <w:tc>
          <w:tcPr/>
          <w:p>
            <w:pPr>
              <w:pStyle w:val="Compact"/>
              <w:jc w:val="left"/>
            </w:pPr>
            <w:r>
              <w:t xml:space="preserve">Bruno Alves</w:t>
            </w:r>
          </w:p>
        </w:tc>
        <w:tc>
          <w:tcPr/>
          <w:p>
            <w:pPr>
              <w:pStyle w:val="Compact"/>
              <w:jc w:val="left"/>
            </w:pPr>
            <w:r>
              <w:t xml:space="preserve">Employee</w:t>
            </w:r>
          </w:p>
        </w:tc>
        <w:tc>
          <w:tcPr/>
          <w:p>
            <w:pPr>
              <w:pStyle w:val="Compact"/>
              <w:jc w:val="left"/>
            </w:pPr>
            <w:r>
              <w:t xml:space="preserve">Project</w:t>
            </w:r>
          </w:p>
        </w:tc>
        <w:tc>
          <w:tcPr/>
          <w:p>
            <w:pPr>
              <w:pStyle w:val="Compact"/>
              <w:jc w:val="left"/>
            </w:pPr>
            <w:r>
              <w:t xml:space="preserve">Veyra ERP Adoption Program</w:t>
            </w:r>
          </w:p>
        </w:tc>
        <w:tc>
          <w:tcPr/>
          <w:p>
            <w:pPr>
              <w:pStyle w:val="Compact"/>
              <w:jc w:val="left"/>
            </w:pPr>
            <w:r>
              <w:t xml:space="preserve">French</w:t>
            </w:r>
          </w:p>
        </w:tc>
      </w:tr>
      <w:tr>
        <w:tc>
          <w:tcPr/>
          <w:p>
            <w:pPr>
              <w:pStyle w:val="Compact"/>
              <w:jc w:val="left"/>
            </w:pPr>
            <w:r>
              <w:t xml:space="preserve">Sofia Rocha</w:t>
            </w:r>
          </w:p>
        </w:tc>
        <w:tc>
          <w:tcPr/>
          <w:p>
            <w:pPr>
              <w:pStyle w:val="Compact"/>
              <w:jc w:val="left"/>
            </w:pPr>
            <w:r>
              <w:t xml:space="preserve">Practitioner / Contributor</w:t>
            </w:r>
          </w:p>
        </w:tc>
        <w:tc>
          <w:tcPr/>
          <w:p>
            <w:pPr>
              <w:pStyle w:val="Compact"/>
              <w:jc w:val="left"/>
            </w:pPr>
            <w:r>
              <w:t xml:space="preserve">Project</w:t>
            </w:r>
          </w:p>
        </w:tc>
        <w:tc>
          <w:tcPr/>
          <w:p>
            <w:pPr>
              <w:pStyle w:val="Compact"/>
              <w:jc w:val="left"/>
            </w:pPr>
            <w:r>
              <w:t xml:space="preserve">Veyra ERP Adoption Program</w:t>
            </w:r>
          </w:p>
        </w:tc>
        <w:tc>
          <w:tcPr/>
          <w:p>
            <w:pPr>
              <w:pStyle w:val="Compact"/>
              <w:jc w:val="left"/>
            </w:pPr>
            <w:r>
              <w:t xml:space="preserve">English</w:t>
            </w:r>
          </w:p>
        </w:tc>
      </w:tr>
    </w:tbl>
    <w:p>
      <w:pPr>
        <w:pStyle w:val="BodyText"/>
      </w:pPr>
      <w:r>
        <w:t xml:space="preserve">A practical note this guide carries over from journi’s own behavior rather than invents: a Change Manager, People Manager, Sponsor, Employee, or Practitioner account can only be scoped to a Project, so the four project-scoped rows above are created (or their scope corrected) once the Veyra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pPr>
    </w:p>
    <w:bookmarkEnd w:id="29"/>
    <w:bookmarkStart w:id="30" w:name="step-4-the-permission-matrix-m2"/>
    <w:p>
      <w:pPr>
        <w:pStyle w:val="Heading3"/>
      </w:pPr>
      <w:r>
        <w:rPr>
          <w:b/>
          <w:color w:val="3F827B"/>
        </w:rPr>
        <w:t xml:space="preserve">1.6 Step 4 — The Permission Matrix (M2)</w:t>
      </w:r>
    </w:p>
    <w:p>
      <w:pPr>
        <w:numPr>
          <w:ilvl w:val="0"/>
          <w:numId w:val="1009"/>
        </w:numPr>
        <w:pStyle w:val="Compact"/>
      </w:pPr>
      <w:r>
        <w:t xml:space="preserve">Open the</w:t>
      </w:r>
      <w:r>
        <w:t xml:space="preserve"> </w:t>
      </w:r>
      <w:r>
        <w:rPr>
          <w:bCs/>
          <w:b/>
        </w:rPr>
        <w:t xml:space="preserve">Permission Matrix</w:t>
      </w:r>
      <w:r>
        <w:t xml:space="preserve"> </w:t>
      </w:r>
      <w:r>
        <w:t xml:space="preserve">tab. This table is platform-wide, not scoped to one Organization, and only a Super Admin may edit it — every other role sees it read-only, for transparency.</w:t>
      </w:r>
    </w:p>
    <w:p>
      <w:pPr>
        <w:numPr>
          <w:ilvl w:val="0"/>
          <w:numId w:val="1009"/>
        </w:numPr>
        <w:pStyle w:val="Compact"/>
      </w:pPr>
      <w:r>
        <w:t xml:space="preserve">Each row is one of the nine roles; each column is a capability (for example, managing the Group/Organization hierarchy, managing users, managing Charters, editing the RACSI grid). journi ships with a sensible default matrix already checked in; Veyra Group’s Super Admin reviews it and adjusts only where the default doesn’t match their governance model — for instance, tightening which role may delete a Charter, or widening which role may edit the Codebook.</w:t>
      </w:r>
    </w:p>
    <w:p>
      <w:pPr>
        <w:numPr>
          <w:ilvl w:val="0"/>
          <w:numId w:val="1009"/>
        </w:numPr>
        <w:pStyle w:val="Compact"/>
      </w:pPr>
      <w:r>
        <w:t xml:space="preserve">Every checkbox change here takes effect immediately across the whole tenant — there is no separate</w:t>
      </w:r>
      <w:r>
        <w:t xml:space="preserve"> </w:t>
      </w:r>
      <w:r>
        <w:t xml:space="preserve">“</w:t>
      </w:r>
      <w:r>
        <w:t xml:space="preserve">publish</w:t>
      </w:r>
      <w:r>
        <w:t xml:space="preserve">”</w:t>
      </w:r>
      <w:r>
        <w:t xml:space="preserve"> </w:t>
      </w:r>
      <w:r>
        <w:t xml:space="preserve">step.</w:t>
      </w:r>
    </w:p>
    <w:p>
      <w:pPr>
        <w:pStyle w:val="FirstParagraph"/>
      </w:pPr>
    </w:p>
    <w:bookmarkEnd w:id="30"/>
    <w:bookmarkStart w:id="31" w:name="step-5-governance-settings-m2"/>
    <w:p>
      <w:pPr>
        <w:pStyle w:val="Heading3"/>
      </w:pPr>
      <w:r>
        <w:rPr>
          <w:b/>
          <w:color w:val="3F827B"/>
        </w:rPr>
        <w:t xml:space="preserve">1.7 Step 5 — Governance Settings (M2)</w:t>
      </w:r>
    </w:p>
    <w:p>
      <w:pPr>
        <w:numPr>
          <w:ilvl w:val="0"/>
          <w:numId w:val="1010"/>
        </w:numPr>
        <w:pStyle w:val="Compact"/>
      </w:pPr>
      <w:r>
        <w:t xml:space="preserve">Open the</w:t>
      </w:r>
      <w:r>
        <w:t xml:space="preserve"> </w:t>
      </w:r>
      <w:r>
        <w:rPr>
          <w:bCs/>
          <w:b/>
        </w:rPr>
        <w:t xml:space="preserve">Governance Settings</w:t>
      </w:r>
      <w:r>
        <w:t xml:space="preserve"> </w:t>
      </w:r>
      <w:r>
        <w:t xml:space="preserve">tab.</w:t>
      </w:r>
    </w:p>
    <w:p>
      <w:pPr>
        <w:numPr>
          <w:ilvl w:val="0"/>
          <w:numId w:val="1010"/>
        </w:numPr>
        <w:pStyle w:val="Compact"/>
      </w:pPr>
      <w:r>
        <w:t xml:space="preserve">The one platform-wide control here is</w:t>
      </w:r>
      <w:r>
        <w:t xml:space="preserve"> </w:t>
      </w:r>
      <w:r>
        <w:rPr>
          <w:bCs/>
          <w:b/>
        </w:rPr>
        <w:t xml:space="preserve">“</w:t>
      </w:r>
      <w:r>
        <w:rPr>
          <w:bCs/>
          <w:b/>
        </w:rPr>
        <w:t xml:space="preserve">Require justification for score/state changes.</w:t>
      </w:r>
      <w:r>
        <w:rPr>
          <w:bCs/>
          <w:b/>
        </w:rPr>
        <w:t xml:space="preserve">”</w:t>
      </w:r>
      <w:r>
        <w:t xml:space="preserve"> </w:t>
      </w:r>
      <w:r>
        <w:t xml:space="preserve">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numPr>
          <w:ilvl w:val="0"/>
          <w:numId w:val="1010"/>
        </w:numPr>
        <w:pStyle w:val="Compact"/>
      </w:pPr>
      <w:r>
        <w:t xml:space="preserve">Veyra Group’s Super Admin leaves this on: the scenario in Parts 2–4 depends on every framework reading carrying a real, auditable reason, not a bare number.</w:t>
      </w:r>
    </w:p>
    <w:p>
      <w:pPr>
        <w:pStyle w:val="FirstParagraph"/>
      </w:pPr>
    </w:p>
    <w:bookmarkEnd w:id="31"/>
    <w:bookmarkStart w:id="32" w:name="X6adb47c3c2dfd2f7a962f1acae46406e449ea32"/>
    <w:p>
      <w:pPr>
        <w:pStyle w:val="Heading3"/>
      </w:pPr>
      <w:r>
        <w:rPr>
          <w:b/>
          <w:color w:val="3F827B"/>
        </w:rPr>
        <w:t xml:space="preserve">1.8 Step 6 — Creating the First Main Project and CM Project (M1)</w:t>
      </w:r>
    </w:p>
    <w:p>
      <w:pPr>
        <w:numPr>
          <w:ilvl w:val="0"/>
          <w:numId w:val="1011"/>
        </w:numPr>
        <w:pStyle w:val="Compact"/>
      </w:pPr>
      <w:r>
        <w:t xml:space="preserve">Back in</w:t>
      </w:r>
      <w:r>
        <w:t xml:space="preserve"> </w:t>
      </w:r>
      <w:r>
        <w:rPr>
          <w:bCs/>
          <w:b/>
        </w:rPr>
        <w:t xml:space="preserve">Module 1</w:t>
      </w:r>
      <w:r>
        <w:t xml:space="preserve">, on the Veyra Manufacturing Europe Organization card, click</w:t>
      </w:r>
      <w:r>
        <w:t xml:space="preserve"> </w:t>
      </w:r>
      <w:r>
        <w:rPr>
          <w:bCs/>
          <w:b/>
        </w:rPr>
        <w:t xml:space="preserve">+ Main Project</w:t>
      </w:r>
      <w:r>
        <w:t xml:space="preserve">. Fill in:</w:t>
      </w:r>
    </w:p>
    <w:p>
      <w:pPr>
        <w:numPr>
          <w:ilvl w:val="1"/>
          <w:numId w:val="1012"/>
        </w:numPr>
        <w:pStyle w:val="Compact"/>
      </w:pPr>
      <w:r>
        <w:t xml:space="preserve">Name:</w:t>
      </w:r>
      <w:r>
        <w:t xml:space="preserve"> </w:t>
      </w:r>
      <w:r>
        <w:t xml:space="preserve">“</w:t>
      </w:r>
      <w:r>
        <w:t xml:space="preserve">ERP Platform Unification</w:t>
      </w:r>
      <w:r>
        <w:t xml:space="preserve">”</w:t>
      </w:r>
    </w:p>
    <w:p>
      <w:pPr>
        <w:numPr>
          <w:ilvl w:val="1"/>
          <w:numId w:val="1012"/>
        </w:numPr>
        <w:pStyle w:val="Compact"/>
      </w:pPr>
      <w:r>
        <w:t xml:space="preserve">Type: ERP</w:t>
      </w:r>
    </w:p>
    <w:p>
      <w:pPr>
        <w:numPr>
          <w:ilvl w:val="1"/>
          <w:numId w:val="1012"/>
        </w:numPr>
        <w:pStyle w:val="Compact"/>
      </w:pPr>
      <w:r>
        <w:t xml:space="preserve">Description:</w:t>
      </w:r>
      <w:r>
        <w:t xml:space="preserve"> </w:t>
      </w:r>
      <w:r>
        <w:t xml:space="preserve">“</w:t>
      </w:r>
      <w:r>
        <w:t xml:space="preserve">Replace three disconnected legacy systems (order management, inventory, finance) across all three sites with one unified platform.</w:t>
      </w:r>
      <w:r>
        <w:t xml:space="preserve">”</w:t>
      </w:r>
    </w:p>
    <w:p>
      <w:pPr>
        <w:numPr>
          <w:ilvl w:val="1"/>
          <w:numId w:val="1012"/>
        </w:numPr>
        <w:pStyle w:val="Compact"/>
      </w:pPr>
      <w:r>
        <w:t xml:space="preserve">Duration: 14 months</w:t>
      </w:r>
    </w:p>
    <w:p>
      <w:pPr>
        <w:numPr>
          <w:ilvl w:val="1"/>
          <w:numId w:val="1012"/>
        </w:numPr>
        <w:pStyle w:val="Compact"/>
      </w:pPr>
      <w:r>
        <w:t xml:space="preserve">Budget band:</w:t>
      </w:r>
      <w:r>
        <w:t xml:space="preserve"> </w:t>
      </w:r>
      <w:r>
        <w:t xml:space="preserve">“</w:t>
      </w:r>
      <w:r>
        <w:t xml:space="preserve">€3.8M</w:t>
      </w:r>
      <w:r>
        <w:t xml:space="preserve">”</w:t>
      </w:r>
    </w:p>
    <w:p>
      <w:pPr>
        <w:numPr>
          <w:ilvl w:val="1"/>
          <w:numId w:val="1012"/>
        </w:numPr>
        <w:pStyle w:val="Compact"/>
      </w:pPr>
      <w:r>
        <w:t xml:space="preserve">Executive Sponsor:</w:t>
      </w:r>
      <w:r>
        <w:t xml:space="preserve"> </w:t>
      </w:r>
      <w:r>
        <w:t xml:space="preserve">“</w:t>
      </w:r>
      <w:r>
        <w:t xml:space="preserve">CFO, Veyra Group</w:t>
      </w:r>
      <w:r>
        <w:t xml:space="preserve">”</w:t>
      </w:r>
    </w:p>
    <w:p>
      <w:pPr>
        <w:numPr>
          <w:ilvl w:val="0"/>
          <w:numId w:val="1011"/>
        </w:numPr>
        <w:pStyle w:val="Compact"/>
      </w:pPr>
      <w:r>
        <w:t xml:space="preserve">Click</w:t>
      </w:r>
      <w:r>
        <w:t xml:space="preserve"> </w:t>
      </w:r>
      <w:r>
        <w:rPr>
          <w:bCs/>
          <w:b/>
        </w:rPr>
        <w:t xml:space="preserve">+ CM Project</w:t>
      </w:r>
      <w:r>
        <w:t xml:space="preserve"> </w:t>
      </w:r>
      <w:r>
        <w:t xml:space="preserve">on the same Organization card. Fill in:</w:t>
      </w:r>
    </w:p>
    <w:p>
      <w:pPr>
        <w:numPr>
          <w:ilvl w:val="1"/>
          <w:numId w:val="1013"/>
        </w:numPr>
        <w:pStyle w:val="Compact"/>
      </w:pPr>
      <w:r>
        <w:t xml:space="preserve">Name:</w:t>
      </w:r>
      <w:r>
        <w:t xml:space="preserve"> </w:t>
      </w:r>
      <w:r>
        <w:t xml:space="preserve">“</w:t>
      </w:r>
      <w:r>
        <w:t xml:space="preserve">Veyra ERP Adoption Program</w:t>
      </w:r>
      <w:r>
        <w:t xml:space="preserve">”</w:t>
      </w:r>
    </w:p>
    <w:p>
      <w:pPr>
        <w:numPr>
          <w:ilvl w:val="1"/>
          <w:numId w:val="1013"/>
        </w:numPr>
        <w:pStyle w:val="Compact"/>
      </w:pPr>
      <w:r>
        <w:t xml:space="preserve">Linked Main Project: check</w:t>
      </w:r>
      <w:r>
        <w:t xml:space="preserve"> </w:t>
      </w:r>
      <w:r>
        <w:t xml:space="preserve">“</w:t>
      </w:r>
      <w:r>
        <w:t xml:space="preserve">ERP Platform Unification</w:t>
      </w:r>
      <w:r>
        <w:t xml:space="preserve">”</w:t>
      </w:r>
      <w:r>
        <w:t xml:space="preserve"> </w:t>
      </w:r>
      <w:r>
        <w:t xml:space="preserve">(a CM Project may link to zero, one, or more Main Projects — this one links to exactly one)</w:t>
      </w:r>
    </w:p>
    <w:p>
      <w:pPr>
        <w:numPr>
          <w:ilvl w:val="1"/>
          <w:numId w:val="1013"/>
        </w:numPr>
        <w:pStyle w:val="Compact"/>
      </w:pPr>
      <w:r>
        <w:t xml:space="preserve">Owner:</w:t>
      </w:r>
      <w:r>
        <w:t xml:space="preserve"> </w:t>
      </w:r>
      <w:r>
        <w:t xml:space="preserve">“</w:t>
      </w:r>
      <w:r>
        <w:t xml:space="preserve">Diego Fontes</w:t>
      </w:r>
      <w:r>
        <w:t xml:space="preserve">”</w:t>
      </w:r>
    </w:p>
    <w:p>
      <w:pPr>
        <w:numPr>
          <w:ilvl w:val="1"/>
          <w:numId w:val="1013"/>
        </w:numPr>
        <w:pStyle w:val="Compact"/>
      </w:pPr>
      <w:r>
        <w:t xml:space="preserve">Change type: Technology</w:t>
      </w:r>
    </w:p>
    <w:p>
      <w:pPr>
        <w:numPr>
          <w:ilvl w:val="1"/>
          <w:numId w:val="1013"/>
        </w:numPr>
        <w:pStyle w:val="Compact"/>
      </w:pPr>
      <w:r>
        <w:t xml:space="preserve">Target population:</w:t>
      </w:r>
      <w:r>
        <w:t xml:space="preserve"> </w:t>
      </w:r>
      <w:r>
        <w:t xml:space="preserve">“</w:t>
      </w:r>
      <w:r>
        <w:t xml:space="preserve">All plant and HQ staff (3,200)</w:t>
      </w:r>
      <w:r>
        <w:t xml:space="preserve">”</w:t>
      </w:r>
    </w:p>
    <w:p>
      <w:pPr>
        <w:numPr>
          <w:ilvl w:val="1"/>
          <w:numId w:val="1013"/>
        </w:numPr>
        <w:pStyle w:val="Compact"/>
      </w:pPr>
      <w:r>
        <w:t xml:space="preserve">Business driver:</w:t>
      </w:r>
      <w:r>
        <w:t xml:space="preserve"> </w:t>
      </w:r>
      <w:r>
        <w:t xml:space="preserve">“</w:t>
      </w:r>
      <w:r>
        <w:t xml:space="preserve">Three disconnected legacy systems create manual reconciliation, delayed month-end close, and duplicate data entry across all three sites.</w:t>
      </w:r>
      <w:r>
        <w:t xml:space="preserve">”</w:t>
      </w:r>
    </w:p>
    <w:p>
      <w:pPr>
        <w:numPr>
          <w:ilvl w:val="0"/>
          <w:numId w:val="1011"/>
        </w:numPr>
        <w:pStyle w:val="Compact"/>
      </w:pPr>
      <w:r>
        <w:t xml:space="preserve">Save. The Organization card now shows the Main Project (with its archetype badge and linked CM Project count) and the CM Project (with its current Lewin phase badge, starting at Unfreeze) side by side.</w:t>
      </w:r>
    </w:p>
    <w:p>
      <w:pPr>
        <w:numPr>
          <w:ilvl w:val="0"/>
          <w:numId w:val="1011"/>
        </w:numPr>
        <w:pStyle w:val="Compact"/>
      </w:pPr>
      <w:r>
        <w:t xml:space="preserve">Return to Step 3 and finish creating or re-scoping the four project-level user accounts (Diego Fontes, Inês Cabral, the Sponsor, Bruno Alves, and Sofia Rocha) against this now-existing Project.</w:t>
      </w:r>
    </w:p>
    <w:p>
      <w:pPr>
        <w:pStyle w:val="FirstParagraph"/>
      </w:pPr>
    </w:p>
    <w:bookmarkEnd w:id="32"/>
    <w:bookmarkStart w:id="33" w:name="tenant-setup-checklist"/>
    <w:p>
      <w:pPr>
        <w:pStyle w:val="Heading3"/>
      </w:pPr>
      <w:r>
        <w:rPr>
          <w:b/>
          <w:color w:val="3F827B"/>
        </w:rPr>
        <w:t xml:space="preserve">1.9 Tenant Setup Checklist</w:t>
      </w:r>
    </w:p>
    <w:p>
      <w:pPr>
        <w:numPr>
          <w:ilvl w:val="0"/>
          <w:numId w:val="1014"/>
        </w:numPr>
        <w:pStyle w:val="Compact"/>
      </w:pPr>
      <w:r>
        <w:t xml:space="preserve">☐ License record set (company name, plan, user cap, feature flags) — Module 2, License &amp; Plan</w:t>
      </w:r>
    </w:p>
    <w:p>
      <w:pPr>
        <w:numPr>
          <w:ilvl w:val="0"/>
          <w:numId w:val="1014"/>
        </w:numPr>
        <w:pStyle w:val="Compact"/>
      </w:pPr>
      <w:r>
        <w:t xml:space="preserve">☐ Group created — Module 1</w:t>
      </w:r>
    </w:p>
    <w:p>
      <w:pPr>
        <w:numPr>
          <w:ilvl w:val="0"/>
          <w:numId w:val="1014"/>
        </w:numPr>
        <w:pStyle w:val="Compact"/>
      </w:pPr>
      <w:r>
        <w:t xml:space="preserve">☐ Organization created (sector, employees, sites, languages, default language) — Module 1</w:t>
      </w:r>
    </w:p>
    <w:p>
      <w:pPr>
        <w:numPr>
          <w:ilvl w:val="0"/>
          <w:numId w:val="1014"/>
        </w:numPr>
        <w:pStyle w:val="Compact"/>
      </w:pPr>
      <w:r>
        <w:t xml:space="preserve">☐ Initial user accounts created with correct role, scope type, and scope — Module 2, Users &amp; Scope</w:t>
      </w:r>
    </w:p>
    <w:p>
      <w:pPr>
        <w:numPr>
          <w:ilvl w:val="0"/>
          <w:numId w:val="1014"/>
        </w:numPr>
        <w:pStyle w:val="Compact"/>
      </w:pPr>
      <w:r>
        <w:t xml:space="preserve">☐ Permission Matrix reviewed and adjusted from defaults where needed — Module 2, Permission Matrix</w:t>
      </w:r>
    </w:p>
    <w:p>
      <w:pPr>
        <w:numPr>
          <w:ilvl w:val="0"/>
          <w:numId w:val="1014"/>
        </w:numPr>
        <w:pStyle w:val="Compact"/>
      </w:pPr>
      <w:r>
        <w:t xml:space="preserve">☐ Governance setting (justification requirement) confirmed — Module 2, Governance Settings</w:t>
      </w:r>
    </w:p>
    <w:p>
      <w:pPr>
        <w:numPr>
          <w:ilvl w:val="0"/>
          <w:numId w:val="1014"/>
        </w:numPr>
        <w:pStyle w:val="Compact"/>
      </w:pPr>
      <w:r>
        <w:t xml:space="preserve">☐ First Main Project created — Module 1</w:t>
      </w:r>
    </w:p>
    <w:p>
      <w:pPr>
        <w:numPr>
          <w:ilvl w:val="0"/>
          <w:numId w:val="1014"/>
        </w:numPr>
        <w:pStyle w:val="Compact"/>
      </w:pPr>
      <w:r>
        <w:t xml:space="preserve">☐ First Change Management Project created and linked — Module 1</w:t>
      </w:r>
    </w:p>
    <w:p>
      <w:pPr>
        <w:numPr>
          <w:ilvl w:val="0"/>
          <w:numId w:val="1014"/>
        </w:numPr>
        <w:pStyle w:val="Compact"/>
      </w:pPr>
      <w:r>
        <w:t xml:space="preserve">☐ Project-scoped user accounts finalized against the new Project — Module 2, Users &amp; Scope</w:t>
      </w:r>
    </w:p>
    <w:p>
      <w:pPr>
        <w:pStyle w:val="FirstParagraph"/>
      </w:pPr>
      <w:r>
        <w:t xml:space="preserve">With this checklist complete, Veyra Group is a fully operational journi tenant with one live Change Management Project. Part 2 picks up from here and tours all 20 modules against this same, now-real data set.</w:t>
      </w:r>
    </w:p>
    <w:p>
      <w:r>
        <w:pict>
          <v:rect style="width:0;height:1.5pt" o:hralign="center" o:hrstd="t" o:hr="t"/>
        </w:pict>
      </w:r>
    </w:p>
    <w:p>
      <w:pPr>
        <w:pStyle w:val="FirstParagraph"/>
      </w:pPr>
      <w:r>
        <w:rPr>
          <w:iCs/>
          <w:i/>
        </w:rPr>
        <w:t xml:space="preserve">End of Part 1. Part 2 — Module-by-Module Feature Tour — is the next installment of this guide.</w:t>
      </w:r>
    </w:p>
    <w:bookmarkEnd w:id="33"/>
    <w:bookmarkEnd w:id="34"/>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99999"/>
        <w:sz w:val="16"/>
      </w:rPr>
      <w:t>journi — The Complete User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2026-08-24T20:26:32Z</dcterms:created>
  <dcterms:modified xsi:type="dcterms:W3CDTF">2026-08-24T20:26:32Z</dcterms:modified>
</cp:coreProperties>
</file>

<file path=docProps/custom.xml><?xml version="1.0" encoding="utf-8"?>
<Properties xmlns="http://schemas.openxmlformats.org/officeDocument/2006/custom-properties" xmlns:vt="http://schemas.openxmlformats.org/officeDocument/2006/docPropsVTypes"/>
</file>